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504E5" w:rsidRPr="008B2CC1" w:rsidTr="0088395E">
        <w:tc>
          <w:tcPr>
            <w:tcW w:w="4513" w:type="dxa"/>
            <w:tcBorders>
              <w:bottom w:val="single" w:sz="4" w:space="0" w:color="auto"/>
            </w:tcBorders>
            <w:tcMar>
              <w:bottom w:w="170" w:type="dxa"/>
            </w:tcMar>
          </w:tcPr>
          <w:p w:rsidR="00E504E5" w:rsidRPr="008B2CC1" w:rsidRDefault="00E504E5" w:rsidP="00AB613D">
            <w:bookmarkStart w:id="0" w:name="_GoBack"/>
            <w:bookmarkEnd w:id="0"/>
          </w:p>
        </w:tc>
        <w:tc>
          <w:tcPr>
            <w:tcW w:w="4337" w:type="dxa"/>
            <w:tcBorders>
              <w:bottom w:val="single" w:sz="4" w:space="0" w:color="auto"/>
            </w:tcBorders>
            <w:tcMar>
              <w:left w:w="0" w:type="dxa"/>
              <w:right w:w="0" w:type="dxa"/>
            </w:tcMar>
          </w:tcPr>
          <w:p w:rsidR="00E504E5" w:rsidRPr="008B2CC1" w:rsidRDefault="002139D9" w:rsidP="00AB613D">
            <w:r>
              <w:rPr>
                <w:noProof/>
                <w:lang w:val="en-US" w:eastAsia="en-US"/>
              </w:rPr>
              <w:drawing>
                <wp:inline distT="0" distB="0" distL="0" distR="0">
                  <wp:extent cx="1857375" cy="1323975"/>
                  <wp:effectExtent l="0" t="0" r="9525" b="9525"/>
                  <wp:docPr id="1" name="Picture 1" descr="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504E5" w:rsidRPr="008B2CC1" w:rsidRDefault="00E504E5" w:rsidP="00AB613D">
            <w:pPr>
              <w:jc w:val="right"/>
            </w:pPr>
            <w:r>
              <w:rPr>
                <w:b/>
                <w:sz w:val="40"/>
                <w:szCs w:val="40"/>
              </w:rPr>
              <w:t>S</w:t>
            </w:r>
          </w:p>
        </w:tc>
      </w:tr>
      <w:tr w:rsidR="008B2CC1" w:rsidRPr="001832A6" w:rsidTr="00AB613D">
        <w:trPr>
          <w:trHeight w:hRule="exact" w:val="340"/>
        </w:trPr>
        <w:tc>
          <w:tcPr>
            <w:tcW w:w="9356" w:type="dxa"/>
            <w:gridSpan w:val="3"/>
            <w:tcBorders>
              <w:top w:val="single" w:sz="4" w:space="0" w:color="auto"/>
            </w:tcBorders>
            <w:tcMar>
              <w:top w:w="170" w:type="dxa"/>
              <w:left w:w="0" w:type="dxa"/>
              <w:right w:w="0" w:type="dxa"/>
            </w:tcMar>
            <w:vAlign w:val="bottom"/>
          </w:tcPr>
          <w:p w:rsidR="008B2CC1" w:rsidRPr="0090731E" w:rsidRDefault="008F0592" w:rsidP="00AB613D">
            <w:pPr>
              <w:jc w:val="right"/>
              <w:rPr>
                <w:rFonts w:ascii="Arial Black" w:hAnsi="Arial Black"/>
                <w:caps/>
                <w:sz w:val="15"/>
              </w:rPr>
            </w:pPr>
            <w:r>
              <w:rPr>
                <w:rFonts w:ascii="Arial Black" w:hAnsi="Arial Black"/>
                <w:caps/>
                <w:sz w:val="15"/>
              </w:rPr>
              <w:t>A/51/</w:t>
            </w:r>
            <w:bookmarkStart w:id="1" w:name="Code"/>
            <w:bookmarkEnd w:id="1"/>
            <w:r w:rsidR="006C1377">
              <w:rPr>
                <w:rFonts w:ascii="Arial Black" w:hAnsi="Arial Black"/>
                <w:caps/>
                <w:sz w:val="15"/>
              </w:rPr>
              <w:t>5</w:t>
            </w:r>
          </w:p>
        </w:tc>
      </w:tr>
      <w:tr w:rsidR="008B2CC1" w:rsidRPr="001832A6" w:rsidTr="00AB613D">
        <w:trPr>
          <w:trHeight w:hRule="exact" w:val="170"/>
        </w:trPr>
        <w:tc>
          <w:tcPr>
            <w:tcW w:w="9356" w:type="dxa"/>
            <w:gridSpan w:val="3"/>
            <w:noWrap/>
            <w:tcMar>
              <w:left w:w="0" w:type="dxa"/>
              <w:right w:w="0" w:type="dxa"/>
            </w:tcMar>
            <w:vAlign w:val="bottom"/>
          </w:tcPr>
          <w:p w:rsidR="008B2CC1" w:rsidRPr="0090731E" w:rsidRDefault="008B2CC1" w:rsidP="00AB613D">
            <w:pPr>
              <w:jc w:val="right"/>
              <w:rPr>
                <w:rFonts w:ascii="Arial Black" w:hAnsi="Arial Black"/>
                <w:caps/>
                <w:sz w:val="15"/>
              </w:rPr>
            </w:pPr>
            <w:r w:rsidRPr="0090731E">
              <w:rPr>
                <w:rFonts w:ascii="Arial Black" w:hAnsi="Arial Black"/>
                <w:caps/>
                <w:sz w:val="15"/>
              </w:rPr>
              <w:t>ORIGINAL:</w:t>
            </w:r>
            <w:r w:rsidR="00F84474">
              <w:rPr>
                <w:rFonts w:ascii="Arial Black" w:hAnsi="Arial Black"/>
                <w:caps/>
                <w:sz w:val="15"/>
              </w:rPr>
              <w:t xml:space="preserve"> </w:t>
            </w:r>
            <w:r w:rsidRPr="0090731E">
              <w:rPr>
                <w:rFonts w:ascii="Arial Black" w:hAnsi="Arial Black"/>
                <w:caps/>
                <w:sz w:val="15"/>
              </w:rPr>
              <w:t xml:space="preserve"> </w:t>
            </w:r>
            <w:bookmarkStart w:id="2" w:name="Original"/>
            <w:bookmarkEnd w:id="2"/>
            <w:r w:rsidR="006C1377">
              <w:rPr>
                <w:rFonts w:ascii="Arial Black" w:hAnsi="Arial Black"/>
                <w:caps/>
                <w:sz w:val="15"/>
              </w:rPr>
              <w:t>Inglés</w:t>
            </w:r>
          </w:p>
        </w:tc>
      </w:tr>
      <w:tr w:rsidR="008B2CC1" w:rsidRPr="001832A6" w:rsidTr="00AB613D">
        <w:trPr>
          <w:trHeight w:hRule="exact" w:val="198"/>
        </w:trPr>
        <w:tc>
          <w:tcPr>
            <w:tcW w:w="9356" w:type="dxa"/>
            <w:gridSpan w:val="3"/>
            <w:tcMar>
              <w:left w:w="0" w:type="dxa"/>
              <w:right w:w="0" w:type="dxa"/>
            </w:tcMar>
            <w:vAlign w:val="bottom"/>
          </w:tcPr>
          <w:p w:rsidR="008B2CC1" w:rsidRPr="0090731E" w:rsidRDefault="00675021" w:rsidP="00AB613D">
            <w:pPr>
              <w:jc w:val="right"/>
              <w:rPr>
                <w:rFonts w:ascii="Arial Black" w:hAnsi="Arial Black"/>
                <w:caps/>
                <w:sz w:val="15"/>
              </w:rPr>
            </w:pPr>
            <w:r>
              <w:rPr>
                <w:rFonts w:ascii="Arial Black" w:hAnsi="Arial Black"/>
                <w:caps/>
                <w:sz w:val="15"/>
              </w:rPr>
              <w:t>fecha</w:t>
            </w:r>
            <w:r w:rsidR="008B2CC1" w:rsidRPr="0090731E">
              <w:rPr>
                <w:rFonts w:ascii="Arial Black" w:hAnsi="Arial Black"/>
                <w:caps/>
                <w:sz w:val="15"/>
              </w:rPr>
              <w:t>:</w:t>
            </w:r>
            <w:r w:rsidR="00F84474">
              <w:rPr>
                <w:rFonts w:ascii="Arial Black" w:hAnsi="Arial Black"/>
                <w:caps/>
                <w:sz w:val="15"/>
              </w:rPr>
              <w:t xml:space="preserve"> </w:t>
            </w:r>
            <w:r w:rsidR="008B2CC1" w:rsidRPr="0090731E">
              <w:rPr>
                <w:rFonts w:ascii="Arial Black" w:hAnsi="Arial Black"/>
                <w:caps/>
                <w:sz w:val="15"/>
              </w:rPr>
              <w:t xml:space="preserve"> </w:t>
            </w:r>
            <w:bookmarkStart w:id="3" w:name="Date"/>
            <w:bookmarkEnd w:id="3"/>
            <w:r w:rsidR="006C1377">
              <w:rPr>
                <w:rFonts w:ascii="Arial Black" w:hAnsi="Arial Black"/>
                <w:caps/>
                <w:sz w:val="15"/>
              </w:rPr>
              <w:t>1 de agosto de 2013</w:t>
            </w:r>
          </w:p>
        </w:tc>
      </w:tr>
    </w:tbl>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B67CDC" w:rsidRPr="008F0592" w:rsidRDefault="008F0592" w:rsidP="00B67CDC">
      <w:pPr>
        <w:rPr>
          <w:b/>
          <w:sz w:val="28"/>
          <w:szCs w:val="28"/>
          <w:lang w:val="es-ES_tradnl"/>
        </w:rPr>
      </w:pPr>
      <w:r w:rsidRPr="008F0592">
        <w:rPr>
          <w:b/>
          <w:sz w:val="28"/>
          <w:szCs w:val="28"/>
          <w:lang w:val="es-ES_tradnl"/>
        </w:rPr>
        <w:t>Asambleas de los Estados miembros de la OMPI</w:t>
      </w:r>
    </w:p>
    <w:p w:rsidR="003845C1" w:rsidRDefault="003845C1" w:rsidP="003845C1"/>
    <w:p w:rsidR="003845C1" w:rsidRDefault="003845C1" w:rsidP="003845C1"/>
    <w:p w:rsidR="00B67CDC" w:rsidRPr="008F0592" w:rsidRDefault="008F0592" w:rsidP="00B67CDC">
      <w:pPr>
        <w:rPr>
          <w:b/>
          <w:sz w:val="24"/>
          <w:szCs w:val="24"/>
          <w:lang w:val="es-ES_tradnl"/>
        </w:rPr>
      </w:pPr>
      <w:r w:rsidRPr="008F0592">
        <w:rPr>
          <w:b/>
          <w:sz w:val="24"/>
          <w:szCs w:val="24"/>
          <w:lang w:val="es-ES_tradnl"/>
        </w:rPr>
        <w:t>Quincuagésima primera serie de reuniones</w:t>
      </w:r>
    </w:p>
    <w:p w:rsidR="00B67CDC" w:rsidRPr="008F0592" w:rsidRDefault="008F0592" w:rsidP="00B67CDC">
      <w:pPr>
        <w:rPr>
          <w:b/>
          <w:sz w:val="24"/>
          <w:szCs w:val="24"/>
          <w:lang w:val="es-ES_tradnl"/>
        </w:rPr>
      </w:pPr>
      <w:r w:rsidRPr="008F0592">
        <w:rPr>
          <w:b/>
          <w:sz w:val="24"/>
          <w:szCs w:val="24"/>
          <w:lang w:val="es-ES_tradnl"/>
        </w:rPr>
        <w:t>Ginebra, 23 de septiembre a 2 de octubre de 2013</w:t>
      </w:r>
    </w:p>
    <w:p w:rsidR="008B2CC1" w:rsidRPr="008B2CC1" w:rsidRDefault="008B2CC1" w:rsidP="008B2CC1"/>
    <w:p w:rsidR="008B2CC1" w:rsidRPr="008B2CC1" w:rsidRDefault="008B2CC1" w:rsidP="008B2CC1"/>
    <w:p w:rsidR="008B2CC1" w:rsidRPr="003845C1" w:rsidRDefault="006C1377" w:rsidP="008B2CC1">
      <w:pPr>
        <w:rPr>
          <w:caps/>
          <w:sz w:val="24"/>
        </w:rPr>
      </w:pPr>
      <w:bookmarkStart w:id="4" w:name="TitleOfDoc"/>
      <w:bookmarkEnd w:id="4"/>
      <w:r>
        <w:rPr>
          <w:caps/>
          <w:sz w:val="24"/>
        </w:rPr>
        <w:t>Informe sobre el rendimiento de los programas en 2012</w:t>
      </w:r>
    </w:p>
    <w:p w:rsidR="008B2CC1" w:rsidRPr="008B2CC1" w:rsidRDefault="008B2CC1" w:rsidP="008B2CC1"/>
    <w:p w:rsidR="008B2CC1" w:rsidRPr="008B2CC1" w:rsidRDefault="006C1377" w:rsidP="008B2CC1">
      <w:pPr>
        <w:rPr>
          <w:i/>
        </w:rPr>
      </w:pPr>
      <w:bookmarkStart w:id="5" w:name="Prepared"/>
      <w:bookmarkEnd w:id="5"/>
      <w:r>
        <w:rPr>
          <w:i/>
        </w:rPr>
        <w:t>presentado por el Director General</w:t>
      </w:r>
    </w:p>
    <w:p w:rsidR="008B2CC1" w:rsidRDefault="008B2CC1" w:rsidP="003845C1"/>
    <w:p w:rsidR="000F5E56" w:rsidRDefault="000F5E56"/>
    <w:p w:rsidR="00F84474" w:rsidRDefault="00F84474"/>
    <w:p w:rsidR="006C1377" w:rsidRDefault="006C1377" w:rsidP="006C1377">
      <w:pPr>
        <w:pStyle w:val="ONUMFS"/>
      </w:pPr>
      <w:r>
        <w:t>El presente documento contiene el informe sobre el rendimiento de los programas (en lo sucesivo “el PPR”</w:t>
      </w:r>
      <w:r w:rsidR="00861C88">
        <w:t>) en</w:t>
      </w:r>
      <w:r>
        <w:t> 2012 (documento WO/PBC/20/2), que fue presentado en la vigésima sesión (8 a 12 de julio de 2013) del Comité del Programa y Presupuesto (PBC) de la OMPI.</w:t>
      </w:r>
    </w:p>
    <w:p w:rsidR="006C1377" w:rsidRDefault="006C1377" w:rsidP="006C1377">
      <w:pPr>
        <w:pStyle w:val="ONUMFS"/>
      </w:pPr>
      <w:r>
        <w:t>El PBC recomendó la aprobación del PPR de 2012 por las Asambleas de los Estados miembros de la OMPI, junto con los comentarios, observaciones y sugerencias de mejora que formularon los Estados miembros, y que constan en e</w:t>
      </w:r>
      <w:r w:rsidR="00861C88">
        <w:t xml:space="preserve">l documento de adición al documento PPR de 2012.  De conformidad con esa decisión, los comentarios, observaciones y sugerencias de los Estados miembros se </w:t>
      </w:r>
      <w:r w:rsidR="002139D9">
        <w:t xml:space="preserve">han </w:t>
      </w:r>
      <w:r w:rsidR="00861C88">
        <w:t>publica</w:t>
      </w:r>
      <w:r w:rsidR="002139D9">
        <w:t xml:space="preserve">do </w:t>
      </w:r>
      <w:r w:rsidR="00861C88">
        <w:t xml:space="preserve">en </w:t>
      </w:r>
      <w:r w:rsidR="002139D9">
        <w:t>un</w:t>
      </w:r>
      <w:r w:rsidR="00861C88">
        <w:t xml:space="preserve"> documento de adición al presente documento (con la signatura A/51/5 </w:t>
      </w:r>
      <w:proofErr w:type="spellStart"/>
      <w:r w:rsidR="00861C88">
        <w:t>Add</w:t>
      </w:r>
      <w:proofErr w:type="spellEnd"/>
      <w:r w:rsidR="00861C88">
        <w:t>.).  En respuesta al pedido de algunas delegaciones de rectificar ciertos datos</w:t>
      </w:r>
      <w:r w:rsidR="002139D9">
        <w:t xml:space="preserve"> fácticos</w:t>
      </w:r>
      <w:r w:rsidR="00861C88">
        <w:t>, se ha vuelto a publicar el PPR de 2012 (con la signatura WO/PBC/20/2 Rev.).</w:t>
      </w:r>
    </w:p>
    <w:p w:rsidR="006C1377" w:rsidRDefault="002139D9" w:rsidP="006C1377">
      <w:pPr>
        <w:pStyle w:val="ONUMFS"/>
      </w:pPr>
      <w:r>
        <w:t>La recomendación del PBC con respecto a dicho documento se incluye en la “Reseña de las decisiones y recomendaciones adoptadas por el Comité del Programa y Presupuesto en su vigésima sesión (8 a 12 de julio de 2013</w:t>
      </w:r>
      <w:r w:rsidRPr="009C49F1">
        <w:t>)” (document</w:t>
      </w:r>
      <w:r>
        <w:t>o</w:t>
      </w:r>
      <w:r w:rsidRPr="009C49F1">
        <w:t xml:space="preserve"> A/51/13).</w:t>
      </w:r>
    </w:p>
    <w:p w:rsidR="00152CEA" w:rsidRDefault="006C1377" w:rsidP="009F043F">
      <w:pPr>
        <w:pStyle w:val="ONUMFS"/>
        <w:tabs>
          <w:tab w:val="left" w:pos="5812"/>
        </w:tabs>
        <w:ind w:left="5245"/>
        <w:rPr>
          <w:i/>
        </w:rPr>
      </w:pPr>
      <w:r w:rsidRPr="002139D9">
        <w:rPr>
          <w:i/>
        </w:rPr>
        <w:t xml:space="preserve">Se invita a las Asambleas de los Estados miembros de la OMPI y de las Uniones que la OMPI administra, en lo que a cada una le concierne, a aprobar la recomendación </w:t>
      </w:r>
      <w:r w:rsidR="002139D9">
        <w:rPr>
          <w:i/>
        </w:rPr>
        <w:t xml:space="preserve">adoptada por </w:t>
      </w:r>
      <w:r w:rsidRPr="002139D9">
        <w:rPr>
          <w:i/>
        </w:rPr>
        <w:t xml:space="preserve">el Comité del Programa y Presupuesto con respecto al </w:t>
      </w:r>
      <w:r w:rsidR="002139D9">
        <w:rPr>
          <w:i/>
        </w:rPr>
        <w:t xml:space="preserve">Informe sobre el rendimiento de los programas en 2012, </w:t>
      </w:r>
      <w:r w:rsidRPr="002139D9">
        <w:rPr>
          <w:i/>
        </w:rPr>
        <w:t>según consta en el documento A/5</w:t>
      </w:r>
      <w:r w:rsidR="002139D9">
        <w:rPr>
          <w:i/>
        </w:rPr>
        <w:t>1</w:t>
      </w:r>
      <w:r w:rsidRPr="002139D9">
        <w:rPr>
          <w:i/>
        </w:rPr>
        <w:t>/1</w:t>
      </w:r>
      <w:r w:rsidR="002139D9">
        <w:rPr>
          <w:i/>
        </w:rPr>
        <w:t>3</w:t>
      </w:r>
      <w:r w:rsidRPr="002139D9">
        <w:rPr>
          <w:i/>
        </w:rPr>
        <w:t>.</w:t>
      </w:r>
    </w:p>
    <w:p w:rsidR="000E2A4E" w:rsidRDefault="002139D9" w:rsidP="002139D9">
      <w:pPr>
        <w:pStyle w:val="Endofdocument-Annex"/>
        <w:ind w:left="5245"/>
        <w:rPr>
          <w:lang w:val="es-ES"/>
        </w:rPr>
      </w:pPr>
      <w:r w:rsidRPr="002139D9">
        <w:rPr>
          <w:lang w:val="es-ES"/>
        </w:rPr>
        <w:t>[Sigue el documento WO/PBC/20/2 Rev.]</w:t>
      </w:r>
    </w:p>
    <w:p w:rsidR="000E2A4E" w:rsidRPr="00AB16BB" w:rsidRDefault="000E2A4E" w:rsidP="000E2A4E"/>
    <w:p w:rsidR="000E2A4E" w:rsidRPr="00AB16BB" w:rsidRDefault="000E2A4E" w:rsidP="000E2A4E">
      <w:pPr>
        <w:sectPr w:rsidR="000E2A4E" w:rsidRPr="00AB16BB" w:rsidSect="00B070BF">
          <w:headerReference w:type="even" r:id="rId9"/>
          <w:headerReference w:type="default" r:id="rId10"/>
          <w:footerReference w:type="even" r:id="rId11"/>
          <w:footerReference w:type="first" r:id="rId12"/>
          <w:endnotePr>
            <w:numFmt w:val="decimal"/>
          </w:endnotePr>
          <w:pgSz w:w="11907" w:h="16840" w:code="9"/>
          <w:pgMar w:top="567" w:right="1191" w:bottom="1134" w:left="1418" w:header="510" w:footer="851" w:gutter="0"/>
          <w:pgNumType w:start="1"/>
          <w:cols w:space="720"/>
          <w:titlePg/>
          <w:docGrid w:linePitch="299"/>
        </w:sectPr>
      </w:pPr>
    </w:p>
    <w:tbl>
      <w:tblPr>
        <w:tblW w:w="9356" w:type="dxa"/>
        <w:tblInd w:w="108" w:type="dxa"/>
        <w:tblLayout w:type="fixed"/>
        <w:tblLook w:val="01E0" w:firstRow="1" w:lastRow="1" w:firstColumn="1" w:lastColumn="1" w:noHBand="0" w:noVBand="0"/>
      </w:tblPr>
      <w:tblGrid>
        <w:gridCol w:w="4513"/>
        <w:gridCol w:w="4337"/>
        <w:gridCol w:w="506"/>
      </w:tblGrid>
      <w:tr w:rsidR="00B070BF" w:rsidRPr="008B2CC1" w:rsidTr="00C33D4A">
        <w:tc>
          <w:tcPr>
            <w:tcW w:w="4513" w:type="dxa"/>
            <w:tcBorders>
              <w:bottom w:val="single" w:sz="4" w:space="0" w:color="auto"/>
            </w:tcBorders>
            <w:tcMar>
              <w:bottom w:w="170" w:type="dxa"/>
            </w:tcMar>
          </w:tcPr>
          <w:p w:rsidR="00B070BF" w:rsidRPr="008B2CC1" w:rsidRDefault="00B070BF" w:rsidP="00C33D4A"/>
        </w:tc>
        <w:tc>
          <w:tcPr>
            <w:tcW w:w="4337" w:type="dxa"/>
            <w:tcBorders>
              <w:bottom w:val="single" w:sz="4" w:space="0" w:color="auto"/>
            </w:tcBorders>
            <w:tcMar>
              <w:left w:w="0" w:type="dxa"/>
              <w:right w:w="0" w:type="dxa"/>
            </w:tcMar>
          </w:tcPr>
          <w:p w:rsidR="00B070BF" w:rsidRPr="008B2CC1" w:rsidRDefault="00B070BF" w:rsidP="00C33D4A">
            <w:r>
              <w:rPr>
                <w:noProof/>
                <w:lang w:val="en-US" w:eastAsia="en-US"/>
              </w:rPr>
              <w:drawing>
                <wp:inline distT="0" distB="0" distL="0" distR="0" wp14:anchorId="5FBD0C62" wp14:editId="7290F2B3">
                  <wp:extent cx="1857375" cy="1323975"/>
                  <wp:effectExtent l="0" t="0" r="9525" b="9525"/>
                  <wp:docPr id="2" name="Picture 2" descr="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B070BF" w:rsidRPr="008B2CC1" w:rsidRDefault="00B070BF" w:rsidP="00C33D4A">
            <w:pPr>
              <w:jc w:val="right"/>
            </w:pPr>
            <w:r>
              <w:rPr>
                <w:b/>
                <w:sz w:val="40"/>
                <w:szCs w:val="40"/>
              </w:rPr>
              <w:t>S</w:t>
            </w:r>
          </w:p>
        </w:tc>
      </w:tr>
      <w:tr w:rsidR="00B070BF" w:rsidRPr="001832A6" w:rsidTr="00C33D4A">
        <w:trPr>
          <w:trHeight w:hRule="exact" w:val="340"/>
        </w:trPr>
        <w:tc>
          <w:tcPr>
            <w:tcW w:w="9356" w:type="dxa"/>
            <w:gridSpan w:val="3"/>
            <w:tcBorders>
              <w:top w:val="single" w:sz="4" w:space="0" w:color="auto"/>
            </w:tcBorders>
            <w:tcMar>
              <w:top w:w="170" w:type="dxa"/>
              <w:left w:w="0" w:type="dxa"/>
              <w:right w:w="0" w:type="dxa"/>
            </w:tcMar>
            <w:vAlign w:val="bottom"/>
          </w:tcPr>
          <w:p w:rsidR="00B070BF" w:rsidRPr="0090731E" w:rsidRDefault="00B070BF" w:rsidP="00C33D4A">
            <w:pPr>
              <w:jc w:val="right"/>
              <w:rPr>
                <w:rFonts w:ascii="Arial Black" w:hAnsi="Arial Black"/>
                <w:caps/>
                <w:sz w:val="15"/>
              </w:rPr>
            </w:pPr>
            <w:r w:rsidRPr="006B4103">
              <w:rPr>
                <w:rFonts w:ascii="Arial Black" w:hAnsi="Arial Black"/>
                <w:caps/>
                <w:sz w:val="15"/>
              </w:rPr>
              <w:t>WO/PBC/20/</w:t>
            </w:r>
            <w:r>
              <w:rPr>
                <w:rFonts w:ascii="Arial Black" w:hAnsi="Arial Black"/>
                <w:caps/>
                <w:sz w:val="15"/>
              </w:rPr>
              <w:t>2 Rev.</w:t>
            </w:r>
            <w:r w:rsidRPr="0090731E">
              <w:rPr>
                <w:rFonts w:ascii="Arial Black" w:hAnsi="Arial Black"/>
                <w:caps/>
                <w:sz w:val="15"/>
              </w:rPr>
              <w:t xml:space="preserve">   </w:t>
            </w:r>
          </w:p>
        </w:tc>
      </w:tr>
      <w:tr w:rsidR="00B070BF" w:rsidRPr="001832A6" w:rsidTr="00C33D4A">
        <w:trPr>
          <w:trHeight w:hRule="exact" w:val="170"/>
        </w:trPr>
        <w:tc>
          <w:tcPr>
            <w:tcW w:w="9356" w:type="dxa"/>
            <w:gridSpan w:val="3"/>
            <w:noWrap/>
            <w:tcMar>
              <w:left w:w="0" w:type="dxa"/>
              <w:right w:w="0" w:type="dxa"/>
            </w:tcMar>
            <w:vAlign w:val="bottom"/>
          </w:tcPr>
          <w:p w:rsidR="00B070BF" w:rsidRPr="0090731E" w:rsidRDefault="00B070BF" w:rsidP="00C33D4A">
            <w:pPr>
              <w:jc w:val="right"/>
              <w:rPr>
                <w:rFonts w:ascii="Arial Black" w:hAnsi="Arial Black"/>
                <w:caps/>
                <w:sz w:val="15"/>
              </w:rPr>
            </w:pPr>
            <w:r w:rsidRPr="0090731E">
              <w:rPr>
                <w:rFonts w:ascii="Arial Black" w:hAnsi="Arial Black"/>
                <w:caps/>
                <w:sz w:val="15"/>
              </w:rPr>
              <w:t>ORIGINAL:</w:t>
            </w:r>
            <w:r>
              <w:rPr>
                <w:rFonts w:ascii="Arial Black" w:hAnsi="Arial Black"/>
                <w:caps/>
                <w:sz w:val="15"/>
              </w:rPr>
              <w:t xml:space="preserve"> </w:t>
            </w:r>
            <w:r w:rsidRPr="0090731E">
              <w:rPr>
                <w:rFonts w:ascii="Arial Black" w:hAnsi="Arial Black"/>
                <w:caps/>
                <w:sz w:val="15"/>
              </w:rPr>
              <w:t xml:space="preserve"> </w:t>
            </w:r>
            <w:r>
              <w:rPr>
                <w:rFonts w:ascii="Arial Black" w:hAnsi="Arial Black"/>
                <w:caps/>
                <w:sz w:val="15"/>
              </w:rPr>
              <w:t>inglés</w:t>
            </w:r>
          </w:p>
        </w:tc>
      </w:tr>
      <w:tr w:rsidR="00B070BF" w:rsidRPr="001832A6" w:rsidTr="00C33D4A">
        <w:trPr>
          <w:trHeight w:hRule="exact" w:val="198"/>
        </w:trPr>
        <w:tc>
          <w:tcPr>
            <w:tcW w:w="9356" w:type="dxa"/>
            <w:gridSpan w:val="3"/>
            <w:tcMar>
              <w:left w:w="0" w:type="dxa"/>
              <w:right w:w="0" w:type="dxa"/>
            </w:tcMar>
            <w:vAlign w:val="bottom"/>
          </w:tcPr>
          <w:p w:rsidR="00B070BF" w:rsidRPr="0090731E" w:rsidRDefault="00B070BF" w:rsidP="00C33D4A">
            <w:pPr>
              <w:jc w:val="right"/>
              <w:rPr>
                <w:rFonts w:ascii="Arial Black" w:hAnsi="Arial Black"/>
                <w:caps/>
                <w:sz w:val="15"/>
              </w:rPr>
            </w:pPr>
            <w:r>
              <w:rPr>
                <w:rFonts w:ascii="Arial Black" w:hAnsi="Arial Black"/>
                <w:caps/>
                <w:sz w:val="15"/>
              </w:rPr>
              <w:t>fecha</w:t>
            </w:r>
            <w:r w:rsidRPr="0090731E">
              <w:rPr>
                <w:rFonts w:ascii="Arial Black" w:hAnsi="Arial Black"/>
                <w:caps/>
                <w:sz w:val="15"/>
              </w:rPr>
              <w:t>:</w:t>
            </w:r>
            <w:r>
              <w:rPr>
                <w:rFonts w:ascii="Arial Black" w:hAnsi="Arial Black"/>
                <w:caps/>
                <w:sz w:val="15"/>
              </w:rPr>
              <w:t xml:space="preserve"> </w:t>
            </w:r>
            <w:r w:rsidRPr="0090731E">
              <w:rPr>
                <w:rFonts w:ascii="Arial Black" w:hAnsi="Arial Black"/>
                <w:caps/>
                <w:sz w:val="15"/>
              </w:rPr>
              <w:t xml:space="preserve"> </w:t>
            </w:r>
            <w:r>
              <w:rPr>
                <w:rFonts w:ascii="Arial Black" w:hAnsi="Arial Black"/>
                <w:caps/>
                <w:sz w:val="15"/>
              </w:rPr>
              <w:t>19 de julio de 2013</w:t>
            </w:r>
          </w:p>
        </w:tc>
      </w:tr>
    </w:tbl>
    <w:p w:rsidR="00B070BF" w:rsidRPr="008B2CC1" w:rsidRDefault="00B070BF" w:rsidP="00B070BF"/>
    <w:p w:rsidR="00B070BF" w:rsidRPr="008B2CC1" w:rsidRDefault="00B070BF" w:rsidP="00B070BF"/>
    <w:p w:rsidR="00B070BF" w:rsidRPr="008B2CC1" w:rsidRDefault="00B070BF" w:rsidP="00B070BF"/>
    <w:p w:rsidR="00B070BF" w:rsidRPr="008B2CC1" w:rsidRDefault="00B070BF" w:rsidP="00B070BF"/>
    <w:p w:rsidR="00B070BF" w:rsidRPr="003845C1" w:rsidRDefault="00B070BF" w:rsidP="00B070BF">
      <w:pPr>
        <w:rPr>
          <w:b/>
          <w:sz w:val="28"/>
          <w:szCs w:val="28"/>
        </w:rPr>
      </w:pPr>
      <w:r>
        <w:rPr>
          <w:b/>
          <w:sz w:val="28"/>
          <w:szCs w:val="28"/>
        </w:rPr>
        <w:t>Comité del Programa y Presupuesto</w:t>
      </w:r>
    </w:p>
    <w:p w:rsidR="00B070BF" w:rsidRDefault="00B070BF" w:rsidP="00B070BF"/>
    <w:p w:rsidR="00B070BF" w:rsidRDefault="00B070BF" w:rsidP="00B070BF"/>
    <w:p w:rsidR="00B070BF" w:rsidRPr="003845C1" w:rsidRDefault="00B070BF" w:rsidP="00B070BF">
      <w:pPr>
        <w:rPr>
          <w:b/>
          <w:sz w:val="24"/>
          <w:szCs w:val="24"/>
        </w:rPr>
      </w:pPr>
      <w:r>
        <w:rPr>
          <w:b/>
          <w:sz w:val="24"/>
          <w:szCs w:val="24"/>
        </w:rPr>
        <w:t>Vigésima</w:t>
      </w:r>
      <w:r w:rsidRPr="00514A25">
        <w:rPr>
          <w:b/>
          <w:sz w:val="24"/>
          <w:szCs w:val="24"/>
        </w:rPr>
        <w:t xml:space="preserve"> </w:t>
      </w:r>
      <w:r>
        <w:rPr>
          <w:b/>
          <w:sz w:val="24"/>
          <w:szCs w:val="24"/>
        </w:rPr>
        <w:t>sesión</w:t>
      </w:r>
    </w:p>
    <w:p w:rsidR="00B070BF" w:rsidRPr="003845C1" w:rsidRDefault="00B070BF" w:rsidP="00B070BF">
      <w:pPr>
        <w:rPr>
          <w:b/>
          <w:sz w:val="24"/>
          <w:szCs w:val="24"/>
        </w:rPr>
      </w:pPr>
      <w:r w:rsidRPr="00514A25">
        <w:rPr>
          <w:b/>
          <w:sz w:val="24"/>
          <w:szCs w:val="24"/>
        </w:rPr>
        <w:t xml:space="preserve">Ginebra, </w:t>
      </w:r>
      <w:r>
        <w:rPr>
          <w:b/>
          <w:sz w:val="24"/>
          <w:szCs w:val="24"/>
        </w:rPr>
        <w:t>8 a 12 d</w:t>
      </w:r>
      <w:r w:rsidRPr="0017709F">
        <w:rPr>
          <w:b/>
          <w:sz w:val="24"/>
          <w:szCs w:val="24"/>
        </w:rPr>
        <w:t xml:space="preserve">e </w:t>
      </w:r>
      <w:r w:rsidRPr="0017709F">
        <w:rPr>
          <w:b/>
          <w:bCs/>
          <w:sz w:val="24"/>
          <w:szCs w:val="24"/>
        </w:rPr>
        <w:t>julio</w:t>
      </w:r>
      <w:r w:rsidRPr="0017709F">
        <w:rPr>
          <w:b/>
          <w:sz w:val="24"/>
          <w:szCs w:val="24"/>
        </w:rPr>
        <w:t xml:space="preserve"> </w:t>
      </w:r>
      <w:r>
        <w:rPr>
          <w:b/>
          <w:sz w:val="24"/>
          <w:szCs w:val="24"/>
        </w:rPr>
        <w:t>de 2013</w:t>
      </w:r>
    </w:p>
    <w:p w:rsidR="00B070BF" w:rsidRPr="00AB16BB" w:rsidRDefault="00B070BF" w:rsidP="00B070BF"/>
    <w:p w:rsidR="00B070BF" w:rsidRPr="00AB16BB" w:rsidRDefault="00B070BF" w:rsidP="00B070BF"/>
    <w:p w:rsidR="00B070BF" w:rsidRPr="00AB16BB" w:rsidRDefault="00B070BF" w:rsidP="00B070BF"/>
    <w:p w:rsidR="00B070BF" w:rsidRPr="00AB16BB" w:rsidRDefault="00B070BF" w:rsidP="00B070BF">
      <w:pPr>
        <w:rPr>
          <w:caps/>
          <w:sz w:val="24"/>
        </w:rPr>
      </w:pPr>
      <w:r w:rsidRPr="00AB16BB">
        <w:rPr>
          <w:sz w:val="24"/>
        </w:rPr>
        <w:t>INFORME SOBRE EL RENDIMIENTO DE LOS PROGRAMAS EN 2012</w:t>
      </w:r>
    </w:p>
    <w:p w:rsidR="00B070BF" w:rsidRPr="00AB16BB" w:rsidRDefault="00B070BF" w:rsidP="00B070BF"/>
    <w:p w:rsidR="00B070BF" w:rsidRPr="00AB16BB" w:rsidRDefault="00B070BF" w:rsidP="00B070BF">
      <w:pPr>
        <w:rPr>
          <w:i/>
        </w:rPr>
      </w:pPr>
      <w:proofErr w:type="gramStart"/>
      <w:r w:rsidRPr="00AB16BB">
        <w:rPr>
          <w:i/>
        </w:rPr>
        <w:t>presentado</w:t>
      </w:r>
      <w:proofErr w:type="gramEnd"/>
      <w:r w:rsidRPr="00AB16BB">
        <w:rPr>
          <w:i/>
        </w:rPr>
        <w:t xml:space="preserve"> por el Director General</w:t>
      </w:r>
    </w:p>
    <w:p w:rsidR="00B070BF" w:rsidRPr="00AB16BB" w:rsidRDefault="00B070BF" w:rsidP="00B070BF"/>
    <w:p w:rsidR="00B070BF" w:rsidRPr="00AB16BB" w:rsidRDefault="00B070BF" w:rsidP="00B070BF">
      <w:pPr>
        <w:tabs>
          <w:tab w:val="left" w:pos="3690"/>
        </w:tabs>
      </w:pPr>
    </w:p>
    <w:p w:rsidR="00B070BF" w:rsidRPr="00AB16BB" w:rsidRDefault="00B070BF" w:rsidP="00B070BF"/>
    <w:p w:rsidR="00B070BF" w:rsidRPr="00AB16BB" w:rsidRDefault="00B070BF" w:rsidP="00B070BF"/>
    <w:p w:rsidR="00B070BF" w:rsidRPr="00AB16BB" w:rsidRDefault="00B070BF" w:rsidP="00B070BF">
      <w:pPr>
        <w:pStyle w:val="ONUMFS"/>
      </w:pPr>
      <w:r w:rsidRPr="00AB16BB">
        <w:t xml:space="preserve">El Informe sobre el rendimiento de los programas en 2012 ha sido preparado de conformidad con el marco de gestión por resultados de la OMPI.  El presente informe se basa en los criterios sobre el rendimiento establecidos en </w:t>
      </w:r>
      <w:r>
        <w:t>e</w:t>
      </w:r>
      <w:r w:rsidRPr="00AB16BB">
        <w:t xml:space="preserve">l presupuesto por programas </w:t>
      </w:r>
      <w:r>
        <w:t>d</w:t>
      </w:r>
      <w:r w:rsidRPr="00AB16BB">
        <w:t>el bienio</w:t>
      </w:r>
      <w:r>
        <w:rPr>
          <w:b/>
        </w:rPr>
        <w:t> </w:t>
      </w:r>
      <w:r w:rsidRPr="00AB16BB">
        <w:t>2012/13, aprobado por la cuadragésima novena serie de reuniones de las Asambleas de los Estados miembros de la OMPI en septiembre de 2011 (publicación N° 360S/PB1213).  El informe ofrece una evaluación de los progresos logrados en 2012 en relación con los resultados previstos para el bienio 2012/13.</w:t>
      </w:r>
    </w:p>
    <w:p w:rsidR="00B070BF" w:rsidRPr="00AB16BB" w:rsidRDefault="00B070BF" w:rsidP="009F043F">
      <w:pPr>
        <w:pStyle w:val="ONUMFS"/>
        <w:tabs>
          <w:tab w:val="left" w:pos="5812"/>
        </w:tabs>
        <w:spacing w:after="0"/>
        <w:ind w:left="5245"/>
        <w:rPr>
          <w:i/>
          <w:lang w:eastAsia="en-US"/>
        </w:rPr>
      </w:pPr>
      <w:r w:rsidRPr="00AB16BB">
        <w:rPr>
          <w:i/>
          <w:lang w:eastAsia="en-US"/>
        </w:rPr>
        <w:t>Se invita al Comité del Programa y Presupuesto a recomendar a las Asambleas de los Estados miembros de la OMPI la aprobación del presente documento.</w:t>
      </w:r>
    </w:p>
    <w:p w:rsidR="00B070BF" w:rsidRDefault="00B070BF" w:rsidP="009F043F">
      <w:pPr>
        <w:spacing w:line="260" w:lineRule="exact"/>
        <w:ind w:left="6237" w:hanging="703"/>
        <w:rPr>
          <w:rFonts w:eastAsia="Times New Roman" w:cs="Times New Roman"/>
          <w:i/>
          <w:szCs w:val="22"/>
          <w:lang w:eastAsia="en-US"/>
        </w:rPr>
      </w:pPr>
    </w:p>
    <w:p w:rsidR="009F043F" w:rsidRDefault="009F043F" w:rsidP="009F043F">
      <w:pPr>
        <w:spacing w:line="260" w:lineRule="exact"/>
        <w:ind w:left="6237" w:hanging="703"/>
        <w:rPr>
          <w:rFonts w:eastAsia="Times New Roman" w:cs="Times New Roman"/>
          <w:i/>
          <w:szCs w:val="22"/>
          <w:lang w:eastAsia="en-US"/>
        </w:rPr>
      </w:pPr>
    </w:p>
    <w:p w:rsidR="009F043F" w:rsidRPr="00AB16BB" w:rsidRDefault="009F043F" w:rsidP="009F043F">
      <w:pPr>
        <w:spacing w:line="260" w:lineRule="exact"/>
        <w:ind w:left="6237" w:hanging="703"/>
        <w:rPr>
          <w:rFonts w:eastAsia="Times New Roman" w:cs="Times New Roman"/>
          <w:i/>
          <w:szCs w:val="22"/>
          <w:lang w:eastAsia="en-US"/>
        </w:rPr>
      </w:pPr>
    </w:p>
    <w:p w:rsidR="00B070BF" w:rsidRPr="00E765A7" w:rsidRDefault="00B070BF" w:rsidP="009F043F">
      <w:pPr>
        <w:pStyle w:val="Endofdocument-Annex"/>
        <w:ind w:left="5245"/>
        <w:rPr>
          <w:lang w:val="es-ES_tradnl" w:eastAsia="en-US"/>
        </w:rPr>
      </w:pPr>
      <w:r w:rsidRPr="00E765A7">
        <w:rPr>
          <w:lang w:val="es-ES_tradnl" w:eastAsia="en-US"/>
        </w:rPr>
        <w:t>[Sigue el Informe sobre el rendimiento de los programas en 2012]</w:t>
      </w:r>
    </w:p>
    <w:p w:rsidR="00B070BF" w:rsidRPr="00AB16BB" w:rsidRDefault="00B070BF" w:rsidP="00B070BF"/>
    <w:p w:rsidR="00B070BF" w:rsidRPr="00AB16BB" w:rsidRDefault="00B070BF" w:rsidP="00B070BF"/>
    <w:p w:rsidR="00B070BF" w:rsidRPr="00AB16BB" w:rsidRDefault="00B070BF" w:rsidP="00B070BF">
      <w:pPr>
        <w:sectPr w:rsidR="00B070BF" w:rsidRPr="00AB16BB" w:rsidSect="00B070BF">
          <w:headerReference w:type="even" r:id="rId13"/>
          <w:headerReference w:type="default" r:id="rId14"/>
          <w:footerReference w:type="even" r:id="rId15"/>
          <w:footerReference w:type="default" r:id="rId16"/>
          <w:footerReference w:type="first" r:id="rId17"/>
          <w:endnotePr>
            <w:numFmt w:val="decimal"/>
          </w:endnotePr>
          <w:pgSz w:w="11907" w:h="16840" w:code="9"/>
          <w:pgMar w:top="567" w:right="1191" w:bottom="1134" w:left="1418" w:header="510" w:footer="851" w:gutter="0"/>
          <w:pgNumType w:start="1"/>
          <w:cols w:space="720"/>
          <w:titlePg/>
          <w:docGrid w:linePitch="299"/>
        </w:sectPr>
      </w:pPr>
    </w:p>
    <w:p w:rsidR="00B070BF" w:rsidRPr="00AB16BB" w:rsidRDefault="00B070BF" w:rsidP="00B070BF">
      <w:pPr>
        <w:tabs>
          <w:tab w:val="left" w:pos="4395"/>
        </w:tabs>
        <w:jc w:val="center"/>
        <w:rPr>
          <w:b/>
          <w:bCs/>
          <w:szCs w:val="22"/>
        </w:rPr>
      </w:pPr>
      <w:r w:rsidRPr="00AB16BB">
        <w:rPr>
          <w:b/>
          <w:bCs/>
          <w:szCs w:val="22"/>
        </w:rPr>
        <w:lastRenderedPageBreak/>
        <w:t>INFORME SOBRE EL RENDIMIENTO DE LOS PROGRAMAS EN 2012</w:t>
      </w:r>
    </w:p>
    <w:p w:rsidR="00B070BF" w:rsidRPr="00AB16BB" w:rsidRDefault="00B070BF" w:rsidP="00B070BF">
      <w:pPr>
        <w:tabs>
          <w:tab w:val="left" w:pos="4395"/>
        </w:tabs>
        <w:rPr>
          <w:sz w:val="20"/>
        </w:rPr>
      </w:pPr>
    </w:p>
    <w:p w:rsidR="00B070BF" w:rsidRPr="00AB16BB" w:rsidRDefault="00B070BF" w:rsidP="00B070BF">
      <w:pPr>
        <w:tabs>
          <w:tab w:val="left" w:pos="4395"/>
        </w:tabs>
        <w:jc w:val="center"/>
        <w:rPr>
          <w:szCs w:val="22"/>
        </w:rPr>
      </w:pPr>
      <w:r w:rsidRPr="00AB16BB">
        <w:rPr>
          <w:szCs w:val="22"/>
        </w:rPr>
        <w:t>ÍNDICE</w:t>
      </w:r>
    </w:p>
    <w:p w:rsidR="00B070BF" w:rsidRPr="0043556C" w:rsidRDefault="00B070BF" w:rsidP="00B070BF">
      <w:pPr>
        <w:pStyle w:val="TOCHeading"/>
        <w:rPr>
          <w:rFonts w:ascii="Arial Bold" w:hAnsi="Arial Bold" w:cs="Times New Roman"/>
          <w:b w:val="0"/>
          <w:noProof/>
          <w:sz w:val="20"/>
          <w:highlight w:val="yellow"/>
        </w:rPr>
      </w:pPr>
      <w:r w:rsidRPr="005A0B21">
        <w:rPr>
          <w:rFonts w:ascii="Arial Bold" w:hAnsi="Arial Bold" w:cs="Times New Roman"/>
          <w:b w:val="0"/>
          <w:noProof/>
          <w:sz w:val="20"/>
          <w:highlight w:val="yellow"/>
        </w:rPr>
        <w:fldChar w:fldCharType="begin"/>
      </w:r>
      <w:r w:rsidRPr="005A0B21">
        <w:rPr>
          <w:rFonts w:ascii="Arial Bold" w:hAnsi="Arial Bold" w:cs="Times New Roman"/>
          <w:b w:val="0"/>
          <w:noProof/>
          <w:sz w:val="20"/>
          <w:highlight w:val="yellow"/>
        </w:rPr>
        <w:instrText xml:space="preserve"> TOC \o "1-3" \h \z \u </w:instrText>
      </w:r>
      <w:r w:rsidRPr="005A0B21">
        <w:rPr>
          <w:rFonts w:ascii="Arial Bold" w:hAnsi="Arial Bold" w:cs="Times New Roman"/>
          <w:b w:val="0"/>
          <w:noProof/>
          <w:sz w:val="20"/>
          <w:highlight w:val="yellow"/>
        </w:rPr>
        <w:fldChar w:fldCharType="separate"/>
      </w:r>
    </w:p>
    <w:sdt>
      <w:sdtPr>
        <w:rPr>
          <w:noProof/>
        </w:rPr>
        <w:id w:val="1439094118"/>
        <w:docPartObj>
          <w:docPartGallery w:val="Table of Contents"/>
          <w:docPartUnique/>
        </w:docPartObj>
      </w:sdtPr>
      <w:sdtEndPr>
        <w:rPr>
          <w:b/>
          <w:bCs/>
        </w:rPr>
      </w:sdtEndPr>
      <w:sdtContent>
        <w:p w:rsidR="00B070BF" w:rsidRPr="0043556C" w:rsidRDefault="00B070BF" w:rsidP="00B070BF">
          <w:pPr>
            <w:tabs>
              <w:tab w:val="left" w:pos="1920"/>
              <w:tab w:val="right" w:leader="dot" w:pos="9345"/>
            </w:tabs>
            <w:spacing w:after="60"/>
            <w:ind w:left="660" w:hanging="439"/>
            <w:rPr>
              <w:rFonts w:asciiTheme="minorHAnsi" w:eastAsiaTheme="minorEastAsia" w:hAnsiTheme="minorHAnsi" w:cstheme="minorBidi"/>
              <w:noProof/>
              <w:szCs w:val="22"/>
              <w:lang w:eastAsia="es-ES"/>
            </w:rPr>
          </w:pPr>
          <w:r w:rsidRPr="0043556C">
            <w:rPr>
              <w:noProof/>
            </w:rPr>
            <w:fldChar w:fldCharType="begin"/>
          </w:r>
          <w:r w:rsidRPr="0043556C">
            <w:rPr>
              <w:noProof/>
            </w:rPr>
            <w:instrText xml:space="preserve"> TOC \o "1-3" \h \z \u </w:instrText>
          </w:r>
          <w:r w:rsidRPr="0043556C">
            <w:rPr>
              <w:noProof/>
            </w:rPr>
            <w:fldChar w:fldCharType="separate"/>
          </w:r>
          <w:hyperlink w:anchor="_Toc359949307" w:history="1">
            <w:r w:rsidRPr="0043556C">
              <w:rPr>
                <w:rStyle w:val="Hyperlink"/>
                <w:noProof/>
              </w:rPr>
              <w:t>I.  INTRODUCCIÓN</w:t>
            </w:r>
            <w:r w:rsidRPr="0043556C">
              <w:rPr>
                <w:noProof/>
                <w:webHidden/>
              </w:rPr>
              <w:tab/>
            </w:r>
            <w:r w:rsidRPr="0043556C">
              <w:rPr>
                <w:noProof/>
                <w:webHidden/>
              </w:rPr>
              <w:fldChar w:fldCharType="begin"/>
            </w:r>
            <w:r w:rsidRPr="0043556C">
              <w:rPr>
                <w:noProof/>
                <w:webHidden/>
              </w:rPr>
              <w:instrText xml:space="preserve"> PAGEREF _Toc359949307 \h </w:instrText>
            </w:r>
            <w:r w:rsidRPr="0043556C">
              <w:rPr>
                <w:noProof/>
                <w:webHidden/>
              </w:rPr>
            </w:r>
            <w:r w:rsidRPr="0043556C">
              <w:rPr>
                <w:noProof/>
                <w:webHidden/>
              </w:rPr>
              <w:fldChar w:fldCharType="separate"/>
            </w:r>
            <w:r w:rsidR="00E16F14">
              <w:rPr>
                <w:noProof/>
                <w:webHidden/>
              </w:rPr>
              <w:t>2</w:t>
            </w:r>
            <w:r w:rsidRPr="0043556C">
              <w:rPr>
                <w:noProof/>
                <w:webHidden/>
              </w:rPr>
              <w:fldChar w:fldCharType="end"/>
            </w:r>
          </w:hyperlink>
        </w:p>
        <w:p w:rsidR="00B070BF" w:rsidRPr="0043556C" w:rsidRDefault="009F043F" w:rsidP="00B070BF">
          <w:pPr>
            <w:tabs>
              <w:tab w:val="left" w:pos="1920"/>
              <w:tab w:val="right" w:leader="dot" w:pos="9345"/>
            </w:tabs>
            <w:spacing w:after="60"/>
            <w:ind w:left="660" w:hanging="439"/>
            <w:rPr>
              <w:rStyle w:val="Hyperlink"/>
              <w:noProof/>
            </w:rPr>
          </w:pPr>
          <w:hyperlink w:anchor="_Toc359949308" w:history="1">
            <w:r w:rsidR="00B070BF" w:rsidRPr="0043556C">
              <w:rPr>
                <w:rStyle w:val="Hyperlink"/>
                <w:noProof/>
              </w:rPr>
              <w:t>II.  RESEÑA GENERAL DE LOS AVANCES LOGRADOS EN 2012</w:t>
            </w:r>
            <w:r w:rsidR="00B070BF" w:rsidRPr="0043556C">
              <w:rPr>
                <w:rStyle w:val="Hyperlink"/>
                <w:noProof/>
                <w:webHidden/>
              </w:rPr>
              <w:tab/>
            </w:r>
            <w:r w:rsidR="00B070BF" w:rsidRPr="0043556C">
              <w:rPr>
                <w:rStyle w:val="Hyperlink"/>
                <w:noProof/>
                <w:webHidden/>
              </w:rPr>
              <w:fldChar w:fldCharType="begin"/>
            </w:r>
            <w:r w:rsidR="00B070BF" w:rsidRPr="0043556C">
              <w:rPr>
                <w:rStyle w:val="Hyperlink"/>
                <w:noProof/>
                <w:webHidden/>
              </w:rPr>
              <w:instrText xml:space="preserve"> PAGEREF _Toc359949308 \h </w:instrText>
            </w:r>
            <w:r w:rsidR="00B070BF" w:rsidRPr="0043556C">
              <w:rPr>
                <w:rStyle w:val="Hyperlink"/>
                <w:noProof/>
                <w:webHidden/>
              </w:rPr>
            </w:r>
            <w:r w:rsidR="00B070BF" w:rsidRPr="0043556C">
              <w:rPr>
                <w:rStyle w:val="Hyperlink"/>
                <w:noProof/>
                <w:webHidden/>
              </w:rPr>
              <w:fldChar w:fldCharType="separate"/>
            </w:r>
            <w:r w:rsidR="00E16F14">
              <w:rPr>
                <w:rStyle w:val="Hyperlink"/>
                <w:noProof/>
                <w:webHidden/>
              </w:rPr>
              <w:t>3</w:t>
            </w:r>
            <w:r w:rsidR="00B070BF" w:rsidRPr="0043556C">
              <w:rPr>
                <w:rStyle w:val="Hyperlink"/>
                <w:noProof/>
                <w:webHidden/>
              </w:rPr>
              <w:fldChar w:fldCharType="end"/>
            </w:r>
          </w:hyperlink>
        </w:p>
        <w:p w:rsidR="00B070BF" w:rsidRPr="0043556C" w:rsidRDefault="009F043F" w:rsidP="00B070BF">
          <w:pPr>
            <w:pStyle w:val="TOC2"/>
            <w:rPr>
              <w:rFonts w:asciiTheme="minorHAnsi" w:eastAsiaTheme="minorEastAsia" w:hAnsiTheme="minorHAnsi" w:cstheme="minorBidi"/>
              <w:noProof/>
              <w:szCs w:val="22"/>
              <w:lang w:val="es-ES" w:eastAsia="es-ES"/>
            </w:rPr>
          </w:pPr>
          <w:hyperlink w:anchor="_Toc359949309" w:history="1">
            <w:r w:rsidR="00B070BF" w:rsidRPr="0043556C">
              <w:rPr>
                <w:rStyle w:val="Hyperlink"/>
                <w:noProof/>
              </w:rPr>
              <w:t>PROGRAMA 1</w:t>
            </w:r>
            <w:r w:rsidR="00B070BF" w:rsidRPr="0043556C">
              <w:rPr>
                <w:rFonts w:asciiTheme="minorHAnsi" w:eastAsiaTheme="minorEastAsia" w:hAnsiTheme="minorHAnsi" w:cstheme="minorBidi"/>
                <w:noProof/>
                <w:szCs w:val="22"/>
                <w:lang w:val="es-ES" w:eastAsia="es-ES"/>
              </w:rPr>
              <w:tab/>
            </w:r>
            <w:r w:rsidR="00B070BF" w:rsidRPr="0043556C">
              <w:rPr>
                <w:rStyle w:val="Hyperlink"/>
                <w:noProof/>
              </w:rPr>
              <w:t>DERECHO DE PATENTES</w:t>
            </w:r>
            <w:r w:rsidR="00B070BF" w:rsidRPr="0043556C">
              <w:rPr>
                <w:noProof/>
                <w:webHidden/>
              </w:rPr>
              <w:tab/>
            </w:r>
            <w:r w:rsidR="00B070BF" w:rsidRPr="0043556C">
              <w:rPr>
                <w:noProof/>
                <w:webHidden/>
              </w:rPr>
              <w:fldChar w:fldCharType="begin"/>
            </w:r>
            <w:r w:rsidR="00B070BF" w:rsidRPr="0043556C">
              <w:rPr>
                <w:noProof/>
                <w:webHidden/>
              </w:rPr>
              <w:instrText xml:space="preserve"> PAGEREF _Toc359949309 \h </w:instrText>
            </w:r>
            <w:r w:rsidR="00B070BF" w:rsidRPr="0043556C">
              <w:rPr>
                <w:noProof/>
                <w:webHidden/>
              </w:rPr>
            </w:r>
            <w:r w:rsidR="00B070BF" w:rsidRPr="0043556C">
              <w:rPr>
                <w:noProof/>
                <w:webHidden/>
              </w:rPr>
              <w:fldChar w:fldCharType="separate"/>
            </w:r>
            <w:r w:rsidR="00E16F14">
              <w:rPr>
                <w:noProof/>
                <w:webHidden/>
              </w:rPr>
              <w:t>11</w:t>
            </w:r>
            <w:r w:rsidR="00B070BF" w:rsidRPr="0043556C">
              <w:rPr>
                <w:noProof/>
                <w:webHidden/>
              </w:rPr>
              <w:fldChar w:fldCharType="end"/>
            </w:r>
          </w:hyperlink>
        </w:p>
        <w:p w:rsidR="00B070BF" w:rsidRPr="0043556C" w:rsidRDefault="009F043F" w:rsidP="00B070BF">
          <w:pPr>
            <w:pStyle w:val="TOC2"/>
            <w:rPr>
              <w:rFonts w:asciiTheme="minorHAnsi" w:eastAsiaTheme="minorEastAsia" w:hAnsiTheme="minorHAnsi" w:cstheme="minorBidi"/>
              <w:noProof/>
              <w:szCs w:val="22"/>
              <w:lang w:val="es-ES" w:eastAsia="es-ES"/>
            </w:rPr>
          </w:pPr>
          <w:hyperlink w:anchor="_Toc359949310" w:history="1">
            <w:r w:rsidR="00B070BF" w:rsidRPr="0043556C">
              <w:rPr>
                <w:rStyle w:val="Hyperlink"/>
                <w:noProof/>
              </w:rPr>
              <w:t>PROGRAMA 2</w:t>
            </w:r>
            <w:r w:rsidR="00B070BF" w:rsidRPr="0043556C">
              <w:rPr>
                <w:rFonts w:asciiTheme="minorHAnsi" w:eastAsiaTheme="minorEastAsia" w:hAnsiTheme="minorHAnsi" w:cstheme="minorBidi"/>
                <w:noProof/>
                <w:szCs w:val="22"/>
                <w:lang w:val="es-ES" w:eastAsia="es-ES"/>
              </w:rPr>
              <w:tab/>
            </w:r>
            <w:r w:rsidR="00B070BF" w:rsidRPr="0043556C">
              <w:rPr>
                <w:rStyle w:val="Hyperlink"/>
                <w:noProof/>
              </w:rPr>
              <w:t xml:space="preserve">MARCAS, DIBUJOS Y MODELOS INDUSTRIALES E </w:t>
            </w:r>
            <w:r w:rsidR="00B070BF">
              <w:rPr>
                <w:rStyle w:val="Hyperlink"/>
                <w:noProof/>
              </w:rPr>
              <w:br/>
            </w:r>
            <w:r w:rsidR="00B070BF" w:rsidRPr="0043556C">
              <w:rPr>
                <w:rStyle w:val="Hyperlink"/>
                <w:noProof/>
              </w:rPr>
              <w:t>INDICACIONES GEOGRÁFICAS</w:t>
            </w:r>
            <w:r w:rsidR="00B070BF" w:rsidRPr="0043556C">
              <w:rPr>
                <w:noProof/>
                <w:webHidden/>
              </w:rPr>
              <w:tab/>
            </w:r>
            <w:r w:rsidR="00B070BF" w:rsidRPr="0043556C">
              <w:rPr>
                <w:noProof/>
                <w:webHidden/>
              </w:rPr>
              <w:fldChar w:fldCharType="begin"/>
            </w:r>
            <w:r w:rsidR="00B070BF" w:rsidRPr="0043556C">
              <w:rPr>
                <w:noProof/>
                <w:webHidden/>
              </w:rPr>
              <w:instrText xml:space="preserve"> PAGEREF _Toc359949310 \h </w:instrText>
            </w:r>
            <w:r w:rsidR="00B070BF" w:rsidRPr="0043556C">
              <w:rPr>
                <w:noProof/>
                <w:webHidden/>
              </w:rPr>
            </w:r>
            <w:r w:rsidR="00B070BF" w:rsidRPr="0043556C">
              <w:rPr>
                <w:noProof/>
                <w:webHidden/>
              </w:rPr>
              <w:fldChar w:fldCharType="separate"/>
            </w:r>
            <w:r w:rsidR="00E16F14">
              <w:rPr>
                <w:noProof/>
                <w:webHidden/>
              </w:rPr>
              <w:t>15</w:t>
            </w:r>
            <w:r w:rsidR="00B070BF" w:rsidRPr="0043556C">
              <w:rPr>
                <w:noProof/>
                <w:webHidden/>
              </w:rPr>
              <w:fldChar w:fldCharType="end"/>
            </w:r>
          </w:hyperlink>
        </w:p>
        <w:p w:rsidR="00B070BF" w:rsidRPr="0043556C" w:rsidRDefault="009F043F" w:rsidP="00B070BF">
          <w:pPr>
            <w:pStyle w:val="TOC2"/>
            <w:rPr>
              <w:rFonts w:asciiTheme="minorHAnsi" w:eastAsiaTheme="minorEastAsia" w:hAnsiTheme="minorHAnsi" w:cstheme="minorBidi"/>
              <w:noProof/>
              <w:szCs w:val="22"/>
              <w:lang w:val="es-ES" w:eastAsia="es-ES"/>
            </w:rPr>
          </w:pPr>
          <w:hyperlink w:anchor="_Toc359949311" w:history="1">
            <w:r w:rsidR="00B070BF" w:rsidRPr="0043556C">
              <w:rPr>
                <w:rStyle w:val="Hyperlink"/>
                <w:noProof/>
              </w:rPr>
              <w:t>PROGRAMA 3</w:t>
            </w:r>
            <w:r w:rsidR="00B070BF" w:rsidRPr="0043556C">
              <w:rPr>
                <w:rFonts w:asciiTheme="minorHAnsi" w:eastAsiaTheme="minorEastAsia" w:hAnsiTheme="minorHAnsi" w:cstheme="minorBidi"/>
                <w:noProof/>
                <w:szCs w:val="22"/>
                <w:lang w:val="es-ES" w:eastAsia="es-ES"/>
              </w:rPr>
              <w:tab/>
            </w:r>
            <w:r w:rsidR="00B070BF" w:rsidRPr="0043556C">
              <w:rPr>
                <w:rStyle w:val="Hyperlink"/>
                <w:noProof/>
              </w:rPr>
              <w:t>DERECHO DE AUTOR Y DERECHOS CONEXOS</w:t>
            </w:r>
            <w:r w:rsidR="00B070BF" w:rsidRPr="0043556C">
              <w:rPr>
                <w:noProof/>
                <w:webHidden/>
              </w:rPr>
              <w:tab/>
            </w:r>
            <w:r w:rsidR="00B070BF" w:rsidRPr="0043556C">
              <w:rPr>
                <w:noProof/>
                <w:webHidden/>
              </w:rPr>
              <w:fldChar w:fldCharType="begin"/>
            </w:r>
            <w:r w:rsidR="00B070BF" w:rsidRPr="0043556C">
              <w:rPr>
                <w:noProof/>
                <w:webHidden/>
              </w:rPr>
              <w:instrText xml:space="preserve"> PAGEREF _Toc359949311 \h </w:instrText>
            </w:r>
            <w:r w:rsidR="00B070BF" w:rsidRPr="0043556C">
              <w:rPr>
                <w:noProof/>
                <w:webHidden/>
              </w:rPr>
            </w:r>
            <w:r w:rsidR="00B070BF" w:rsidRPr="0043556C">
              <w:rPr>
                <w:noProof/>
                <w:webHidden/>
              </w:rPr>
              <w:fldChar w:fldCharType="separate"/>
            </w:r>
            <w:r w:rsidR="00E16F14">
              <w:rPr>
                <w:noProof/>
                <w:webHidden/>
              </w:rPr>
              <w:t>19</w:t>
            </w:r>
            <w:r w:rsidR="00B070BF" w:rsidRPr="0043556C">
              <w:rPr>
                <w:noProof/>
                <w:webHidden/>
              </w:rPr>
              <w:fldChar w:fldCharType="end"/>
            </w:r>
          </w:hyperlink>
        </w:p>
        <w:p w:rsidR="00B070BF" w:rsidRPr="0043556C" w:rsidRDefault="009F043F" w:rsidP="00B070BF">
          <w:pPr>
            <w:pStyle w:val="TOC2"/>
            <w:rPr>
              <w:rFonts w:asciiTheme="minorHAnsi" w:eastAsiaTheme="minorEastAsia" w:hAnsiTheme="minorHAnsi" w:cstheme="minorBidi"/>
              <w:noProof/>
              <w:szCs w:val="22"/>
              <w:lang w:val="es-ES" w:eastAsia="es-ES"/>
            </w:rPr>
          </w:pPr>
          <w:hyperlink w:anchor="_Toc359949312" w:history="1">
            <w:r w:rsidR="00B070BF" w:rsidRPr="0043556C">
              <w:rPr>
                <w:rStyle w:val="Hyperlink"/>
                <w:iCs/>
                <w:noProof/>
              </w:rPr>
              <w:t>PROGRAMA 4</w:t>
            </w:r>
            <w:r w:rsidR="00B070BF" w:rsidRPr="0043556C">
              <w:rPr>
                <w:rFonts w:asciiTheme="minorHAnsi" w:eastAsiaTheme="minorEastAsia" w:hAnsiTheme="minorHAnsi" w:cstheme="minorBidi"/>
                <w:noProof/>
                <w:szCs w:val="22"/>
                <w:lang w:val="es-ES" w:eastAsia="es-ES"/>
              </w:rPr>
              <w:tab/>
            </w:r>
            <w:r w:rsidR="00B070BF" w:rsidRPr="0043556C">
              <w:rPr>
                <w:rStyle w:val="Hyperlink"/>
                <w:iCs/>
                <w:noProof/>
              </w:rPr>
              <w:t>CONOCIMIENTOS TRADICIONALES, EXPRESIONES CULTURALES TRADICIONALES Y RECURSOS GENÉTICOS</w:t>
            </w:r>
            <w:r w:rsidR="00B070BF" w:rsidRPr="0043556C">
              <w:rPr>
                <w:noProof/>
                <w:webHidden/>
              </w:rPr>
              <w:tab/>
            </w:r>
            <w:r w:rsidR="00B070BF" w:rsidRPr="0043556C">
              <w:rPr>
                <w:noProof/>
                <w:webHidden/>
              </w:rPr>
              <w:fldChar w:fldCharType="begin"/>
            </w:r>
            <w:r w:rsidR="00B070BF" w:rsidRPr="0043556C">
              <w:rPr>
                <w:noProof/>
                <w:webHidden/>
              </w:rPr>
              <w:instrText xml:space="preserve"> PAGEREF _Toc359949312 \h </w:instrText>
            </w:r>
            <w:r w:rsidR="00B070BF" w:rsidRPr="0043556C">
              <w:rPr>
                <w:noProof/>
                <w:webHidden/>
              </w:rPr>
            </w:r>
            <w:r w:rsidR="00B070BF" w:rsidRPr="0043556C">
              <w:rPr>
                <w:noProof/>
                <w:webHidden/>
              </w:rPr>
              <w:fldChar w:fldCharType="separate"/>
            </w:r>
            <w:r w:rsidR="00E16F14">
              <w:rPr>
                <w:noProof/>
                <w:webHidden/>
              </w:rPr>
              <w:t>26</w:t>
            </w:r>
            <w:r w:rsidR="00B070BF" w:rsidRPr="0043556C">
              <w:rPr>
                <w:noProof/>
                <w:webHidden/>
              </w:rPr>
              <w:fldChar w:fldCharType="end"/>
            </w:r>
          </w:hyperlink>
        </w:p>
        <w:p w:rsidR="00B070BF" w:rsidRPr="0043556C" w:rsidRDefault="009F043F" w:rsidP="00B070BF">
          <w:pPr>
            <w:pStyle w:val="TOC2"/>
            <w:rPr>
              <w:rFonts w:asciiTheme="minorHAnsi" w:eastAsiaTheme="minorEastAsia" w:hAnsiTheme="minorHAnsi" w:cstheme="minorBidi"/>
              <w:noProof/>
              <w:szCs w:val="22"/>
              <w:lang w:val="es-ES" w:eastAsia="es-ES"/>
            </w:rPr>
          </w:pPr>
          <w:hyperlink w:anchor="_Toc359949313" w:history="1">
            <w:r w:rsidR="00B070BF" w:rsidRPr="0043556C">
              <w:rPr>
                <w:rStyle w:val="Hyperlink"/>
                <w:noProof/>
                <w:lang w:val="es-ES_tradnl"/>
              </w:rPr>
              <w:t xml:space="preserve">PROGRAMA 5 </w:t>
            </w:r>
            <w:r w:rsidR="00B070BF" w:rsidRPr="0043556C">
              <w:rPr>
                <w:rFonts w:asciiTheme="minorHAnsi" w:eastAsiaTheme="minorEastAsia" w:hAnsiTheme="minorHAnsi" w:cstheme="minorBidi"/>
                <w:noProof/>
                <w:szCs w:val="22"/>
                <w:lang w:val="es-ES" w:eastAsia="es-ES"/>
              </w:rPr>
              <w:tab/>
            </w:r>
            <w:r w:rsidR="00B070BF" w:rsidRPr="0043556C">
              <w:rPr>
                <w:rStyle w:val="Hyperlink"/>
                <w:noProof/>
                <w:lang w:val="es-ES_tradnl"/>
              </w:rPr>
              <w:t>SISTEMA DEL PCT</w:t>
            </w:r>
            <w:r w:rsidR="00B070BF" w:rsidRPr="0043556C">
              <w:rPr>
                <w:noProof/>
                <w:webHidden/>
              </w:rPr>
              <w:tab/>
            </w:r>
            <w:r w:rsidR="00B070BF" w:rsidRPr="0043556C">
              <w:rPr>
                <w:noProof/>
                <w:webHidden/>
              </w:rPr>
              <w:fldChar w:fldCharType="begin"/>
            </w:r>
            <w:r w:rsidR="00B070BF" w:rsidRPr="0043556C">
              <w:rPr>
                <w:noProof/>
                <w:webHidden/>
              </w:rPr>
              <w:instrText xml:space="preserve"> PAGEREF _Toc359949313 \h </w:instrText>
            </w:r>
            <w:r w:rsidR="00B070BF" w:rsidRPr="0043556C">
              <w:rPr>
                <w:noProof/>
                <w:webHidden/>
              </w:rPr>
            </w:r>
            <w:r w:rsidR="00B070BF" w:rsidRPr="0043556C">
              <w:rPr>
                <w:noProof/>
                <w:webHidden/>
              </w:rPr>
              <w:fldChar w:fldCharType="separate"/>
            </w:r>
            <w:r w:rsidR="00E16F14">
              <w:rPr>
                <w:noProof/>
                <w:webHidden/>
              </w:rPr>
              <w:t>30</w:t>
            </w:r>
            <w:r w:rsidR="00B070BF" w:rsidRPr="0043556C">
              <w:rPr>
                <w:noProof/>
                <w:webHidden/>
              </w:rPr>
              <w:fldChar w:fldCharType="end"/>
            </w:r>
          </w:hyperlink>
        </w:p>
        <w:p w:rsidR="00B070BF" w:rsidRPr="0043556C" w:rsidRDefault="009F043F" w:rsidP="00B070BF">
          <w:pPr>
            <w:pStyle w:val="TOC2"/>
            <w:rPr>
              <w:rFonts w:asciiTheme="minorHAnsi" w:eastAsiaTheme="minorEastAsia" w:hAnsiTheme="minorHAnsi" w:cstheme="minorBidi"/>
              <w:noProof/>
              <w:szCs w:val="22"/>
              <w:lang w:val="es-ES" w:eastAsia="es-ES"/>
            </w:rPr>
          </w:pPr>
          <w:hyperlink w:anchor="_Toc359949314" w:history="1">
            <w:r w:rsidR="00B070BF" w:rsidRPr="0043556C">
              <w:rPr>
                <w:rStyle w:val="Hyperlink"/>
                <w:noProof/>
                <w:lang w:val="es-ES_tradnl"/>
              </w:rPr>
              <w:t>PROGRAMA 6</w:t>
            </w:r>
            <w:r w:rsidR="00B070BF" w:rsidRPr="0043556C">
              <w:rPr>
                <w:rFonts w:asciiTheme="minorHAnsi" w:eastAsiaTheme="minorEastAsia" w:hAnsiTheme="minorHAnsi" w:cstheme="minorBidi"/>
                <w:noProof/>
                <w:szCs w:val="22"/>
                <w:lang w:val="es-ES" w:eastAsia="es-ES"/>
              </w:rPr>
              <w:tab/>
            </w:r>
            <w:r w:rsidR="00B070BF" w:rsidRPr="0043556C">
              <w:rPr>
                <w:rStyle w:val="Hyperlink"/>
                <w:noProof/>
                <w:lang w:val="es-ES_tradnl"/>
              </w:rPr>
              <w:t>SISTEMAS DE MADRID Y DE LISBOA</w:t>
            </w:r>
            <w:r w:rsidR="00B070BF" w:rsidRPr="0043556C">
              <w:rPr>
                <w:noProof/>
                <w:webHidden/>
              </w:rPr>
              <w:tab/>
            </w:r>
            <w:r w:rsidR="00B070BF" w:rsidRPr="0043556C">
              <w:rPr>
                <w:noProof/>
                <w:webHidden/>
              </w:rPr>
              <w:fldChar w:fldCharType="begin"/>
            </w:r>
            <w:r w:rsidR="00B070BF" w:rsidRPr="0043556C">
              <w:rPr>
                <w:noProof/>
                <w:webHidden/>
              </w:rPr>
              <w:instrText xml:space="preserve"> PAGEREF _Toc359949314 \h </w:instrText>
            </w:r>
            <w:r w:rsidR="00B070BF" w:rsidRPr="0043556C">
              <w:rPr>
                <w:noProof/>
                <w:webHidden/>
              </w:rPr>
            </w:r>
            <w:r w:rsidR="00B070BF" w:rsidRPr="0043556C">
              <w:rPr>
                <w:noProof/>
                <w:webHidden/>
              </w:rPr>
              <w:fldChar w:fldCharType="separate"/>
            </w:r>
            <w:r w:rsidR="00E16F14">
              <w:rPr>
                <w:noProof/>
                <w:webHidden/>
              </w:rPr>
              <w:t>44</w:t>
            </w:r>
            <w:r w:rsidR="00B070BF" w:rsidRPr="0043556C">
              <w:rPr>
                <w:noProof/>
                <w:webHidden/>
              </w:rPr>
              <w:fldChar w:fldCharType="end"/>
            </w:r>
          </w:hyperlink>
        </w:p>
        <w:p w:rsidR="00B070BF" w:rsidRPr="0043556C" w:rsidRDefault="009F043F" w:rsidP="00B070BF">
          <w:pPr>
            <w:pStyle w:val="TOC2"/>
            <w:rPr>
              <w:rFonts w:asciiTheme="minorHAnsi" w:eastAsiaTheme="minorEastAsia" w:hAnsiTheme="minorHAnsi" w:cstheme="minorBidi"/>
              <w:noProof/>
              <w:szCs w:val="22"/>
              <w:lang w:val="es-ES" w:eastAsia="es-ES"/>
            </w:rPr>
          </w:pPr>
          <w:hyperlink w:anchor="_Toc359949315" w:history="1">
            <w:r w:rsidR="00B070BF" w:rsidRPr="0043556C">
              <w:rPr>
                <w:rStyle w:val="Hyperlink"/>
                <w:iCs/>
                <w:noProof/>
              </w:rPr>
              <w:t>PROGRAMA 31</w:t>
            </w:r>
            <w:r w:rsidR="00B070BF" w:rsidRPr="0043556C">
              <w:rPr>
                <w:rFonts w:asciiTheme="minorHAnsi" w:eastAsiaTheme="minorEastAsia" w:hAnsiTheme="minorHAnsi" w:cstheme="minorBidi"/>
                <w:noProof/>
                <w:szCs w:val="22"/>
                <w:lang w:val="es-ES" w:eastAsia="es-ES"/>
              </w:rPr>
              <w:tab/>
            </w:r>
            <w:r w:rsidR="00B070BF" w:rsidRPr="0043556C">
              <w:rPr>
                <w:rStyle w:val="Hyperlink"/>
                <w:iCs/>
                <w:noProof/>
              </w:rPr>
              <w:t>SISTEMA DE LA HAYA</w:t>
            </w:r>
            <w:r w:rsidR="00B070BF" w:rsidRPr="0043556C">
              <w:rPr>
                <w:noProof/>
                <w:webHidden/>
              </w:rPr>
              <w:tab/>
            </w:r>
            <w:r w:rsidR="00B070BF" w:rsidRPr="0043556C">
              <w:rPr>
                <w:noProof/>
                <w:webHidden/>
              </w:rPr>
              <w:fldChar w:fldCharType="begin"/>
            </w:r>
            <w:r w:rsidR="00B070BF" w:rsidRPr="0043556C">
              <w:rPr>
                <w:noProof/>
                <w:webHidden/>
              </w:rPr>
              <w:instrText xml:space="preserve"> PAGEREF _Toc359949315 \h </w:instrText>
            </w:r>
            <w:r w:rsidR="00B070BF" w:rsidRPr="0043556C">
              <w:rPr>
                <w:noProof/>
                <w:webHidden/>
              </w:rPr>
            </w:r>
            <w:r w:rsidR="00B070BF" w:rsidRPr="0043556C">
              <w:rPr>
                <w:noProof/>
                <w:webHidden/>
              </w:rPr>
              <w:fldChar w:fldCharType="separate"/>
            </w:r>
            <w:r w:rsidR="00E16F14">
              <w:rPr>
                <w:noProof/>
                <w:webHidden/>
              </w:rPr>
              <w:t>50</w:t>
            </w:r>
            <w:r w:rsidR="00B070BF" w:rsidRPr="0043556C">
              <w:rPr>
                <w:noProof/>
                <w:webHidden/>
              </w:rPr>
              <w:fldChar w:fldCharType="end"/>
            </w:r>
          </w:hyperlink>
        </w:p>
        <w:p w:rsidR="00B070BF" w:rsidRPr="0043556C" w:rsidRDefault="009F043F" w:rsidP="00B070BF">
          <w:pPr>
            <w:pStyle w:val="TOC2"/>
            <w:rPr>
              <w:rFonts w:asciiTheme="minorHAnsi" w:eastAsiaTheme="minorEastAsia" w:hAnsiTheme="minorHAnsi" w:cstheme="minorBidi"/>
              <w:noProof/>
              <w:szCs w:val="22"/>
              <w:lang w:val="es-ES" w:eastAsia="es-ES"/>
            </w:rPr>
          </w:pPr>
          <w:hyperlink w:anchor="_Toc359949316" w:history="1">
            <w:r w:rsidR="00B070BF" w:rsidRPr="0043556C">
              <w:rPr>
                <w:rStyle w:val="Hyperlink"/>
                <w:iCs/>
                <w:noProof/>
                <w:lang w:val="es-ES_tradnl"/>
              </w:rPr>
              <w:t>PROGRAMA 7</w:t>
            </w:r>
            <w:r w:rsidR="00B070BF" w:rsidRPr="0043556C">
              <w:rPr>
                <w:rFonts w:asciiTheme="minorHAnsi" w:eastAsiaTheme="minorEastAsia" w:hAnsiTheme="minorHAnsi" w:cstheme="minorBidi"/>
                <w:noProof/>
                <w:szCs w:val="22"/>
                <w:lang w:val="es-ES" w:eastAsia="es-ES"/>
              </w:rPr>
              <w:tab/>
            </w:r>
            <w:r w:rsidR="00B070BF" w:rsidRPr="0043556C">
              <w:rPr>
                <w:rStyle w:val="Hyperlink"/>
                <w:iCs/>
                <w:noProof/>
                <w:lang w:val="es-ES_tradnl"/>
              </w:rPr>
              <w:t>ARBITRAJE, MEDIACIÓN Y NOMBRES DE DOMINIO</w:t>
            </w:r>
            <w:r w:rsidR="00B070BF" w:rsidRPr="0043556C">
              <w:rPr>
                <w:noProof/>
                <w:webHidden/>
              </w:rPr>
              <w:tab/>
            </w:r>
            <w:r w:rsidR="00B070BF" w:rsidRPr="0043556C">
              <w:rPr>
                <w:noProof/>
                <w:webHidden/>
              </w:rPr>
              <w:fldChar w:fldCharType="begin"/>
            </w:r>
            <w:r w:rsidR="00B070BF" w:rsidRPr="0043556C">
              <w:rPr>
                <w:noProof/>
                <w:webHidden/>
              </w:rPr>
              <w:instrText xml:space="preserve"> PAGEREF _Toc359949316 \h </w:instrText>
            </w:r>
            <w:r w:rsidR="00B070BF" w:rsidRPr="0043556C">
              <w:rPr>
                <w:noProof/>
                <w:webHidden/>
              </w:rPr>
            </w:r>
            <w:r w:rsidR="00B070BF" w:rsidRPr="0043556C">
              <w:rPr>
                <w:noProof/>
                <w:webHidden/>
              </w:rPr>
              <w:fldChar w:fldCharType="separate"/>
            </w:r>
            <w:r w:rsidR="00E16F14">
              <w:rPr>
                <w:noProof/>
                <w:webHidden/>
              </w:rPr>
              <w:t>54</w:t>
            </w:r>
            <w:r w:rsidR="00B070BF" w:rsidRPr="0043556C">
              <w:rPr>
                <w:noProof/>
                <w:webHidden/>
              </w:rPr>
              <w:fldChar w:fldCharType="end"/>
            </w:r>
          </w:hyperlink>
        </w:p>
        <w:p w:rsidR="00B070BF" w:rsidRPr="0043556C" w:rsidRDefault="009F043F" w:rsidP="00B070BF">
          <w:pPr>
            <w:pStyle w:val="TOC2"/>
            <w:rPr>
              <w:rFonts w:asciiTheme="minorHAnsi" w:eastAsiaTheme="minorEastAsia" w:hAnsiTheme="minorHAnsi" w:cstheme="minorBidi"/>
              <w:noProof/>
              <w:szCs w:val="22"/>
              <w:lang w:val="es-ES" w:eastAsia="es-ES"/>
            </w:rPr>
          </w:pPr>
          <w:hyperlink w:anchor="_Toc359949317" w:history="1">
            <w:r w:rsidR="00B070BF" w:rsidRPr="0043556C">
              <w:rPr>
                <w:rStyle w:val="Hyperlink"/>
                <w:iCs/>
                <w:noProof/>
                <w:lang w:val="es-ES_tradnl"/>
              </w:rPr>
              <w:t>PROGRAMA 8</w:t>
            </w:r>
            <w:r w:rsidR="00B070BF" w:rsidRPr="0043556C">
              <w:rPr>
                <w:rFonts w:asciiTheme="minorHAnsi" w:eastAsiaTheme="minorEastAsia" w:hAnsiTheme="minorHAnsi" w:cstheme="minorBidi"/>
                <w:noProof/>
                <w:szCs w:val="22"/>
                <w:lang w:val="es-ES" w:eastAsia="es-ES"/>
              </w:rPr>
              <w:tab/>
            </w:r>
            <w:r w:rsidR="00B070BF" w:rsidRPr="0043556C">
              <w:rPr>
                <w:rStyle w:val="Hyperlink"/>
                <w:iCs/>
                <w:noProof/>
                <w:lang w:val="es-ES_tradnl"/>
              </w:rPr>
              <w:t>COORDINACIÓN DE LA AGENDA PARA EL DESARROLLO</w:t>
            </w:r>
            <w:r w:rsidR="00B070BF" w:rsidRPr="0043556C">
              <w:rPr>
                <w:noProof/>
                <w:webHidden/>
              </w:rPr>
              <w:tab/>
            </w:r>
            <w:r w:rsidR="00B070BF" w:rsidRPr="0043556C">
              <w:rPr>
                <w:noProof/>
                <w:webHidden/>
              </w:rPr>
              <w:fldChar w:fldCharType="begin"/>
            </w:r>
            <w:r w:rsidR="00B070BF" w:rsidRPr="0043556C">
              <w:rPr>
                <w:noProof/>
                <w:webHidden/>
              </w:rPr>
              <w:instrText xml:space="preserve"> PAGEREF _Toc359949317 \h </w:instrText>
            </w:r>
            <w:r w:rsidR="00B070BF" w:rsidRPr="0043556C">
              <w:rPr>
                <w:noProof/>
                <w:webHidden/>
              </w:rPr>
            </w:r>
            <w:r w:rsidR="00B070BF" w:rsidRPr="0043556C">
              <w:rPr>
                <w:noProof/>
                <w:webHidden/>
              </w:rPr>
              <w:fldChar w:fldCharType="separate"/>
            </w:r>
            <w:r w:rsidR="00E16F14">
              <w:rPr>
                <w:noProof/>
                <w:webHidden/>
              </w:rPr>
              <w:t>58</w:t>
            </w:r>
            <w:r w:rsidR="00B070BF" w:rsidRPr="0043556C">
              <w:rPr>
                <w:noProof/>
                <w:webHidden/>
              </w:rPr>
              <w:fldChar w:fldCharType="end"/>
            </w:r>
          </w:hyperlink>
        </w:p>
        <w:p w:rsidR="00B070BF" w:rsidRPr="0043556C" w:rsidRDefault="009F043F" w:rsidP="00B070BF">
          <w:pPr>
            <w:pStyle w:val="TOC2"/>
            <w:rPr>
              <w:rFonts w:asciiTheme="minorHAnsi" w:eastAsiaTheme="minorEastAsia" w:hAnsiTheme="minorHAnsi" w:cstheme="minorBidi"/>
              <w:noProof/>
              <w:szCs w:val="22"/>
              <w:lang w:val="es-ES" w:eastAsia="es-ES"/>
            </w:rPr>
          </w:pPr>
          <w:hyperlink w:anchor="_Toc359949318" w:history="1">
            <w:r w:rsidR="00B070BF" w:rsidRPr="0043556C">
              <w:rPr>
                <w:rStyle w:val="Hyperlink"/>
                <w:noProof/>
                <w:lang w:val="es-ES_tradnl"/>
              </w:rPr>
              <w:t>PROGRAMA 9</w:t>
            </w:r>
            <w:r w:rsidR="00B070BF" w:rsidRPr="0043556C">
              <w:rPr>
                <w:rFonts w:asciiTheme="minorHAnsi" w:eastAsiaTheme="minorEastAsia" w:hAnsiTheme="minorHAnsi" w:cstheme="minorBidi"/>
                <w:noProof/>
                <w:szCs w:val="22"/>
                <w:lang w:val="es-ES" w:eastAsia="es-ES"/>
              </w:rPr>
              <w:tab/>
            </w:r>
            <w:r w:rsidR="00B070BF" w:rsidRPr="0043556C">
              <w:rPr>
                <w:rStyle w:val="Hyperlink"/>
                <w:noProof/>
                <w:lang w:val="es-ES_tradnl"/>
              </w:rPr>
              <w:t xml:space="preserve">PAÍSES AFRICANOS, ÁRABES, DE AMÉRICA LATINA Y EL CARIBE, </w:t>
            </w:r>
            <w:r w:rsidR="00B070BF">
              <w:rPr>
                <w:rStyle w:val="Hyperlink"/>
                <w:noProof/>
                <w:lang w:val="es-ES_tradnl"/>
              </w:rPr>
              <w:br/>
            </w:r>
            <w:r w:rsidR="00B070BF" w:rsidRPr="0043556C">
              <w:rPr>
                <w:rStyle w:val="Hyperlink"/>
                <w:noProof/>
                <w:lang w:val="es-ES_tradnl"/>
              </w:rPr>
              <w:t>DE ASIA Y EL PACÍFICO Y PAÍSES MENOS ADELANTADOS</w:t>
            </w:r>
            <w:r w:rsidR="00B070BF" w:rsidRPr="0043556C">
              <w:rPr>
                <w:noProof/>
                <w:webHidden/>
              </w:rPr>
              <w:tab/>
            </w:r>
            <w:r w:rsidR="00B070BF" w:rsidRPr="0043556C">
              <w:rPr>
                <w:noProof/>
                <w:webHidden/>
              </w:rPr>
              <w:fldChar w:fldCharType="begin"/>
            </w:r>
            <w:r w:rsidR="00B070BF" w:rsidRPr="0043556C">
              <w:rPr>
                <w:noProof/>
                <w:webHidden/>
              </w:rPr>
              <w:instrText xml:space="preserve"> PAGEREF _Toc359949318 \h </w:instrText>
            </w:r>
            <w:r w:rsidR="00B070BF" w:rsidRPr="0043556C">
              <w:rPr>
                <w:noProof/>
                <w:webHidden/>
              </w:rPr>
            </w:r>
            <w:r w:rsidR="00B070BF" w:rsidRPr="0043556C">
              <w:rPr>
                <w:noProof/>
                <w:webHidden/>
              </w:rPr>
              <w:fldChar w:fldCharType="separate"/>
            </w:r>
            <w:r w:rsidR="00E16F14">
              <w:rPr>
                <w:noProof/>
                <w:webHidden/>
              </w:rPr>
              <w:t>62</w:t>
            </w:r>
            <w:r w:rsidR="00B070BF" w:rsidRPr="0043556C">
              <w:rPr>
                <w:noProof/>
                <w:webHidden/>
              </w:rPr>
              <w:fldChar w:fldCharType="end"/>
            </w:r>
          </w:hyperlink>
        </w:p>
        <w:p w:rsidR="00B070BF" w:rsidRPr="0043556C" w:rsidRDefault="009F043F" w:rsidP="00B070BF">
          <w:pPr>
            <w:pStyle w:val="TOC2"/>
            <w:rPr>
              <w:rFonts w:asciiTheme="minorHAnsi" w:eastAsiaTheme="minorEastAsia" w:hAnsiTheme="minorHAnsi" w:cstheme="minorBidi"/>
              <w:noProof/>
              <w:szCs w:val="22"/>
              <w:lang w:val="es-ES" w:eastAsia="es-ES"/>
            </w:rPr>
          </w:pPr>
          <w:hyperlink w:anchor="_Toc359949319" w:history="1">
            <w:r w:rsidR="00B070BF" w:rsidRPr="0043556C">
              <w:rPr>
                <w:rStyle w:val="Hyperlink"/>
                <w:noProof/>
                <w:lang w:val="es-ES_tradnl"/>
              </w:rPr>
              <w:t>PROGRAMA 10</w:t>
            </w:r>
            <w:r w:rsidR="00B070BF" w:rsidRPr="0043556C">
              <w:rPr>
                <w:rFonts w:asciiTheme="minorHAnsi" w:eastAsiaTheme="minorEastAsia" w:hAnsiTheme="minorHAnsi" w:cstheme="minorBidi"/>
                <w:noProof/>
                <w:szCs w:val="22"/>
                <w:lang w:val="es-ES" w:eastAsia="es-ES"/>
              </w:rPr>
              <w:tab/>
            </w:r>
            <w:r w:rsidR="00B070BF" w:rsidRPr="0043556C">
              <w:rPr>
                <w:rStyle w:val="Hyperlink"/>
                <w:noProof/>
                <w:lang w:val="es-ES_tradnl"/>
              </w:rPr>
              <w:t>COOPERACIÓN CON DETERMINADOS PAÍSES DE EUROPA Y ASIA</w:t>
            </w:r>
            <w:r w:rsidR="00B070BF" w:rsidRPr="0043556C">
              <w:rPr>
                <w:noProof/>
                <w:webHidden/>
              </w:rPr>
              <w:tab/>
            </w:r>
            <w:r w:rsidR="00B070BF" w:rsidRPr="0043556C">
              <w:rPr>
                <w:noProof/>
                <w:webHidden/>
              </w:rPr>
              <w:fldChar w:fldCharType="begin"/>
            </w:r>
            <w:r w:rsidR="00B070BF" w:rsidRPr="0043556C">
              <w:rPr>
                <w:noProof/>
                <w:webHidden/>
              </w:rPr>
              <w:instrText xml:space="preserve"> PAGEREF _Toc359949319 \h </w:instrText>
            </w:r>
            <w:r w:rsidR="00B070BF" w:rsidRPr="0043556C">
              <w:rPr>
                <w:noProof/>
                <w:webHidden/>
              </w:rPr>
            </w:r>
            <w:r w:rsidR="00B070BF" w:rsidRPr="0043556C">
              <w:rPr>
                <w:noProof/>
                <w:webHidden/>
              </w:rPr>
              <w:fldChar w:fldCharType="separate"/>
            </w:r>
            <w:r w:rsidR="00E16F14">
              <w:rPr>
                <w:noProof/>
                <w:webHidden/>
              </w:rPr>
              <w:t>75</w:t>
            </w:r>
            <w:r w:rsidR="00B070BF" w:rsidRPr="0043556C">
              <w:rPr>
                <w:noProof/>
                <w:webHidden/>
              </w:rPr>
              <w:fldChar w:fldCharType="end"/>
            </w:r>
          </w:hyperlink>
        </w:p>
        <w:p w:rsidR="00B070BF" w:rsidRPr="0043556C" w:rsidRDefault="009F043F" w:rsidP="00B070BF">
          <w:pPr>
            <w:pStyle w:val="TOC2"/>
            <w:rPr>
              <w:rFonts w:asciiTheme="minorHAnsi" w:eastAsiaTheme="minorEastAsia" w:hAnsiTheme="minorHAnsi" w:cstheme="minorBidi"/>
              <w:noProof/>
              <w:szCs w:val="22"/>
              <w:lang w:val="es-ES" w:eastAsia="es-ES"/>
            </w:rPr>
          </w:pPr>
          <w:hyperlink w:anchor="_Toc359949320" w:history="1">
            <w:r w:rsidR="00B070BF" w:rsidRPr="0043556C">
              <w:rPr>
                <w:rStyle w:val="Hyperlink"/>
                <w:noProof/>
                <w:lang w:val="es-ES_tradnl"/>
              </w:rPr>
              <w:t>PROGRAMA 11</w:t>
            </w:r>
            <w:r w:rsidR="00B070BF" w:rsidRPr="0043556C">
              <w:rPr>
                <w:rFonts w:asciiTheme="minorHAnsi" w:eastAsiaTheme="minorEastAsia" w:hAnsiTheme="minorHAnsi" w:cstheme="minorBidi"/>
                <w:noProof/>
                <w:szCs w:val="22"/>
                <w:lang w:val="es-ES" w:eastAsia="es-ES"/>
              </w:rPr>
              <w:tab/>
            </w:r>
            <w:r w:rsidR="00B070BF" w:rsidRPr="0043556C">
              <w:rPr>
                <w:rStyle w:val="Hyperlink"/>
                <w:noProof/>
                <w:lang w:val="es-ES_tradnl"/>
              </w:rPr>
              <w:t>ACADEMIA DE LA OMPI</w:t>
            </w:r>
            <w:r w:rsidR="00B070BF" w:rsidRPr="0043556C">
              <w:rPr>
                <w:noProof/>
                <w:webHidden/>
              </w:rPr>
              <w:tab/>
            </w:r>
            <w:r w:rsidR="00B070BF" w:rsidRPr="0043556C">
              <w:rPr>
                <w:noProof/>
                <w:webHidden/>
              </w:rPr>
              <w:fldChar w:fldCharType="begin"/>
            </w:r>
            <w:r w:rsidR="00B070BF" w:rsidRPr="0043556C">
              <w:rPr>
                <w:noProof/>
                <w:webHidden/>
              </w:rPr>
              <w:instrText xml:space="preserve"> PAGEREF _Toc359949320 \h </w:instrText>
            </w:r>
            <w:r w:rsidR="00B070BF" w:rsidRPr="0043556C">
              <w:rPr>
                <w:noProof/>
                <w:webHidden/>
              </w:rPr>
            </w:r>
            <w:r w:rsidR="00B070BF" w:rsidRPr="0043556C">
              <w:rPr>
                <w:noProof/>
                <w:webHidden/>
              </w:rPr>
              <w:fldChar w:fldCharType="separate"/>
            </w:r>
            <w:r w:rsidR="00E16F14">
              <w:rPr>
                <w:noProof/>
                <w:webHidden/>
              </w:rPr>
              <w:t>81</w:t>
            </w:r>
            <w:r w:rsidR="00B070BF" w:rsidRPr="0043556C">
              <w:rPr>
                <w:noProof/>
                <w:webHidden/>
              </w:rPr>
              <w:fldChar w:fldCharType="end"/>
            </w:r>
          </w:hyperlink>
        </w:p>
        <w:p w:rsidR="00B070BF" w:rsidRPr="0043556C" w:rsidRDefault="009F043F" w:rsidP="00B070BF">
          <w:pPr>
            <w:pStyle w:val="TOC2"/>
            <w:rPr>
              <w:rFonts w:asciiTheme="minorHAnsi" w:eastAsiaTheme="minorEastAsia" w:hAnsiTheme="minorHAnsi" w:cstheme="minorBidi"/>
              <w:noProof/>
              <w:szCs w:val="22"/>
              <w:lang w:val="es-ES" w:eastAsia="es-ES"/>
            </w:rPr>
          </w:pPr>
          <w:hyperlink w:anchor="_Toc359949321" w:history="1">
            <w:r w:rsidR="00B070BF" w:rsidRPr="0043556C">
              <w:rPr>
                <w:rStyle w:val="Hyperlink"/>
                <w:noProof/>
                <w:lang w:val="es-ES_tradnl"/>
              </w:rPr>
              <w:t>PROGRAMA 30</w:t>
            </w:r>
            <w:r w:rsidR="00B070BF" w:rsidRPr="0043556C">
              <w:rPr>
                <w:rFonts w:asciiTheme="minorHAnsi" w:eastAsiaTheme="minorEastAsia" w:hAnsiTheme="minorHAnsi" w:cstheme="minorBidi"/>
                <w:noProof/>
                <w:szCs w:val="22"/>
                <w:lang w:val="es-ES" w:eastAsia="es-ES"/>
              </w:rPr>
              <w:tab/>
            </w:r>
            <w:r w:rsidR="00B070BF" w:rsidRPr="0043556C">
              <w:rPr>
                <w:rStyle w:val="Hyperlink"/>
                <w:noProof/>
                <w:lang w:val="es-ES_tradnl"/>
              </w:rPr>
              <w:t>LAS PEQUEÑAS Y MEDIANAS EMPRESAS (PYMES) Y LA INNOVACIÓN</w:t>
            </w:r>
            <w:r w:rsidR="00B070BF" w:rsidRPr="0043556C">
              <w:rPr>
                <w:noProof/>
                <w:webHidden/>
              </w:rPr>
              <w:tab/>
            </w:r>
            <w:r w:rsidR="00B070BF" w:rsidRPr="0043556C">
              <w:rPr>
                <w:noProof/>
                <w:webHidden/>
              </w:rPr>
              <w:fldChar w:fldCharType="begin"/>
            </w:r>
            <w:r w:rsidR="00B070BF" w:rsidRPr="0043556C">
              <w:rPr>
                <w:noProof/>
                <w:webHidden/>
              </w:rPr>
              <w:instrText xml:space="preserve"> PAGEREF _Toc359949321 \h </w:instrText>
            </w:r>
            <w:r w:rsidR="00B070BF" w:rsidRPr="0043556C">
              <w:rPr>
                <w:noProof/>
                <w:webHidden/>
              </w:rPr>
            </w:r>
            <w:r w:rsidR="00B070BF" w:rsidRPr="0043556C">
              <w:rPr>
                <w:noProof/>
                <w:webHidden/>
              </w:rPr>
              <w:fldChar w:fldCharType="separate"/>
            </w:r>
            <w:r w:rsidR="00E16F14">
              <w:rPr>
                <w:noProof/>
                <w:webHidden/>
              </w:rPr>
              <w:t>87</w:t>
            </w:r>
            <w:r w:rsidR="00B070BF" w:rsidRPr="0043556C">
              <w:rPr>
                <w:noProof/>
                <w:webHidden/>
              </w:rPr>
              <w:fldChar w:fldCharType="end"/>
            </w:r>
          </w:hyperlink>
        </w:p>
        <w:p w:rsidR="00B070BF" w:rsidRPr="0043556C" w:rsidRDefault="009F043F" w:rsidP="00B070BF">
          <w:pPr>
            <w:pStyle w:val="TOC2"/>
            <w:rPr>
              <w:rFonts w:asciiTheme="minorHAnsi" w:eastAsiaTheme="minorEastAsia" w:hAnsiTheme="minorHAnsi" w:cstheme="minorBidi"/>
              <w:noProof/>
              <w:szCs w:val="22"/>
              <w:lang w:val="es-ES" w:eastAsia="es-ES"/>
            </w:rPr>
          </w:pPr>
          <w:hyperlink w:anchor="_Toc359949322" w:history="1">
            <w:r w:rsidR="00B070BF" w:rsidRPr="0043556C">
              <w:rPr>
                <w:rStyle w:val="Hyperlink"/>
                <w:noProof/>
                <w:lang w:val="es-ES_tradnl"/>
              </w:rPr>
              <w:t>PROGRAMA 12</w:t>
            </w:r>
            <w:r w:rsidR="00B070BF" w:rsidRPr="0043556C">
              <w:rPr>
                <w:rFonts w:asciiTheme="minorHAnsi" w:eastAsiaTheme="minorEastAsia" w:hAnsiTheme="minorHAnsi" w:cstheme="minorBidi"/>
                <w:noProof/>
                <w:szCs w:val="22"/>
                <w:lang w:val="es-ES" w:eastAsia="es-ES"/>
              </w:rPr>
              <w:tab/>
            </w:r>
            <w:r w:rsidR="00B070BF" w:rsidRPr="0043556C">
              <w:rPr>
                <w:rStyle w:val="Hyperlink"/>
                <w:noProof/>
                <w:lang w:val="es-ES_tradnl"/>
              </w:rPr>
              <w:t xml:space="preserve">CLASIFICACIONES INTERNACIONALES Y NORMAS </w:t>
            </w:r>
            <w:r w:rsidR="00B070BF">
              <w:rPr>
                <w:rStyle w:val="Hyperlink"/>
                <w:noProof/>
                <w:lang w:val="es-ES_tradnl"/>
              </w:rPr>
              <w:br/>
            </w:r>
            <w:r w:rsidR="00B070BF" w:rsidRPr="0043556C">
              <w:rPr>
                <w:rStyle w:val="Hyperlink"/>
                <w:noProof/>
                <w:lang w:val="es-ES_tradnl"/>
              </w:rPr>
              <w:t>TÉCNICAS DE LA OMPI</w:t>
            </w:r>
            <w:r w:rsidR="00B070BF" w:rsidRPr="0043556C">
              <w:rPr>
                <w:noProof/>
                <w:webHidden/>
              </w:rPr>
              <w:tab/>
            </w:r>
            <w:r w:rsidR="00B070BF" w:rsidRPr="0043556C">
              <w:rPr>
                <w:noProof/>
                <w:webHidden/>
              </w:rPr>
              <w:fldChar w:fldCharType="begin"/>
            </w:r>
            <w:r w:rsidR="00B070BF" w:rsidRPr="0043556C">
              <w:rPr>
                <w:noProof/>
                <w:webHidden/>
              </w:rPr>
              <w:instrText xml:space="preserve"> PAGEREF _Toc359949322 \h </w:instrText>
            </w:r>
            <w:r w:rsidR="00B070BF" w:rsidRPr="0043556C">
              <w:rPr>
                <w:noProof/>
                <w:webHidden/>
              </w:rPr>
            </w:r>
            <w:r w:rsidR="00B070BF" w:rsidRPr="0043556C">
              <w:rPr>
                <w:noProof/>
                <w:webHidden/>
              </w:rPr>
              <w:fldChar w:fldCharType="separate"/>
            </w:r>
            <w:r w:rsidR="00E16F14">
              <w:rPr>
                <w:noProof/>
                <w:webHidden/>
              </w:rPr>
              <w:t>92</w:t>
            </w:r>
            <w:r w:rsidR="00B070BF" w:rsidRPr="0043556C">
              <w:rPr>
                <w:noProof/>
                <w:webHidden/>
              </w:rPr>
              <w:fldChar w:fldCharType="end"/>
            </w:r>
          </w:hyperlink>
        </w:p>
        <w:p w:rsidR="00B070BF" w:rsidRPr="0043556C" w:rsidRDefault="009F043F" w:rsidP="00B070BF">
          <w:pPr>
            <w:pStyle w:val="TOC2"/>
            <w:rPr>
              <w:rFonts w:asciiTheme="minorHAnsi" w:eastAsiaTheme="minorEastAsia" w:hAnsiTheme="minorHAnsi" w:cstheme="minorBidi"/>
              <w:noProof/>
              <w:szCs w:val="22"/>
              <w:lang w:val="es-ES" w:eastAsia="es-ES"/>
            </w:rPr>
          </w:pPr>
          <w:hyperlink w:anchor="_Toc359949323" w:history="1">
            <w:r w:rsidR="00B070BF" w:rsidRPr="0043556C">
              <w:rPr>
                <w:rStyle w:val="Hyperlink"/>
                <w:noProof/>
              </w:rPr>
              <w:t>PROGRAMA 13</w:t>
            </w:r>
            <w:r w:rsidR="00B070BF" w:rsidRPr="0043556C">
              <w:rPr>
                <w:rFonts w:asciiTheme="minorHAnsi" w:eastAsiaTheme="minorEastAsia" w:hAnsiTheme="minorHAnsi" w:cstheme="minorBidi"/>
                <w:noProof/>
                <w:szCs w:val="22"/>
                <w:lang w:val="es-ES" w:eastAsia="es-ES"/>
              </w:rPr>
              <w:tab/>
            </w:r>
            <w:r w:rsidR="00B070BF" w:rsidRPr="0043556C">
              <w:rPr>
                <w:rStyle w:val="Hyperlink"/>
                <w:noProof/>
              </w:rPr>
              <w:t>BASES DE DATOS MUNDIALES</w:t>
            </w:r>
            <w:r w:rsidR="00B070BF" w:rsidRPr="0043556C">
              <w:rPr>
                <w:noProof/>
                <w:webHidden/>
              </w:rPr>
              <w:tab/>
            </w:r>
            <w:r w:rsidR="00B070BF" w:rsidRPr="0043556C">
              <w:rPr>
                <w:noProof/>
                <w:webHidden/>
              </w:rPr>
              <w:fldChar w:fldCharType="begin"/>
            </w:r>
            <w:r w:rsidR="00B070BF" w:rsidRPr="0043556C">
              <w:rPr>
                <w:noProof/>
                <w:webHidden/>
              </w:rPr>
              <w:instrText xml:space="preserve"> PAGEREF _Toc359949323 \h </w:instrText>
            </w:r>
            <w:r w:rsidR="00B070BF" w:rsidRPr="0043556C">
              <w:rPr>
                <w:noProof/>
                <w:webHidden/>
              </w:rPr>
            </w:r>
            <w:r w:rsidR="00B070BF" w:rsidRPr="0043556C">
              <w:rPr>
                <w:noProof/>
                <w:webHidden/>
              </w:rPr>
              <w:fldChar w:fldCharType="separate"/>
            </w:r>
            <w:r w:rsidR="00E16F14">
              <w:rPr>
                <w:noProof/>
                <w:webHidden/>
              </w:rPr>
              <w:t>95</w:t>
            </w:r>
            <w:r w:rsidR="00B070BF" w:rsidRPr="0043556C">
              <w:rPr>
                <w:noProof/>
                <w:webHidden/>
              </w:rPr>
              <w:fldChar w:fldCharType="end"/>
            </w:r>
          </w:hyperlink>
        </w:p>
        <w:p w:rsidR="00B070BF" w:rsidRPr="0043556C" w:rsidRDefault="009F043F" w:rsidP="00B070BF">
          <w:pPr>
            <w:pStyle w:val="TOC2"/>
            <w:rPr>
              <w:rFonts w:asciiTheme="minorHAnsi" w:eastAsiaTheme="minorEastAsia" w:hAnsiTheme="minorHAnsi" w:cstheme="minorBidi"/>
              <w:noProof/>
              <w:szCs w:val="22"/>
              <w:lang w:val="es-ES" w:eastAsia="es-ES"/>
            </w:rPr>
          </w:pPr>
          <w:hyperlink w:anchor="_Toc359949324" w:history="1">
            <w:r w:rsidR="00B070BF" w:rsidRPr="0043556C">
              <w:rPr>
                <w:rStyle w:val="Hyperlink"/>
                <w:noProof/>
                <w:lang w:val="es-ES_tradnl"/>
              </w:rPr>
              <w:t>PROGRAMA 14</w:t>
            </w:r>
            <w:r w:rsidR="00B070BF" w:rsidRPr="0043556C">
              <w:rPr>
                <w:rFonts w:asciiTheme="minorHAnsi" w:eastAsiaTheme="minorEastAsia" w:hAnsiTheme="minorHAnsi" w:cstheme="minorBidi"/>
                <w:noProof/>
                <w:szCs w:val="22"/>
                <w:lang w:val="es-ES" w:eastAsia="es-ES"/>
              </w:rPr>
              <w:tab/>
            </w:r>
            <w:r w:rsidR="00B070BF" w:rsidRPr="0043556C">
              <w:rPr>
                <w:rStyle w:val="Hyperlink"/>
                <w:noProof/>
                <w:lang w:val="es-ES_tradnl"/>
              </w:rPr>
              <w:t>SERVICIOS DE ACCESO A LA INFORMACIÓN Y A LOS CONOCIMIENTOS</w:t>
            </w:r>
            <w:r w:rsidR="00B070BF" w:rsidRPr="0043556C">
              <w:rPr>
                <w:noProof/>
                <w:webHidden/>
              </w:rPr>
              <w:tab/>
            </w:r>
            <w:r w:rsidR="00B070BF" w:rsidRPr="0043556C">
              <w:rPr>
                <w:noProof/>
                <w:webHidden/>
              </w:rPr>
              <w:fldChar w:fldCharType="begin"/>
            </w:r>
            <w:r w:rsidR="00B070BF" w:rsidRPr="0043556C">
              <w:rPr>
                <w:noProof/>
                <w:webHidden/>
              </w:rPr>
              <w:instrText xml:space="preserve"> PAGEREF _Toc359949324 \h </w:instrText>
            </w:r>
            <w:r w:rsidR="00B070BF" w:rsidRPr="0043556C">
              <w:rPr>
                <w:noProof/>
                <w:webHidden/>
              </w:rPr>
            </w:r>
            <w:r w:rsidR="00B070BF" w:rsidRPr="0043556C">
              <w:rPr>
                <w:noProof/>
                <w:webHidden/>
              </w:rPr>
              <w:fldChar w:fldCharType="separate"/>
            </w:r>
            <w:r w:rsidR="00E16F14">
              <w:rPr>
                <w:noProof/>
                <w:webHidden/>
              </w:rPr>
              <w:t>98</w:t>
            </w:r>
            <w:r w:rsidR="00B070BF" w:rsidRPr="0043556C">
              <w:rPr>
                <w:noProof/>
                <w:webHidden/>
              </w:rPr>
              <w:fldChar w:fldCharType="end"/>
            </w:r>
          </w:hyperlink>
        </w:p>
        <w:p w:rsidR="00B070BF" w:rsidRPr="0043556C" w:rsidRDefault="009F043F" w:rsidP="00B070BF">
          <w:pPr>
            <w:pStyle w:val="TOC2"/>
            <w:rPr>
              <w:rFonts w:asciiTheme="minorHAnsi" w:eastAsiaTheme="minorEastAsia" w:hAnsiTheme="minorHAnsi" w:cstheme="minorBidi"/>
              <w:noProof/>
              <w:szCs w:val="22"/>
              <w:lang w:val="es-ES" w:eastAsia="es-ES"/>
            </w:rPr>
          </w:pPr>
          <w:hyperlink w:anchor="_Toc359949325" w:history="1">
            <w:r w:rsidR="00B070BF" w:rsidRPr="0043556C">
              <w:rPr>
                <w:rStyle w:val="Hyperlink"/>
                <w:noProof/>
                <w:lang w:val="es-ES_tradnl"/>
              </w:rPr>
              <w:t>Programa 15</w:t>
            </w:r>
            <w:r w:rsidR="00B070BF" w:rsidRPr="0043556C">
              <w:rPr>
                <w:rFonts w:asciiTheme="minorHAnsi" w:eastAsiaTheme="minorEastAsia" w:hAnsiTheme="minorHAnsi" w:cstheme="minorBidi"/>
                <w:noProof/>
                <w:szCs w:val="22"/>
                <w:lang w:val="es-ES" w:eastAsia="es-ES"/>
              </w:rPr>
              <w:tab/>
            </w:r>
            <w:r w:rsidR="00B070BF" w:rsidRPr="0043556C">
              <w:rPr>
                <w:rStyle w:val="Hyperlink"/>
                <w:noProof/>
                <w:lang w:val="es-ES_tradnl"/>
              </w:rPr>
              <w:t>SOLUCIONES OPERATIVAS PARA LAS OFICINAS DE P.I.</w:t>
            </w:r>
            <w:r w:rsidR="00B070BF" w:rsidRPr="0043556C">
              <w:rPr>
                <w:noProof/>
                <w:webHidden/>
              </w:rPr>
              <w:tab/>
            </w:r>
            <w:r w:rsidR="00B070BF" w:rsidRPr="0043556C">
              <w:rPr>
                <w:noProof/>
                <w:webHidden/>
              </w:rPr>
              <w:fldChar w:fldCharType="begin"/>
            </w:r>
            <w:r w:rsidR="00B070BF" w:rsidRPr="0043556C">
              <w:rPr>
                <w:noProof/>
                <w:webHidden/>
              </w:rPr>
              <w:instrText xml:space="preserve"> PAGEREF _Toc359949325 \h </w:instrText>
            </w:r>
            <w:r w:rsidR="00B070BF" w:rsidRPr="0043556C">
              <w:rPr>
                <w:noProof/>
                <w:webHidden/>
              </w:rPr>
            </w:r>
            <w:r w:rsidR="00B070BF" w:rsidRPr="0043556C">
              <w:rPr>
                <w:noProof/>
                <w:webHidden/>
              </w:rPr>
              <w:fldChar w:fldCharType="separate"/>
            </w:r>
            <w:r w:rsidR="00E16F14">
              <w:rPr>
                <w:noProof/>
                <w:webHidden/>
              </w:rPr>
              <w:t>102</w:t>
            </w:r>
            <w:r w:rsidR="00B070BF" w:rsidRPr="0043556C">
              <w:rPr>
                <w:noProof/>
                <w:webHidden/>
              </w:rPr>
              <w:fldChar w:fldCharType="end"/>
            </w:r>
          </w:hyperlink>
        </w:p>
        <w:p w:rsidR="00B070BF" w:rsidRPr="0043556C" w:rsidRDefault="009F043F" w:rsidP="00B070BF">
          <w:pPr>
            <w:pStyle w:val="TOC2"/>
            <w:rPr>
              <w:rFonts w:asciiTheme="minorHAnsi" w:eastAsiaTheme="minorEastAsia" w:hAnsiTheme="minorHAnsi" w:cstheme="minorBidi"/>
              <w:noProof/>
              <w:szCs w:val="22"/>
              <w:lang w:val="es-ES" w:eastAsia="es-ES"/>
            </w:rPr>
          </w:pPr>
          <w:hyperlink w:anchor="_Toc359949326" w:history="1">
            <w:r w:rsidR="00B070BF" w:rsidRPr="0043556C">
              <w:rPr>
                <w:rStyle w:val="Hyperlink"/>
                <w:bCs/>
                <w:iCs/>
                <w:noProof/>
              </w:rPr>
              <w:t>PRO</w:t>
            </w:r>
            <w:r w:rsidR="00B070BF" w:rsidRPr="0043556C">
              <w:rPr>
                <w:rStyle w:val="Hyperlink"/>
                <w:bCs/>
                <w:iCs/>
                <w:noProof/>
                <w:lang w:val="es-ES_tradnl"/>
              </w:rPr>
              <w:t>GRAMA 16</w:t>
            </w:r>
            <w:r w:rsidR="00B070BF" w:rsidRPr="0043556C">
              <w:rPr>
                <w:rFonts w:asciiTheme="minorHAnsi" w:eastAsiaTheme="minorEastAsia" w:hAnsiTheme="minorHAnsi" w:cstheme="minorBidi"/>
                <w:noProof/>
                <w:szCs w:val="22"/>
                <w:lang w:val="es-ES" w:eastAsia="es-ES"/>
              </w:rPr>
              <w:tab/>
            </w:r>
            <w:r w:rsidR="00B070BF" w:rsidRPr="0043556C">
              <w:rPr>
                <w:rStyle w:val="Hyperlink"/>
                <w:bCs/>
                <w:iCs/>
                <w:noProof/>
                <w:lang w:val="es-ES_tradnl"/>
              </w:rPr>
              <w:t>ECONOMÍA Y ESTADÍSTICA</w:t>
            </w:r>
            <w:r w:rsidR="00B070BF" w:rsidRPr="0043556C">
              <w:rPr>
                <w:noProof/>
                <w:webHidden/>
              </w:rPr>
              <w:tab/>
            </w:r>
            <w:r w:rsidR="00B070BF" w:rsidRPr="0043556C">
              <w:rPr>
                <w:noProof/>
                <w:webHidden/>
              </w:rPr>
              <w:fldChar w:fldCharType="begin"/>
            </w:r>
            <w:r w:rsidR="00B070BF" w:rsidRPr="0043556C">
              <w:rPr>
                <w:noProof/>
                <w:webHidden/>
              </w:rPr>
              <w:instrText xml:space="preserve"> PAGEREF _Toc359949326 \h </w:instrText>
            </w:r>
            <w:r w:rsidR="00B070BF" w:rsidRPr="0043556C">
              <w:rPr>
                <w:noProof/>
                <w:webHidden/>
              </w:rPr>
            </w:r>
            <w:r w:rsidR="00B070BF" w:rsidRPr="0043556C">
              <w:rPr>
                <w:noProof/>
                <w:webHidden/>
              </w:rPr>
              <w:fldChar w:fldCharType="separate"/>
            </w:r>
            <w:r w:rsidR="00E16F14">
              <w:rPr>
                <w:noProof/>
                <w:webHidden/>
              </w:rPr>
              <w:t>106</w:t>
            </w:r>
            <w:r w:rsidR="00B070BF" w:rsidRPr="0043556C">
              <w:rPr>
                <w:noProof/>
                <w:webHidden/>
              </w:rPr>
              <w:fldChar w:fldCharType="end"/>
            </w:r>
          </w:hyperlink>
        </w:p>
        <w:p w:rsidR="00B070BF" w:rsidRPr="0043556C" w:rsidRDefault="009F043F" w:rsidP="00B070BF">
          <w:pPr>
            <w:pStyle w:val="TOC2"/>
            <w:rPr>
              <w:rFonts w:asciiTheme="minorHAnsi" w:eastAsiaTheme="minorEastAsia" w:hAnsiTheme="minorHAnsi" w:cstheme="minorBidi"/>
              <w:noProof/>
              <w:szCs w:val="22"/>
              <w:lang w:val="es-ES" w:eastAsia="es-ES"/>
            </w:rPr>
          </w:pPr>
          <w:hyperlink w:anchor="_Toc359949327" w:history="1">
            <w:r w:rsidR="00B070BF" w:rsidRPr="0043556C">
              <w:rPr>
                <w:rStyle w:val="Hyperlink"/>
                <w:noProof/>
                <w:lang w:val="es-ES_tradnl"/>
              </w:rPr>
              <w:t>PROGRAMA 17</w:t>
            </w:r>
            <w:r w:rsidR="00B070BF" w:rsidRPr="0043556C">
              <w:rPr>
                <w:rFonts w:asciiTheme="minorHAnsi" w:eastAsiaTheme="minorEastAsia" w:hAnsiTheme="minorHAnsi" w:cstheme="minorBidi"/>
                <w:noProof/>
                <w:szCs w:val="22"/>
                <w:lang w:val="es-ES" w:eastAsia="es-ES"/>
              </w:rPr>
              <w:tab/>
            </w:r>
            <w:r w:rsidR="00B070BF" w:rsidRPr="0043556C">
              <w:rPr>
                <w:rStyle w:val="Hyperlink"/>
                <w:noProof/>
                <w:lang w:val="es-ES_tradnl"/>
              </w:rPr>
              <w:t>CULTIVAR EL RESPETO POR LA P.I.</w:t>
            </w:r>
            <w:r w:rsidR="00B070BF" w:rsidRPr="0043556C">
              <w:rPr>
                <w:noProof/>
                <w:webHidden/>
              </w:rPr>
              <w:tab/>
            </w:r>
            <w:r w:rsidR="00B070BF" w:rsidRPr="0043556C">
              <w:rPr>
                <w:noProof/>
                <w:webHidden/>
              </w:rPr>
              <w:fldChar w:fldCharType="begin"/>
            </w:r>
            <w:r w:rsidR="00B070BF" w:rsidRPr="0043556C">
              <w:rPr>
                <w:noProof/>
                <w:webHidden/>
              </w:rPr>
              <w:instrText xml:space="preserve"> PAGEREF _Toc359949327 \h </w:instrText>
            </w:r>
            <w:r w:rsidR="00B070BF" w:rsidRPr="0043556C">
              <w:rPr>
                <w:noProof/>
                <w:webHidden/>
              </w:rPr>
            </w:r>
            <w:r w:rsidR="00B070BF" w:rsidRPr="0043556C">
              <w:rPr>
                <w:noProof/>
                <w:webHidden/>
              </w:rPr>
              <w:fldChar w:fldCharType="separate"/>
            </w:r>
            <w:r w:rsidR="00E16F14">
              <w:rPr>
                <w:noProof/>
                <w:webHidden/>
              </w:rPr>
              <w:t>110</w:t>
            </w:r>
            <w:r w:rsidR="00B070BF" w:rsidRPr="0043556C">
              <w:rPr>
                <w:noProof/>
                <w:webHidden/>
              </w:rPr>
              <w:fldChar w:fldCharType="end"/>
            </w:r>
          </w:hyperlink>
        </w:p>
        <w:p w:rsidR="00B070BF" w:rsidRPr="0043556C" w:rsidRDefault="009F043F" w:rsidP="00B070BF">
          <w:pPr>
            <w:pStyle w:val="TOC2"/>
            <w:rPr>
              <w:rFonts w:asciiTheme="minorHAnsi" w:eastAsiaTheme="minorEastAsia" w:hAnsiTheme="minorHAnsi" w:cstheme="minorBidi"/>
              <w:noProof/>
              <w:szCs w:val="22"/>
              <w:lang w:val="es-ES" w:eastAsia="es-ES"/>
            </w:rPr>
          </w:pPr>
          <w:hyperlink w:anchor="_Toc359949328" w:history="1">
            <w:r w:rsidR="00B070BF" w:rsidRPr="0043556C">
              <w:rPr>
                <w:rStyle w:val="Hyperlink"/>
                <w:noProof/>
                <w:lang w:val="es-ES_tradnl"/>
              </w:rPr>
              <w:t>PROGRAMA 18</w:t>
            </w:r>
            <w:r w:rsidR="00B070BF" w:rsidRPr="0043556C">
              <w:rPr>
                <w:rFonts w:asciiTheme="minorHAnsi" w:eastAsiaTheme="minorEastAsia" w:hAnsiTheme="minorHAnsi" w:cstheme="minorBidi"/>
                <w:noProof/>
                <w:szCs w:val="22"/>
                <w:lang w:val="es-ES" w:eastAsia="es-ES"/>
              </w:rPr>
              <w:tab/>
            </w:r>
            <w:r w:rsidR="00B070BF" w:rsidRPr="0043556C">
              <w:rPr>
                <w:rStyle w:val="Hyperlink"/>
                <w:noProof/>
                <w:lang w:val="es-ES_tradnl"/>
              </w:rPr>
              <w:t>LA P.I. Y LOS DESAFÍOS MUNDIALES</w:t>
            </w:r>
            <w:r w:rsidR="00B070BF" w:rsidRPr="0043556C">
              <w:rPr>
                <w:noProof/>
                <w:webHidden/>
              </w:rPr>
              <w:tab/>
            </w:r>
            <w:r w:rsidR="00B070BF" w:rsidRPr="0043556C">
              <w:rPr>
                <w:noProof/>
                <w:webHidden/>
              </w:rPr>
              <w:fldChar w:fldCharType="begin"/>
            </w:r>
            <w:r w:rsidR="00B070BF" w:rsidRPr="0043556C">
              <w:rPr>
                <w:noProof/>
                <w:webHidden/>
              </w:rPr>
              <w:instrText xml:space="preserve"> PAGEREF _Toc359949328 \h </w:instrText>
            </w:r>
            <w:r w:rsidR="00B070BF" w:rsidRPr="0043556C">
              <w:rPr>
                <w:noProof/>
                <w:webHidden/>
              </w:rPr>
            </w:r>
            <w:r w:rsidR="00B070BF" w:rsidRPr="0043556C">
              <w:rPr>
                <w:noProof/>
                <w:webHidden/>
              </w:rPr>
              <w:fldChar w:fldCharType="separate"/>
            </w:r>
            <w:r w:rsidR="00E16F14">
              <w:rPr>
                <w:noProof/>
                <w:webHidden/>
              </w:rPr>
              <w:t>114</w:t>
            </w:r>
            <w:r w:rsidR="00B070BF" w:rsidRPr="0043556C">
              <w:rPr>
                <w:noProof/>
                <w:webHidden/>
              </w:rPr>
              <w:fldChar w:fldCharType="end"/>
            </w:r>
          </w:hyperlink>
        </w:p>
        <w:p w:rsidR="00B070BF" w:rsidRPr="0043556C" w:rsidRDefault="009F043F" w:rsidP="00B070BF">
          <w:pPr>
            <w:pStyle w:val="TOC2"/>
            <w:rPr>
              <w:rFonts w:asciiTheme="minorHAnsi" w:eastAsiaTheme="minorEastAsia" w:hAnsiTheme="minorHAnsi" w:cstheme="minorBidi"/>
              <w:noProof/>
              <w:szCs w:val="22"/>
              <w:lang w:val="es-ES" w:eastAsia="es-ES"/>
            </w:rPr>
          </w:pPr>
          <w:hyperlink w:anchor="_Toc359949329" w:history="1">
            <w:r w:rsidR="00B070BF" w:rsidRPr="0043556C">
              <w:rPr>
                <w:rStyle w:val="Hyperlink"/>
                <w:noProof/>
              </w:rPr>
              <w:t>PROGRAMA 19</w:t>
            </w:r>
            <w:r w:rsidR="00B070BF" w:rsidRPr="0043556C">
              <w:rPr>
                <w:rFonts w:asciiTheme="minorHAnsi" w:eastAsiaTheme="minorEastAsia" w:hAnsiTheme="minorHAnsi" w:cstheme="minorBidi"/>
                <w:noProof/>
                <w:szCs w:val="22"/>
                <w:lang w:val="es-ES" w:eastAsia="es-ES"/>
              </w:rPr>
              <w:tab/>
            </w:r>
            <w:r w:rsidR="00B070BF" w:rsidRPr="0043556C">
              <w:rPr>
                <w:rStyle w:val="Hyperlink"/>
                <w:noProof/>
              </w:rPr>
              <w:t>COMUNICACIONES</w:t>
            </w:r>
            <w:r w:rsidR="00B070BF" w:rsidRPr="0043556C">
              <w:rPr>
                <w:noProof/>
                <w:webHidden/>
              </w:rPr>
              <w:tab/>
            </w:r>
            <w:r w:rsidR="00B070BF" w:rsidRPr="0043556C">
              <w:rPr>
                <w:noProof/>
                <w:webHidden/>
              </w:rPr>
              <w:fldChar w:fldCharType="begin"/>
            </w:r>
            <w:r w:rsidR="00B070BF" w:rsidRPr="0043556C">
              <w:rPr>
                <w:noProof/>
                <w:webHidden/>
              </w:rPr>
              <w:instrText xml:space="preserve"> PAGEREF _Toc359949329 \h </w:instrText>
            </w:r>
            <w:r w:rsidR="00B070BF" w:rsidRPr="0043556C">
              <w:rPr>
                <w:noProof/>
                <w:webHidden/>
              </w:rPr>
            </w:r>
            <w:r w:rsidR="00B070BF" w:rsidRPr="0043556C">
              <w:rPr>
                <w:noProof/>
                <w:webHidden/>
              </w:rPr>
              <w:fldChar w:fldCharType="separate"/>
            </w:r>
            <w:r w:rsidR="00E16F14">
              <w:rPr>
                <w:noProof/>
                <w:webHidden/>
              </w:rPr>
              <w:t>119</w:t>
            </w:r>
            <w:r w:rsidR="00B070BF" w:rsidRPr="0043556C">
              <w:rPr>
                <w:noProof/>
                <w:webHidden/>
              </w:rPr>
              <w:fldChar w:fldCharType="end"/>
            </w:r>
          </w:hyperlink>
        </w:p>
        <w:p w:rsidR="00B070BF" w:rsidRPr="0043556C" w:rsidRDefault="009F043F" w:rsidP="00B070BF">
          <w:pPr>
            <w:pStyle w:val="TOC2"/>
            <w:rPr>
              <w:rFonts w:asciiTheme="minorHAnsi" w:eastAsiaTheme="minorEastAsia" w:hAnsiTheme="minorHAnsi" w:cstheme="minorBidi"/>
              <w:noProof/>
              <w:szCs w:val="22"/>
              <w:lang w:val="es-ES" w:eastAsia="es-ES"/>
            </w:rPr>
          </w:pPr>
          <w:hyperlink w:anchor="_Toc359949330" w:history="1">
            <w:r w:rsidR="00B070BF" w:rsidRPr="0043556C">
              <w:rPr>
                <w:rStyle w:val="Hyperlink"/>
                <w:iCs/>
                <w:noProof/>
                <w:lang w:val="es-ES_tradnl"/>
              </w:rPr>
              <w:t>PROGRAMA 20</w:t>
            </w:r>
            <w:r w:rsidR="00B070BF" w:rsidRPr="0043556C">
              <w:rPr>
                <w:rFonts w:asciiTheme="minorHAnsi" w:eastAsiaTheme="minorEastAsia" w:hAnsiTheme="minorHAnsi" w:cstheme="minorBidi"/>
                <w:noProof/>
                <w:szCs w:val="22"/>
                <w:lang w:val="es-ES" w:eastAsia="es-ES"/>
              </w:rPr>
              <w:tab/>
            </w:r>
            <w:r w:rsidR="00B070BF" w:rsidRPr="0043556C">
              <w:rPr>
                <w:rStyle w:val="Hyperlink"/>
                <w:iCs/>
                <w:noProof/>
                <w:lang w:val="es-ES_tradnl"/>
              </w:rPr>
              <w:t>RELACIONES EXTERIORES, ALIANZAS Y OFICINAS EXTERNAS</w:t>
            </w:r>
            <w:r w:rsidR="00B070BF" w:rsidRPr="0043556C">
              <w:rPr>
                <w:noProof/>
                <w:webHidden/>
              </w:rPr>
              <w:tab/>
            </w:r>
            <w:r w:rsidR="00B070BF" w:rsidRPr="0043556C">
              <w:rPr>
                <w:noProof/>
                <w:webHidden/>
              </w:rPr>
              <w:fldChar w:fldCharType="begin"/>
            </w:r>
            <w:r w:rsidR="00B070BF" w:rsidRPr="0043556C">
              <w:rPr>
                <w:noProof/>
                <w:webHidden/>
              </w:rPr>
              <w:instrText xml:space="preserve"> PAGEREF _Toc359949330 \h </w:instrText>
            </w:r>
            <w:r w:rsidR="00B070BF" w:rsidRPr="0043556C">
              <w:rPr>
                <w:noProof/>
                <w:webHidden/>
              </w:rPr>
            </w:r>
            <w:r w:rsidR="00B070BF" w:rsidRPr="0043556C">
              <w:rPr>
                <w:noProof/>
                <w:webHidden/>
              </w:rPr>
              <w:fldChar w:fldCharType="separate"/>
            </w:r>
            <w:r w:rsidR="00E16F14">
              <w:rPr>
                <w:noProof/>
                <w:webHidden/>
              </w:rPr>
              <w:t>124</w:t>
            </w:r>
            <w:r w:rsidR="00B070BF" w:rsidRPr="0043556C">
              <w:rPr>
                <w:noProof/>
                <w:webHidden/>
              </w:rPr>
              <w:fldChar w:fldCharType="end"/>
            </w:r>
          </w:hyperlink>
        </w:p>
        <w:p w:rsidR="00B070BF" w:rsidRPr="0043556C" w:rsidRDefault="009F043F" w:rsidP="00B070BF">
          <w:pPr>
            <w:pStyle w:val="TOC2"/>
            <w:rPr>
              <w:rFonts w:asciiTheme="minorHAnsi" w:eastAsiaTheme="minorEastAsia" w:hAnsiTheme="minorHAnsi" w:cstheme="minorBidi"/>
              <w:noProof/>
              <w:szCs w:val="22"/>
              <w:lang w:val="es-ES" w:eastAsia="es-ES"/>
            </w:rPr>
          </w:pPr>
          <w:hyperlink w:anchor="_Toc359949331" w:history="1">
            <w:r w:rsidR="00B070BF" w:rsidRPr="0043556C">
              <w:rPr>
                <w:rStyle w:val="Hyperlink"/>
                <w:noProof/>
                <w:lang w:val="es-ES_tradnl"/>
              </w:rPr>
              <w:t>PROGRAMA 21</w:t>
            </w:r>
            <w:r w:rsidR="00B070BF" w:rsidRPr="0043556C">
              <w:rPr>
                <w:rFonts w:asciiTheme="minorHAnsi" w:eastAsiaTheme="minorEastAsia" w:hAnsiTheme="minorHAnsi" w:cstheme="minorBidi"/>
                <w:noProof/>
                <w:szCs w:val="22"/>
                <w:lang w:val="es-ES" w:eastAsia="es-ES"/>
              </w:rPr>
              <w:tab/>
            </w:r>
            <w:r w:rsidR="00B070BF" w:rsidRPr="0043556C">
              <w:rPr>
                <w:rStyle w:val="Hyperlink"/>
                <w:noProof/>
                <w:lang w:val="es-ES_tradnl"/>
              </w:rPr>
              <w:t>GESTIÓN EJECUTIVA</w:t>
            </w:r>
            <w:r w:rsidR="00B070BF" w:rsidRPr="0043556C">
              <w:rPr>
                <w:noProof/>
                <w:webHidden/>
              </w:rPr>
              <w:tab/>
            </w:r>
            <w:r w:rsidR="00B070BF" w:rsidRPr="0043556C">
              <w:rPr>
                <w:noProof/>
                <w:webHidden/>
              </w:rPr>
              <w:fldChar w:fldCharType="begin"/>
            </w:r>
            <w:r w:rsidR="00B070BF" w:rsidRPr="0043556C">
              <w:rPr>
                <w:noProof/>
                <w:webHidden/>
              </w:rPr>
              <w:instrText xml:space="preserve"> PAGEREF _Toc359949331 \h </w:instrText>
            </w:r>
            <w:r w:rsidR="00B070BF" w:rsidRPr="0043556C">
              <w:rPr>
                <w:noProof/>
                <w:webHidden/>
              </w:rPr>
            </w:r>
            <w:r w:rsidR="00B070BF" w:rsidRPr="0043556C">
              <w:rPr>
                <w:noProof/>
                <w:webHidden/>
              </w:rPr>
              <w:fldChar w:fldCharType="separate"/>
            </w:r>
            <w:r w:rsidR="00E16F14">
              <w:rPr>
                <w:noProof/>
                <w:webHidden/>
              </w:rPr>
              <w:t>131</w:t>
            </w:r>
            <w:r w:rsidR="00B070BF" w:rsidRPr="0043556C">
              <w:rPr>
                <w:noProof/>
                <w:webHidden/>
              </w:rPr>
              <w:fldChar w:fldCharType="end"/>
            </w:r>
          </w:hyperlink>
        </w:p>
        <w:p w:rsidR="00B070BF" w:rsidRPr="0043556C" w:rsidRDefault="009F043F" w:rsidP="00B070BF">
          <w:pPr>
            <w:pStyle w:val="TOC2"/>
            <w:rPr>
              <w:rFonts w:asciiTheme="minorHAnsi" w:eastAsiaTheme="minorEastAsia" w:hAnsiTheme="minorHAnsi" w:cstheme="minorBidi"/>
              <w:noProof/>
              <w:szCs w:val="22"/>
              <w:lang w:val="es-ES" w:eastAsia="es-ES"/>
            </w:rPr>
          </w:pPr>
          <w:hyperlink w:anchor="_Toc359949332" w:history="1">
            <w:r w:rsidR="00B070BF" w:rsidRPr="0043556C">
              <w:rPr>
                <w:rStyle w:val="Hyperlink"/>
                <w:bCs/>
                <w:iCs/>
                <w:noProof/>
                <w:lang w:val="es-ES_tradnl"/>
              </w:rPr>
              <w:t>PROGRAMA 22</w:t>
            </w:r>
            <w:r w:rsidR="00B070BF" w:rsidRPr="0043556C">
              <w:rPr>
                <w:rFonts w:asciiTheme="minorHAnsi" w:eastAsiaTheme="minorEastAsia" w:hAnsiTheme="minorHAnsi" w:cstheme="minorBidi"/>
                <w:noProof/>
                <w:szCs w:val="22"/>
                <w:lang w:val="es-ES" w:eastAsia="es-ES"/>
              </w:rPr>
              <w:tab/>
            </w:r>
            <w:r w:rsidR="00B070BF" w:rsidRPr="0043556C">
              <w:rPr>
                <w:rStyle w:val="Hyperlink"/>
                <w:bCs/>
                <w:iCs/>
                <w:noProof/>
                <w:lang w:val="es-ES_tradnl"/>
              </w:rPr>
              <w:t>GESTIÓN DE PROGRAMAS Y RECURSOS</w:t>
            </w:r>
            <w:r w:rsidR="00B070BF" w:rsidRPr="0043556C">
              <w:rPr>
                <w:noProof/>
                <w:webHidden/>
              </w:rPr>
              <w:tab/>
            </w:r>
            <w:r w:rsidR="00B070BF" w:rsidRPr="0043556C">
              <w:rPr>
                <w:noProof/>
                <w:webHidden/>
              </w:rPr>
              <w:fldChar w:fldCharType="begin"/>
            </w:r>
            <w:r w:rsidR="00B070BF" w:rsidRPr="0043556C">
              <w:rPr>
                <w:noProof/>
                <w:webHidden/>
              </w:rPr>
              <w:instrText xml:space="preserve"> PAGEREF _Toc359949332 \h </w:instrText>
            </w:r>
            <w:r w:rsidR="00B070BF" w:rsidRPr="0043556C">
              <w:rPr>
                <w:noProof/>
                <w:webHidden/>
              </w:rPr>
            </w:r>
            <w:r w:rsidR="00B070BF" w:rsidRPr="0043556C">
              <w:rPr>
                <w:noProof/>
                <w:webHidden/>
              </w:rPr>
              <w:fldChar w:fldCharType="separate"/>
            </w:r>
            <w:r w:rsidR="00E16F14">
              <w:rPr>
                <w:noProof/>
                <w:webHidden/>
              </w:rPr>
              <w:t>136</w:t>
            </w:r>
            <w:r w:rsidR="00B070BF" w:rsidRPr="0043556C">
              <w:rPr>
                <w:noProof/>
                <w:webHidden/>
              </w:rPr>
              <w:fldChar w:fldCharType="end"/>
            </w:r>
          </w:hyperlink>
        </w:p>
        <w:p w:rsidR="00B070BF" w:rsidRPr="0043556C" w:rsidRDefault="009F043F" w:rsidP="00B070BF">
          <w:pPr>
            <w:pStyle w:val="TOC2"/>
            <w:rPr>
              <w:rFonts w:asciiTheme="minorHAnsi" w:eastAsiaTheme="minorEastAsia" w:hAnsiTheme="minorHAnsi" w:cstheme="minorBidi"/>
              <w:noProof/>
              <w:szCs w:val="22"/>
              <w:lang w:val="es-ES" w:eastAsia="es-ES"/>
            </w:rPr>
          </w:pPr>
          <w:hyperlink w:anchor="_Toc359949333" w:history="1">
            <w:r w:rsidR="00B070BF" w:rsidRPr="0043556C">
              <w:rPr>
                <w:rStyle w:val="Hyperlink"/>
                <w:bCs/>
                <w:iCs/>
                <w:noProof/>
                <w:lang w:val="es-ES_tradnl"/>
              </w:rPr>
              <w:t>PROGRAMA 23</w:t>
            </w:r>
            <w:r w:rsidR="00B070BF" w:rsidRPr="0043556C">
              <w:rPr>
                <w:rFonts w:asciiTheme="minorHAnsi" w:eastAsiaTheme="minorEastAsia" w:hAnsiTheme="minorHAnsi" w:cstheme="minorBidi"/>
                <w:noProof/>
                <w:szCs w:val="22"/>
                <w:lang w:val="es-ES" w:eastAsia="es-ES"/>
              </w:rPr>
              <w:tab/>
            </w:r>
            <w:r w:rsidR="00B070BF" w:rsidRPr="0043556C">
              <w:rPr>
                <w:rStyle w:val="Hyperlink"/>
                <w:bCs/>
                <w:iCs/>
                <w:noProof/>
                <w:lang w:val="es-ES_tradnl"/>
              </w:rPr>
              <w:t>GESTIÓN Y DESARROLLO DE LOS RECURSOS HUMANOS</w:t>
            </w:r>
            <w:r w:rsidR="00B070BF" w:rsidRPr="0043556C">
              <w:rPr>
                <w:noProof/>
                <w:webHidden/>
              </w:rPr>
              <w:tab/>
            </w:r>
            <w:r w:rsidR="00B070BF" w:rsidRPr="0043556C">
              <w:rPr>
                <w:noProof/>
                <w:webHidden/>
              </w:rPr>
              <w:fldChar w:fldCharType="begin"/>
            </w:r>
            <w:r w:rsidR="00B070BF" w:rsidRPr="0043556C">
              <w:rPr>
                <w:noProof/>
                <w:webHidden/>
              </w:rPr>
              <w:instrText xml:space="preserve"> PAGEREF _Toc359949333 \h </w:instrText>
            </w:r>
            <w:r w:rsidR="00B070BF" w:rsidRPr="0043556C">
              <w:rPr>
                <w:noProof/>
                <w:webHidden/>
              </w:rPr>
            </w:r>
            <w:r w:rsidR="00B070BF" w:rsidRPr="0043556C">
              <w:rPr>
                <w:noProof/>
                <w:webHidden/>
              </w:rPr>
              <w:fldChar w:fldCharType="separate"/>
            </w:r>
            <w:r w:rsidR="00E16F14">
              <w:rPr>
                <w:noProof/>
                <w:webHidden/>
              </w:rPr>
              <w:t>140</w:t>
            </w:r>
            <w:r w:rsidR="00B070BF" w:rsidRPr="0043556C">
              <w:rPr>
                <w:noProof/>
                <w:webHidden/>
              </w:rPr>
              <w:fldChar w:fldCharType="end"/>
            </w:r>
          </w:hyperlink>
        </w:p>
        <w:p w:rsidR="00B070BF" w:rsidRPr="0043556C" w:rsidRDefault="009F043F" w:rsidP="00B070BF">
          <w:pPr>
            <w:pStyle w:val="TOC2"/>
            <w:rPr>
              <w:rFonts w:asciiTheme="minorHAnsi" w:eastAsiaTheme="minorEastAsia" w:hAnsiTheme="minorHAnsi" w:cstheme="minorBidi"/>
              <w:noProof/>
              <w:szCs w:val="22"/>
              <w:lang w:val="es-ES" w:eastAsia="es-ES"/>
            </w:rPr>
          </w:pPr>
          <w:hyperlink w:anchor="_Toc359949334" w:history="1">
            <w:r w:rsidR="00B070BF" w:rsidRPr="0043556C">
              <w:rPr>
                <w:rStyle w:val="Hyperlink"/>
                <w:iCs/>
                <w:noProof/>
                <w:lang w:val="es-ES_tradnl"/>
              </w:rPr>
              <w:t>PROGRAMA 24</w:t>
            </w:r>
            <w:r w:rsidR="00B070BF" w:rsidRPr="0043556C">
              <w:rPr>
                <w:rFonts w:asciiTheme="minorHAnsi" w:eastAsiaTheme="minorEastAsia" w:hAnsiTheme="minorHAnsi" w:cstheme="minorBidi"/>
                <w:noProof/>
                <w:szCs w:val="22"/>
                <w:lang w:val="es-ES" w:eastAsia="es-ES"/>
              </w:rPr>
              <w:tab/>
            </w:r>
            <w:r w:rsidR="00B070BF" w:rsidRPr="0043556C">
              <w:rPr>
                <w:rStyle w:val="Hyperlink"/>
                <w:iCs/>
                <w:noProof/>
                <w:lang w:val="es-ES_tradnl"/>
              </w:rPr>
              <w:t>SERVICIOS DE APOYO GENERALES</w:t>
            </w:r>
            <w:r w:rsidR="00B070BF" w:rsidRPr="0043556C">
              <w:rPr>
                <w:noProof/>
                <w:webHidden/>
              </w:rPr>
              <w:tab/>
            </w:r>
            <w:r w:rsidR="00B070BF" w:rsidRPr="0043556C">
              <w:rPr>
                <w:noProof/>
                <w:webHidden/>
              </w:rPr>
              <w:fldChar w:fldCharType="begin"/>
            </w:r>
            <w:r w:rsidR="00B070BF" w:rsidRPr="0043556C">
              <w:rPr>
                <w:noProof/>
                <w:webHidden/>
              </w:rPr>
              <w:instrText xml:space="preserve"> PAGEREF _Toc359949334 \h </w:instrText>
            </w:r>
            <w:r w:rsidR="00B070BF" w:rsidRPr="0043556C">
              <w:rPr>
                <w:noProof/>
                <w:webHidden/>
              </w:rPr>
            </w:r>
            <w:r w:rsidR="00B070BF" w:rsidRPr="0043556C">
              <w:rPr>
                <w:noProof/>
                <w:webHidden/>
              </w:rPr>
              <w:fldChar w:fldCharType="separate"/>
            </w:r>
            <w:r w:rsidR="00E16F14">
              <w:rPr>
                <w:noProof/>
                <w:webHidden/>
              </w:rPr>
              <w:t>145</w:t>
            </w:r>
            <w:r w:rsidR="00B070BF" w:rsidRPr="0043556C">
              <w:rPr>
                <w:noProof/>
                <w:webHidden/>
              </w:rPr>
              <w:fldChar w:fldCharType="end"/>
            </w:r>
          </w:hyperlink>
        </w:p>
        <w:p w:rsidR="00B070BF" w:rsidRPr="0043556C" w:rsidRDefault="009F043F" w:rsidP="00B070BF">
          <w:pPr>
            <w:pStyle w:val="TOC2"/>
            <w:rPr>
              <w:rFonts w:asciiTheme="minorHAnsi" w:eastAsiaTheme="minorEastAsia" w:hAnsiTheme="minorHAnsi" w:cstheme="minorBidi"/>
              <w:noProof/>
              <w:szCs w:val="22"/>
              <w:lang w:val="es-ES" w:eastAsia="es-ES"/>
            </w:rPr>
          </w:pPr>
          <w:hyperlink w:anchor="_Toc359949335" w:history="1">
            <w:r w:rsidR="00B070BF" w:rsidRPr="0043556C">
              <w:rPr>
                <w:rStyle w:val="Hyperlink"/>
                <w:bCs/>
                <w:iCs/>
                <w:noProof/>
                <w:lang w:val="es-ES_tradnl"/>
              </w:rPr>
              <w:t>PROGRAMA 25</w:t>
            </w:r>
            <w:r w:rsidR="00B070BF" w:rsidRPr="0043556C">
              <w:rPr>
                <w:rFonts w:asciiTheme="minorHAnsi" w:eastAsiaTheme="minorEastAsia" w:hAnsiTheme="minorHAnsi" w:cstheme="minorBidi"/>
                <w:noProof/>
                <w:szCs w:val="22"/>
                <w:lang w:val="es-ES" w:eastAsia="es-ES"/>
              </w:rPr>
              <w:tab/>
            </w:r>
            <w:r w:rsidR="00B070BF" w:rsidRPr="0043556C">
              <w:rPr>
                <w:rStyle w:val="Hyperlink"/>
                <w:bCs/>
                <w:iCs/>
                <w:noProof/>
                <w:lang w:val="es-ES_tradnl"/>
              </w:rPr>
              <w:t xml:space="preserve">TECNOLOGÍAS DE LA INFORMACIÓN Y DE LAS </w:t>
            </w:r>
            <w:r w:rsidR="00B070BF">
              <w:rPr>
                <w:rStyle w:val="Hyperlink"/>
                <w:bCs/>
                <w:iCs/>
                <w:noProof/>
                <w:lang w:val="es-ES_tradnl"/>
              </w:rPr>
              <w:br/>
            </w:r>
            <w:r w:rsidR="00B070BF" w:rsidRPr="0043556C">
              <w:rPr>
                <w:rStyle w:val="Hyperlink"/>
                <w:bCs/>
                <w:iCs/>
                <w:noProof/>
                <w:lang w:val="es-ES_tradnl"/>
              </w:rPr>
              <w:t>COMUNICACIONES</w:t>
            </w:r>
            <w:r w:rsidR="00B070BF" w:rsidRPr="0043556C">
              <w:rPr>
                <w:noProof/>
                <w:webHidden/>
              </w:rPr>
              <w:tab/>
            </w:r>
            <w:r w:rsidR="00B070BF" w:rsidRPr="0043556C">
              <w:rPr>
                <w:noProof/>
                <w:webHidden/>
              </w:rPr>
              <w:fldChar w:fldCharType="begin"/>
            </w:r>
            <w:r w:rsidR="00B070BF" w:rsidRPr="0043556C">
              <w:rPr>
                <w:noProof/>
                <w:webHidden/>
              </w:rPr>
              <w:instrText xml:space="preserve"> PAGEREF _Toc359949335 \h </w:instrText>
            </w:r>
            <w:r w:rsidR="00B070BF" w:rsidRPr="0043556C">
              <w:rPr>
                <w:noProof/>
                <w:webHidden/>
              </w:rPr>
            </w:r>
            <w:r w:rsidR="00B070BF" w:rsidRPr="0043556C">
              <w:rPr>
                <w:noProof/>
                <w:webHidden/>
              </w:rPr>
              <w:fldChar w:fldCharType="separate"/>
            </w:r>
            <w:r w:rsidR="00E16F14">
              <w:rPr>
                <w:noProof/>
                <w:webHidden/>
              </w:rPr>
              <w:t>151</w:t>
            </w:r>
            <w:r w:rsidR="00B070BF" w:rsidRPr="0043556C">
              <w:rPr>
                <w:noProof/>
                <w:webHidden/>
              </w:rPr>
              <w:fldChar w:fldCharType="end"/>
            </w:r>
          </w:hyperlink>
        </w:p>
        <w:p w:rsidR="00B070BF" w:rsidRPr="0043556C" w:rsidRDefault="009F043F" w:rsidP="00B070BF">
          <w:pPr>
            <w:pStyle w:val="TOC2"/>
            <w:rPr>
              <w:rFonts w:asciiTheme="minorHAnsi" w:eastAsiaTheme="minorEastAsia" w:hAnsiTheme="minorHAnsi" w:cstheme="minorBidi"/>
              <w:noProof/>
              <w:szCs w:val="22"/>
              <w:lang w:val="es-ES" w:eastAsia="es-ES"/>
            </w:rPr>
          </w:pPr>
          <w:hyperlink w:anchor="_Toc359949336" w:history="1">
            <w:r w:rsidR="00B070BF" w:rsidRPr="0043556C">
              <w:rPr>
                <w:rStyle w:val="Hyperlink"/>
                <w:bCs/>
                <w:iCs/>
                <w:noProof/>
                <w:lang w:val="es-ES_tradnl"/>
              </w:rPr>
              <w:t>PROGRAMA 26</w:t>
            </w:r>
            <w:r w:rsidR="00B070BF" w:rsidRPr="0043556C">
              <w:rPr>
                <w:rFonts w:asciiTheme="minorHAnsi" w:eastAsiaTheme="minorEastAsia" w:hAnsiTheme="minorHAnsi" w:cstheme="minorBidi"/>
                <w:noProof/>
                <w:szCs w:val="22"/>
                <w:lang w:val="es-ES" w:eastAsia="es-ES"/>
              </w:rPr>
              <w:tab/>
            </w:r>
            <w:r w:rsidR="00B070BF" w:rsidRPr="0043556C">
              <w:rPr>
                <w:rStyle w:val="Hyperlink"/>
                <w:bCs/>
                <w:iCs/>
                <w:noProof/>
                <w:lang w:val="es-ES_tradnl"/>
              </w:rPr>
              <w:t>SUPERVISIÓN INTERNA</w:t>
            </w:r>
            <w:r w:rsidR="00B070BF" w:rsidRPr="0043556C">
              <w:rPr>
                <w:noProof/>
                <w:webHidden/>
              </w:rPr>
              <w:tab/>
            </w:r>
            <w:r w:rsidR="00B070BF" w:rsidRPr="0043556C">
              <w:rPr>
                <w:noProof/>
                <w:webHidden/>
              </w:rPr>
              <w:fldChar w:fldCharType="begin"/>
            </w:r>
            <w:r w:rsidR="00B070BF" w:rsidRPr="0043556C">
              <w:rPr>
                <w:noProof/>
                <w:webHidden/>
              </w:rPr>
              <w:instrText xml:space="preserve"> PAGEREF _Toc359949336 \h </w:instrText>
            </w:r>
            <w:r w:rsidR="00B070BF" w:rsidRPr="0043556C">
              <w:rPr>
                <w:noProof/>
                <w:webHidden/>
              </w:rPr>
            </w:r>
            <w:r w:rsidR="00B070BF" w:rsidRPr="0043556C">
              <w:rPr>
                <w:noProof/>
                <w:webHidden/>
              </w:rPr>
              <w:fldChar w:fldCharType="separate"/>
            </w:r>
            <w:r w:rsidR="00E16F14">
              <w:rPr>
                <w:noProof/>
                <w:webHidden/>
              </w:rPr>
              <w:t>156</w:t>
            </w:r>
            <w:r w:rsidR="00B070BF" w:rsidRPr="0043556C">
              <w:rPr>
                <w:noProof/>
                <w:webHidden/>
              </w:rPr>
              <w:fldChar w:fldCharType="end"/>
            </w:r>
          </w:hyperlink>
        </w:p>
        <w:p w:rsidR="00B070BF" w:rsidRPr="0043556C" w:rsidRDefault="009F043F" w:rsidP="00B070BF">
          <w:pPr>
            <w:pStyle w:val="TOC2"/>
            <w:rPr>
              <w:rFonts w:asciiTheme="minorHAnsi" w:eastAsiaTheme="minorEastAsia" w:hAnsiTheme="minorHAnsi" w:cstheme="minorBidi"/>
              <w:noProof/>
              <w:szCs w:val="22"/>
              <w:lang w:val="es-ES" w:eastAsia="es-ES"/>
            </w:rPr>
          </w:pPr>
          <w:hyperlink w:anchor="_Toc359949337" w:history="1">
            <w:r w:rsidR="00B070BF" w:rsidRPr="0043556C">
              <w:rPr>
                <w:rStyle w:val="Hyperlink"/>
                <w:bCs/>
                <w:iCs/>
                <w:noProof/>
                <w:lang w:val="es-ES_tradnl"/>
              </w:rPr>
              <w:t>PROGRAMA 27</w:t>
            </w:r>
            <w:r w:rsidR="00B070BF" w:rsidRPr="0043556C">
              <w:rPr>
                <w:rFonts w:asciiTheme="minorHAnsi" w:eastAsiaTheme="minorEastAsia" w:hAnsiTheme="minorHAnsi" w:cstheme="minorBidi"/>
                <w:noProof/>
                <w:szCs w:val="22"/>
                <w:lang w:val="es-ES" w:eastAsia="es-ES"/>
              </w:rPr>
              <w:tab/>
            </w:r>
            <w:r w:rsidR="00B070BF" w:rsidRPr="0043556C">
              <w:rPr>
                <w:rStyle w:val="Hyperlink"/>
                <w:bCs/>
                <w:iCs/>
                <w:noProof/>
                <w:lang w:val="es-ES_tradnl"/>
              </w:rPr>
              <w:t>SERVICIOS DE CONFERENCIA Y LINGÜÍSTICOS</w:t>
            </w:r>
            <w:r w:rsidR="00B070BF" w:rsidRPr="0043556C">
              <w:rPr>
                <w:noProof/>
                <w:webHidden/>
              </w:rPr>
              <w:tab/>
            </w:r>
            <w:r w:rsidR="00B070BF" w:rsidRPr="0043556C">
              <w:rPr>
                <w:noProof/>
                <w:webHidden/>
              </w:rPr>
              <w:fldChar w:fldCharType="begin"/>
            </w:r>
            <w:r w:rsidR="00B070BF" w:rsidRPr="0043556C">
              <w:rPr>
                <w:noProof/>
                <w:webHidden/>
              </w:rPr>
              <w:instrText xml:space="preserve"> PAGEREF _Toc359949337 \h </w:instrText>
            </w:r>
            <w:r w:rsidR="00B070BF" w:rsidRPr="0043556C">
              <w:rPr>
                <w:noProof/>
                <w:webHidden/>
              </w:rPr>
            </w:r>
            <w:r w:rsidR="00B070BF" w:rsidRPr="0043556C">
              <w:rPr>
                <w:noProof/>
                <w:webHidden/>
              </w:rPr>
              <w:fldChar w:fldCharType="separate"/>
            </w:r>
            <w:r w:rsidR="00E16F14">
              <w:rPr>
                <w:noProof/>
                <w:webHidden/>
              </w:rPr>
              <w:t>160</w:t>
            </w:r>
            <w:r w:rsidR="00B070BF" w:rsidRPr="0043556C">
              <w:rPr>
                <w:noProof/>
                <w:webHidden/>
              </w:rPr>
              <w:fldChar w:fldCharType="end"/>
            </w:r>
          </w:hyperlink>
        </w:p>
        <w:p w:rsidR="00B070BF" w:rsidRPr="0043556C" w:rsidRDefault="009F043F" w:rsidP="00B070BF">
          <w:pPr>
            <w:pStyle w:val="TOC2"/>
            <w:rPr>
              <w:rFonts w:asciiTheme="minorHAnsi" w:eastAsiaTheme="minorEastAsia" w:hAnsiTheme="minorHAnsi" w:cstheme="minorBidi"/>
              <w:noProof/>
              <w:szCs w:val="22"/>
              <w:lang w:val="es-ES" w:eastAsia="es-ES"/>
            </w:rPr>
          </w:pPr>
          <w:hyperlink w:anchor="_Toc359949338" w:history="1">
            <w:r w:rsidR="00B070BF" w:rsidRPr="0043556C">
              <w:rPr>
                <w:rStyle w:val="Hyperlink"/>
                <w:bCs/>
                <w:iCs/>
                <w:noProof/>
                <w:lang w:val="es-ES_tradnl"/>
              </w:rPr>
              <w:t>PROGRAMA 28</w:t>
            </w:r>
            <w:r w:rsidR="00B070BF" w:rsidRPr="0043556C">
              <w:rPr>
                <w:rFonts w:asciiTheme="minorHAnsi" w:eastAsiaTheme="minorEastAsia" w:hAnsiTheme="minorHAnsi" w:cstheme="minorBidi"/>
                <w:noProof/>
                <w:szCs w:val="22"/>
                <w:lang w:val="es-ES" w:eastAsia="es-ES"/>
              </w:rPr>
              <w:tab/>
            </w:r>
            <w:r w:rsidR="00B070BF" w:rsidRPr="0043556C">
              <w:rPr>
                <w:rStyle w:val="Hyperlink"/>
                <w:bCs/>
                <w:iCs/>
                <w:noProof/>
                <w:lang w:val="es-ES_tradnl"/>
              </w:rPr>
              <w:t>SEGURIDAD</w:t>
            </w:r>
            <w:r w:rsidR="00B070BF" w:rsidRPr="0043556C">
              <w:rPr>
                <w:noProof/>
                <w:webHidden/>
              </w:rPr>
              <w:tab/>
            </w:r>
            <w:r w:rsidR="00B070BF" w:rsidRPr="0043556C">
              <w:rPr>
                <w:noProof/>
                <w:webHidden/>
              </w:rPr>
              <w:fldChar w:fldCharType="begin"/>
            </w:r>
            <w:r w:rsidR="00B070BF" w:rsidRPr="0043556C">
              <w:rPr>
                <w:noProof/>
                <w:webHidden/>
              </w:rPr>
              <w:instrText xml:space="preserve"> PAGEREF _Toc359949338 \h </w:instrText>
            </w:r>
            <w:r w:rsidR="00B070BF" w:rsidRPr="0043556C">
              <w:rPr>
                <w:noProof/>
                <w:webHidden/>
              </w:rPr>
            </w:r>
            <w:r w:rsidR="00B070BF" w:rsidRPr="0043556C">
              <w:rPr>
                <w:noProof/>
                <w:webHidden/>
              </w:rPr>
              <w:fldChar w:fldCharType="separate"/>
            </w:r>
            <w:r w:rsidR="00E16F14">
              <w:rPr>
                <w:noProof/>
                <w:webHidden/>
              </w:rPr>
              <w:t>163</w:t>
            </w:r>
            <w:r w:rsidR="00B070BF" w:rsidRPr="0043556C">
              <w:rPr>
                <w:noProof/>
                <w:webHidden/>
              </w:rPr>
              <w:fldChar w:fldCharType="end"/>
            </w:r>
          </w:hyperlink>
        </w:p>
        <w:p w:rsidR="00B070BF" w:rsidRDefault="009F043F" w:rsidP="00B070BF">
          <w:pPr>
            <w:pStyle w:val="TOC2"/>
            <w:rPr>
              <w:rStyle w:val="Hyperlink"/>
              <w:noProof/>
            </w:rPr>
          </w:pPr>
          <w:hyperlink w:anchor="_Toc359949339" w:history="1">
            <w:r w:rsidR="00B070BF" w:rsidRPr="0043556C">
              <w:rPr>
                <w:rStyle w:val="Hyperlink"/>
                <w:bCs/>
                <w:iCs/>
                <w:noProof/>
                <w:lang w:val="es-ES_tradnl"/>
              </w:rPr>
              <w:t>PROGRAMA 29</w:t>
            </w:r>
            <w:r w:rsidR="00B070BF" w:rsidRPr="0043556C">
              <w:rPr>
                <w:rFonts w:asciiTheme="minorHAnsi" w:eastAsiaTheme="minorEastAsia" w:hAnsiTheme="minorHAnsi" w:cstheme="minorBidi"/>
                <w:noProof/>
                <w:szCs w:val="22"/>
                <w:lang w:val="es-ES" w:eastAsia="es-ES"/>
              </w:rPr>
              <w:tab/>
            </w:r>
            <w:r w:rsidR="00B070BF" w:rsidRPr="0043556C">
              <w:rPr>
                <w:rStyle w:val="Hyperlink"/>
                <w:bCs/>
                <w:iCs/>
                <w:noProof/>
                <w:lang w:val="es-ES_tradnl"/>
              </w:rPr>
              <w:t>PROYECTOS DE CONSTRUCCIÓN</w:t>
            </w:r>
            <w:r w:rsidR="00B070BF" w:rsidRPr="0043556C">
              <w:rPr>
                <w:noProof/>
                <w:webHidden/>
              </w:rPr>
              <w:tab/>
            </w:r>
            <w:r w:rsidR="00B070BF" w:rsidRPr="0043556C">
              <w:rPr>
                <w:noProof/>
                <w:webHidden/>
              </w:rPr>
              <w:fldChar w:fldCharType="begin"/>
            </w:r>
            <w:r w:rsidR="00B070BF" w:rsidRPr="0043556C">
              <w:rPr>
                <w:noProof/>
                <w:webHidden/>
              </w:rPr>
              <w:instrText xml:space="preserve"> PAGEREF _Toc359949339 \h </w:instrText>
            </w:r>
            <w:r w:rsidR="00B070BF" w:rsidRPr="0043556C">
              <w:rPr>
                <w:noProof/>
                <w:webHidden/>
              </w:rPr>
            </w:r>
            <w:r w:rsidR="00B070BF" w:rsidRPr="0043556C">
              <w:rPr>
                <w:noProof/>
                <w:webHidden/>
              </w:rPr>
              <w:fldChar w:fldCharType="separate"/>
            </w:r>
            <w:r w:rsidR="00E16F14">
              <w:rPr>
                <w:noProof/>
                <w:webHidden/>
              </w:rPr>
              <w:t>166</w:t>
            </w:r>
            <w:r w:rsidR="00B070BF" w:rsidRPr="0043556C">
              <w:rPr>
                <w:noProof/>
                <w:webHidden/>
              </w:rPr>
              <w:fldChar w:fldCharType="end"/>
            </w:r>
          </w:hyperlink>
        </w:p>
        <w:p w:rsidR="00B070BF" w:rsidRPr="0043556C" w:rsidRDefault="00B070BF" w:rsidP="00B070BF">
          <w:pPr>
            <w:rPr>
              <w:noProof/>
              <w:lang w:val="en-US"/>
            </w:rPr>
          </w:pPr>
        </w:p>
        <w:p w:rsidR="00B070BF" w:rsidRPr="0043556C" w:rsidRDefault="009F043F" w:rsidP="00B070BF">
          <w:pPr>
            <w:pStyle w:val="TOC2"/>
            <w:rPr>
              <w:rFonts w:asciiTheme="minorHAnsi" w:eastAsiaTheme="minorEastAsia" w:hAnsiTheme="minorHAnsi" w:cstheme="minorBidi"/>
              <w:noProof/>
              <w:szCs w:val="22"/>
              <w:lang w:val="es-ES" w:eastAsia="es-ES"/>
            </w:rPr>
          </w:pPr>
          <w:hyperlink w:anchor="_Toc359949340" w:history="1">
            <w:r w:rsidR="00B070BF" w:rsidRPr="0043556C">
              <w:rPr>
                <w:rStyle w:val="Hyperlink"/>
                <w:noProof/>
                <w:lang w:val="es-ES_tradnl"/>
              </w:rPr>
              <w:t xml:space="preserve">APÉNDICE  </w:t>
            </w:r>
            <w:r w:rsidR="00B070BF">
              <w:rPr>
                <w:rStyle w:val="Hyperlink"/>
                <w:noProof/>
                <w:lang w:val="es-ES_tradnl"/>
              </w:rPr>
              <w:tab/>
            </w:r>
            <w:r w:rsidR="00B070BF" w:rsidRPr="0043556C">
              <w:rPr>
                <w:rStyle w:val="Hyperlink"/>
                <w:noProof/>
                <w:lang w:val="es-ES_tradnl"/>
              </w:rPr>
              <w:t>ACTIVIDADES REALIZADAS CON CARGO A LOS FONDOS FIDUCIARIOS EN 2012</w:t>
            </w:r>
            <w:r w:rsidR="00B070BF" w:rsidRPr="0043556C">
              <w:rPr>
                <w:noProof/>
                <w:webHidden/>
              </w:rPr>
              <w:tab/>
            </w:r>
            <w:r w:rsidR="00B070BF" w:rsidRPr="0043556C">
              <w:rPr>
                <w:noProof/>
                <w:webHidden/>
              </w:rPr>
              <w:fldChar w:fldCharType="begin"/>
            </w:r>
            <w:r w:rsidR="00B070BF" w:rsidRPr="0043556C">
              <w:rPr>
                <w:noProof/>
                <w:webHidden/>
              </w:rPr>
              <w:instrText xml:space="preserve"> PAGEREF _Toc359949340 \h </w:instrText>
            </w:r>
            <w:r w:rsidR="00B070BF" w:rsidRPr="0043556C">
              <w:rPr>
                <w:noProof/>
                <w:webHidden/>
              </w:rPr>
            </w:r>
            <w:r w:rsidR="00B070BF" w:rsidRPr="0043556C">
              <w:rPr>
                <w:noProof/>
                <w:webHidden/>
              </w:rPr>
              <w:fldChar w:fldCharType="separate"/>
            </w:r>
            <w:r w:rsidR="00E16F14">
              <w:rPr>
                <w:noProof/>
                <w:webHidden/>
              </w:rPr>
              <w:t>169</w:t>
            </w:r>
            <w:r w:rsidR="00B070BF" w:rsidRPr="0043556C">
              <w:rPr>
                <w:noProof/>
                <w:webHidden/>
              </w:rPr>
              <w:fldChar w:fldCharType="end"/>
            </w:r>
          </w:hyperlink>
        </w:p>
        <w:p w:rsidR="00B070BF" w:rsidRDefault="00B070BF" w:rsidP="00B070BF">
          <w:pPr>
            <w:rPr>
              <w:noProof/>
            </w:rPr>
          </w:pPr>
          <w:r w:rsidRPr="0043556C">
            <w:rPr>
              <w:bCs/>
              <w:noProof/>
            </w:rPr>
            <w:fldChar w:fldCharType="end"/>
          </w:r>
        </w:p>
      </w:sdtContent>
    </w:sdt>
    <w:p w:rsidR="00B070BF" w:rsidRDefault="00B070BF" w:rsidP="00B070BF">
      <w:pPr>
        <w:tabs>
          <w:tab w:val="left" w:pos="4395"/>
        </w:tabs>
        <w:rPr>
          <w:sz w:val="20"/>
          <w:highlight w:val="yellow"/>
        </w:rPr>
      </w:pPr>
      <w:r w:rsidRPr="005A0B21">
        <w:rPr>
          <w:sz w:val="20"/>
          <w:highlight w:val="yellow"/>
        </w:rPr>
        <w:lastRenderedPageBreak/>
        <w:fldChar w:fldCharType="end"/>
      </w:r>
    </w:p>
    <w:p w:rsidR="00B070BF" w:rsidRPr="005A0B21" w:rsidRDefault="00B070BF" w:rsidP="00B070BF">
      <w:pPr>
        <w:pStyle w:val="Heading1"/>
        <w:jc w:val="center"/>
      </w:pPr>
      <w:bookmarkStart w:id="6" w:name="_Toc359846783"/>
      <w:bookmarkStart w:id="7" w:name="_Toc359949307"/>
      <w:r w:rsidRPr="005A0B21">
        <w:t xml:space="preserve">I.  </w:t>
      </w:r>
      <w:r w:rsidRPr="00AB16BB">
        <w:t>INTRODUCCIÓN</w:t>
      </w:r>
      <w:bookmarkEnd w:id="6"/>
      <w:bookmarkEnd w:id="7"/>
    </w:p>
    <w:p w:rsidR="00B070BF" w:rsidRPr="00AB16BB" w:rsidRDefault="00B070BF" w:rsidP="00B070BF">
      <w:pPr>
        <w:widowControl w:val="0"/>
        <w:jc w:val="both"/>
        <w:rPr>
          <w:sz w:val="20"/>
        </w:rPr>
      </w:pPr>
    </w:p>
    <w:p w:rsidR="00B070BF" w:rsidRPr="00AB16BB" w:rsidRDefault="00B070BF" w:rsidP="00B070BF">
      <w:pPr>
        <w:widowControl w:val="0"/>
        <w:jc w:val="both"/>
        <w:rPr>
          <w:sz w:val="20"/>
        </w:rPr>
      </w:pPr>
      <w:r w:rsidRPr="00AB16BB">
        <w:rPr>
          <w:sz w:val="20"/>
        </w:rPr>
        <w:t>El Informe sobre el rendimiento de los programas (informe PPR) es el principal mecanismo de rendición de cuentas que se utiliza para informar a los Estados miembros sobre el rendimiento de la Organización, y un elemento esencial del marco de la OMPI de gestión por resultados.  El Informe constituye asimismo una importante herramienta de aprendizaje que garantiza la asimilación de las lecciones que se desprenden del rendimiento logrado en el pasado y su debida incorporación a la aplicación futura de las actividades de la OMPI.  El informe PPR se basa en las evaluaciones internas efectuadas por los directores de los programas.  Para reforzar la validez de la información contenida en el informe PPR, la División de Auditoría y Supervisión Internas (DASI) realiza cada dos años una validación de los datos sobre el rendimiento.  La próxima validación se realizará respecto del informe PPR correspondiente al bienio 2012/13.</w:t>
      </w:r>
    </w:p>
    <w:p w:rsidR="00B070BF" w:rsidRPr="00AB16BB" w:rsidRDefault="00B070BF" w:rsidP="00B070BF">
      <w:pPr>
        <w:widowControl w:val="0"/>
        <w:jc w:val="both"/>
        <w:rPr>
          <w:sz w:val="20"/>
        </w:rPr>
      </w:pPr>
    </w:p>
    <w:p w:rsidR="00B070BF" w:rsidRPr="00AB16BB" w:rsidRDefault="00B070BF" w:rsidP="00B070BF">
      <w:pPr>
        <w:widowControl w:val="0"/>
        <w:jc w:val="both"/>
        <w:rPr>
          <w:sz w:val="20"/>
        </w:rPr>
      </w:pPr>
      <w:r w:rsidRPr="00AB16BB">
        <w:rPr>
          <w:sz w:val="20"/>
        </w:rPr>
        <w:t>El informe PPR 2012 se elabora a mitad del bienio para valorar los avances logrados y la consecución de los resultados previstos, medidos éstos a través de los indicadores de rendimiento y teniendo en cuenta los recursos aprobados en el presupuesto por programas del bienio  2012/13.</w:t>
      </w:r>
    </w:p>
    <w:p w:rsidR="00B070BF" w:rsidRPr="00AB16BB" w:rsidRDefault="00B070BF" w:rsidP="00B070BF">
      <w:pPr>
        <w:widowControl w:val="0"/>
        <w:jc w:val="both"/>
        <w:rPr>
          <w:sz w:val="20"/>
        </w:rPr>
      </w:pPr>
    </w:p>
    <w:p w:rsidR="00B070BF" w:rsidRPr="00AB16BB" w:rsidRDefault="00B070BF" w:rsidP="00B070BF">
      <w:pPr>
        <w:widowControl w:val="0"/>
        <w:jc w:val="both"/>
        <w:rPr>
          <w:sz w:val="20"/>
        </w:rPr>
      </w:pPr>
      <w:r w:rsidRPr="00AB16BB">
        <w:rPr>
          <w:sz w:val="20"/>
        </w:rPr>
        <w:t>La evaluación del rendimiento de cada uno de los programas que se incluyen en el informe PPR 2012 comprende las siguientes secciones:</w:t>
      </w:r>
    </w:p>
    <w:p w:rsidR="00B070BF" w:rsidRPr="00AB16BB" w:rsidRDefault="00B070BF" w:rsidP="00B070BF">
      <w:pPr>
        <w:widowControl w:val="0"/>
        <w:jc w:val="both"/>
        <w:rPr>
          <w:i/>
          <w:iCs/>
          <w:sz w:val="20"/>
        </w:rPr>
      </w:pPr>
    </w:p>
    <w:p w:rsidR="00B070BF" w:rsidRPr="00AB16BB" w:rsidRDefault="00B070BF" w:rsidP="00B070BF">
      <w:pPr>
        <w:widowControl w:val="0"/>
        <w:jc w:val="both"/>
        <w:rPr>
          <w:i/>
          <w:iCs/>
          <w:sz w:val="20"/>
        </w:rPr>
      </w:pPr>
    </w:p>
    <w:p w:rsidR="00B070BF" w:rsidRPr="00AB16BB" w:rsidRDefault="00B070BF" w:rsidP="00B070BF">
      <w:pPr>
        <w:widowControl w:val="0"/>
        <w:spacing w:line="260" w:lineRule="atLeast"/>
        <w:jc w:val="both"/>
        <w:rPr>
          <w:bCs/>
          <w:i/>
          <w:iCs/>
          <w:szCs w:val="22"/>
        </w:rPr>
      </w:pPr>
      <w:r w:rsidRPr="00AB16BB">
        <w:rPr>
          <w:i/>
          <w:iCs/>
          <w:sz w:val="20"/>
        </w:rPr>
        <w:t>Sección I</w:t>
      </w:r>
      <w:proofErr w:type="gramStart"/>
      <w:r w:rsidRPr="00AB16BB">
        <w:rPr>
          <w:i/>
          <w:iCs/>
          <w:sz w:val="20"/>
        </w:rPr>
        <w:t xml:space="preserve">:  </w:t>
      </w:r>
      <w:r w:rsidRPr="00AB16BB">
        <w:rPr>
          <w:bCs/>
          <w:i/>
          <w:iCs/>
          <w:sz w:val="20"/>
        </w:rPr>
        <w:t>Reseña</w:t>
      </w:r>
      <w:proofErr w:type="gramEnd"/>
      <w:r w:rsidRPr="00AB16BB">
        <w:rPr>
          <w:bCs/>
          <w:i/>
          <w:iCs/>
          <w:sz w:val="20"/>
        </w:rPr>
        <w:t xml:space="preserve"> de los avances logrados en 2012</w:t>
      </w:r>
    </w:p>
    <w:p w:rsidR="00B070BF" w:rsidRPr="00AB16BB" w:rsidRDefault="00B070BF" w:rsidP="00B070BF">
      <w:pPr>
        <w:widowControl w:val="0"/>
        <w:jc w:val="both"/>
        <w:rPr>
          <w:sz w:val="20"/>
        </w:rPr>
      </w:pPr>
    </w:p>
    <w:p w:rsidR="00B070BF" w:rsidRPr="00AB16BB" w:rsidRDefault="00B070BF" w:rsidP="00B070BF">
      <w:pPr>
        <w:widowControl w:val="0"/>
        <w:jc w:val="both"/>
        <w:rPr>
          <w:sz w:val="20"/>
        </w:rPr>
      </w:pPr>
      <w:r w:rsidRPr="00AB16BB">
        <w:rPr>
          <w:sz w:val="20"/>
        </w:rPr>
        <w:t>En esta sección se ofrece un resumen analítico de los avances logrados en 2012 y las dificultades experimentadas durante el período examinado.</w:t>
      </w:r>
    </w:p>
    <w:p w:rsidR="00B070BF" w:rsidRPr="00AB16BB" w:rsidRDefault="00B070BF" w:rsidP="00B070BF">
      <w:pPr>
        <w:widowControl w:val="0"/>
        <w:jc w:val="both"/>
        <w:rPr>
          <w:sz w:val="20"/>
        </w:rPr>
      </w:pPr>
    </w:p>
    <w:p w:rsidR="00B070BF" w:rsidRPr="00AB16BB" w:rsidRDefault="00B070BF" w:rsidP="00B070BF">
      <w:pPr>
        <w:widowControl w:val="0"/>
        <w:jc w:val="both"/>
        <w:rPr>
          <w:i/>
          <w:iCs/>
          <w:sz w:val="20"/>
        </w:rPr>
      </w:pPr>
    </w:p>
    <w:p w:rsidR="00B070BF" w:rsidRPr="00AB16BB" w:rsidRDefault="00B070BF" w:rsidP="00B070BF">
      <w:pPr>
        <w:widowControl w:val="0"/>
        <w:jc w:val="both"/>
        <w:rPr>
          <w:i/>
          <w:iCs/>
          <w:sz w:val="20"/>
        </w:rPr>
      </w:pPr>
      <w:r w:rsidRPr="00AB16BB">
        <w:rPr>
          <w:i/>
          <w:iCs/>
          <w:sz w:val="20"/>
        </w:rPr>
        <w:t>Sección II</w:t>
      </w:r>
      <w:proofErr w:type="gramStart"/>
      <w:r w:rsidRPr="00AB16BB">
        <w:rPr>
          <w:i/>
          <w:iCs/>
          <w:sz w:val="20"/>
        </w:rPr>
        <w:t>:  Aplicación</w:t>
      </w:r>
      <w:proofErr w:type="gramEnd"/>
      <w:r w:rsidRPr="00AB16BB">
        <w:rPr>
          <w:i/>
          <w:iCs/>
          <w:sz w:val="20"/>
        </w:rPr>
        <w:t xml:space="preserve"> de la Agenda para el Desarrollo</w:t>
      </w:r>
    </w:p>
    <w:p w:rsidR="00B070BF" w:rsidRPr="00AB16BB" w:rsidRDefault="00B070BF" w:rsidP="00B070BF">
      <w:pPr>
        <w:widowControl w:val="0"/>
        <w:jc w:val="both"/>
        <w:rPr>
          <w:sz w:val="20"/>
        </w:rPr>
      </w:pPr>
    </w:p>
    <w:p w:rsidR="00B070BF" w:rsidRPr="00AB16BB" w:rsidRDefault="00B070BF" w:rsidP="00B070BF">
      <w:pPr>
        <w:widowControl w:val="0"/>
        <w:autoSpaceDE w:val="0"/>
        <w:autoSpaceDN w:val="0"/>
        <w:adjustRightInd w:val="0"/>
        <w:jc w:val="both"/>
        <w:rPr>
          <w:rFonts w:ascii="ArialMT" w:hAnsi="ArialMT" w:cs="ArialMT"/>
          <w:sz w:val="20"/>
          <w:lang w:bidi="th-TH"/>
        </w:rPr>
      </w:pPr>
      <w:r w:rsidRPr="00AB16BB">
        <w:rPr>
          <w:sz w:val="20"/>
        </w:rPr>
        <w:t>En esta sección se aborda el papel del programa y su contribución a la aplicación de la Agenda para el Desarrollo (A.D.).  En consonancia con el proceso presupuestario aplicado a los proyectos propuestos por el Comité de Desarrollo y Propiedad Intelectual (CDIP) para dar aplicación a las recomendaciones de la A.D., aprobado por las Asambleas de la OMPI en 2010,</w:t>
      </w:r>
      <w:r w:rsidRPr="00AB16BB">
        <w:rPr>
          <w:rFonts w:ascii="ArialMT" w:hAnsi="ArialMT" w:cs="ArialMT"/>
          <w:sz w:val="20"/>
          <w:vertAlign w:val="superscript"/>
          <w:lang w:bidi="th-TH"/>
        </w:rPr>
        <w:t xml:space="preserve"> </w:t>
      </w:r>
      <w:r w:rsidRPr="00AB16BB">
        <w:rPr>
          <w:rFonts w:ascii="ArialMT" w:hAnsi="ArialMT" w:cs="ArialMT"/>
          <w:sz w:val="20"/>
          <w:vertAlign w:val="superscript"/>
          <w:lang w:bidi="th-TH"/>
        </w:rPr>
        <w:footnoteReference w:id="2"/>
      </w:r>
      <w:r w:rsidRPr="00AB16BB">
        <w:rPr>
          <w:sz w:val="20"/>
        </w:rPr>
        <w:t xml:space="preserve"> en la información relativa a la A.D. se incluyen datos detallados tanto sobre la ejecución de los proyectos de la A.D. como sobre sus recomendaciones.</w:t>
      </w:r>
    </w:p>
    <w:p w:rsidR="00B070BF" w:rsidRPr="00AB16BB" w:rsidRDefault="00B070BF" w:rsidP="00B070BF">
      <w:pPr>
        <w:widowControl w:val="0"/>
        <w:jc w:val="both"/>
        <w:rPr>
          <w:sz w:val="20"/>
        </w:rPr>
      </w:pPr>
    </w:p>
    <w:p w:rsidR="00B070BF" w:rsidRPr="00AB16BB" w:rsidRDefault="00B070BF" w:rsidP="00B070BF">
      <w:pPr>
        <w:widowControl w:val="0"/>
        <w:jc w:val="both"/>
        <w:rPr>
          <w:i/>
          <w:iCs/>
          <w:sz w:val="20"/>
        </w:rPr>
      </w:pPr>
    </w:p>
    <w:p w:rsidR="00B070BF" w:rsidRPr="00AB16BB" w:rsidRDefault="00B070BF" w:rsidP="00B070BF">
      <w:pPr>
        <w:widowControl w:val="0"/>
        <w:jc w:val="both"/>
        <w:rPr>
          <w:i/>
          <w:iCs/>
          <w:sz w:val="20"/>
        </w:rPr>
      </w:pPr>
      <w:r w:rsidRPr="00AB16BB">
        <w:rPr>
          <w:i/>
          <w:iCs/>
          <w:sz w:val="20"/>
        </w:rPr>
        <w:t>Sección III</w:t>
      </w:r>
      <w:proofErr w:type="gramStart"/>
      <w:r w:rsidRPr="00AB16BB">
        <w:rPr>
          <w:i/>
          <w:iCs/>
          <w:sz w:val="20"/>
        </w:rPr>
        <w:t>:  Datos</w:t>
      </w:r>
      <w:proofErr w:type="gramEnd"/>
      <w:r w:rsidRPr="00AB16BB">
        <w:rPr>
          <w:i/>
          <w:iCs/>
          <w:sz w:val="20"/>
        </w:rPr>
        <w:t xml:space="preserve"> sobre el rendimiento</w:t>
      </w:r>
    </w:p>
    <w:p w:rsidR="00B070BF" w:rsidRPr="00AB16BB" w:rsidRDefault="00B070BF" w:rsidP="00B070BF">
      <w:pPr>
        <w:widowControl w:val="0"/>
        <w:jc w:val="both"/>
        <w:rPr>
          <w:sz w:val="20"/>
        </w:rPr>
      </w:pPr>
    </w:p>
    <w:p w:rsidR="00B070BF" w:rsidRPr="00AB16BB" w:rsidRDefault="00B070BF" w:rsidP="00B070BF">
      <w:pPr>
        <w:widowControl w:val="0"/>
        <w:jc w:val="both"/>
        <w:rPr>
          <w:sz w:val="20"/>
        </w:rPr>
      </w:pPr>
      <w:r w:rsidRPr="00AB16BB">
        <w:rPr>
          <w:sz w:val="20"/>
        </w:rPr>
        <w:t xml:space="preserve">En el cuadro que se incluye en esta sección se resumen los resultados previstos a cuya consecución contribuye el programa así como los indicadores de rendimiento aprobados por los Estados miembros en el presupuesto por programas del bienio 2012/13.  Se han actualizado, según corresponda, las referencias con el fin de reflejar la situación existente a finales de 2011.  En respuesta a la solicitud formulada por los Estados miembros, se han ampliado los cuadros de manera que figuren tanto las referencias originales (según el presupuesto por programas del bienio 2012/13) como las actualizadas (a finales de 2011).  En la cuarta columna se presentan los datos sobre el rendimiento en 2012 correspondientes a cada indicador.  En la quinta columna se evalúa el rendimiento mediante la "clave de los colores".  Siguiendo la línea establecida en los informes anteriores, </w:t>
      </w:r>
      <w:r w:rsidRPr="00AB16BB">
        <w:rPr>
          <w:rFonts w:eastAsia="Times New Roman"/>
          <w:sz w:val="20"/>
          <w:lang w:eastAsia="es-ES"/>
        </w:rPr>
        <w:t>en el informe PPR 2012 se han utilizado los siguientes criterios:</w:t>
      </w:r>
    </w:p>
    <w:p w:rsidR="00B070BF" w:rsidRDefault="00B070BF" w:rsidP="00B070BF">
      <w:pPr>
        <w:rPr>
          <w:sz w:val="20"/>
        </w:rPr>
      </w:pPr>
      <w:r>
        <w:rPr>
          <w:sz w:val="20"/>
        </w:rPr>
        <w:br w:type="page"/>
      </w:r>
    </w:p>
    <w:p w:rsidR="00B070BF" w:rsidRPr="00AB16BB" w:rsidRDefault="00B070BF" w:rsidP="00B070BF">
      <w:pPr>
        <w:widowControl w:val="0"/>
        <w:jc w:val="both"/>
        <w:rPr>
          <w:sz w:val="20"/>
        </w:rPr>
      </w:pPr>
    </w:p>
    <w:p w:rsidR="00B070BF" w:rsidRPr="00AB16BB" w:rsidRDefault="00B070BF" w:rsidP="00B070BF">
      <w:pPr>
        <w:widowControl w:val="0"/>
        <w:autoSpaceDE w:val="0"/>
        <w:autoSpaceDN w:val="0"/>
        <w:adjustRightInd w:val="0"/>
        <w:spacing w:after="120"/>
        <w:jc w:val="both"/>
        <w:rPr>
          <w:sz w:val="20"/>
        </w:rPr>
      </w:pPr>
      <w:r w:rsidRPr="00AB16BB">
        <w:rPr>
          <w:sz w:val="20"/>
        </w:rPr>
        <w:t>Clave de los colores:</w:t>
      </w:r>
    </w:p>
    <w:p w:rsidR="00B070BF" w:rsidRPr="00AB16BB" w:rsidRDefault="00B070BF" w:rsidP="00B070BF">
      <w:pPr>
        <w:widowControl w:val="0"/>
        <w:autoSpaceDE w:val="0"/>
        <w:autoSpaceDN w:val="0"/>
        <w:adjustRightInd w:val="0"/>
        <w:spacing w:after="120"/>
        <w:ind w:left="567"/>
        <w:jc w:val="both"/>
        <w:rPr>
          <w:sz w:val="20"/>
        </w:rPr>
      </w:pPr>
      <w:r w:rsidRPr="00AB16BB">
        <w:rPr>
          <w:b/>
          <w:bCs/>
          <w:color w:val="008000"/>
          <w:sz w:val="20"/>
        </w:rPr>
        <w:t>“</w:t>
      </w:r>
      <w:r w:rsidRPr="009577DE">
        <w:rPr>
          <w:b/>
          <w:bCs/>
          <w:color w:val="008000"/>
          <w:sz w:val="20"/>
        </w:rPr>
        <w:t>Progresa con normalidad</w:t>
      </w:r>
      <w:r w:rsidRPr="00AB16BB">
        <w:rPr>
          <w:b/>
          <w:bCs/>
          <w:color w:val="008000"/>
          <w:sz w:val="20"/>
        </w:rPr>
        <w:t>”</w:t>
      </w:r>
      <w:r w:rsidRPr="00AB16BB">
        <w:rPr>
          <w:sz w:val="20"/>
        </w:rPr>
        <w:t xml:space="preserve"> se aplica cuando los datos de rendimiento correspondientes a 2012 sugieren que la ejecución del programa progresa con normalidad hacia el logro de los resultados previstos en el bienio.</w:t>
      </w:r>
    </w:p>
    <w:p w:rsidR="00B070BF" w:rsidRPr="00AB16BB" w:rsidRDefault="00B070BF" w:rsidP="00B070BF">
      <w:pPr>
        <w:widowControl w:val="0"/>
        <w:autoSpaceDE w:val="0"/>
        <w:autoSpaceDN w:val="0"/>
        <w:adjustRightInd w:val="0"/>
        <w:spacing w:after="120"/>
        <w:ind w:left="567"/>
        <w:jc w:val="both"/>
        <w:rPr>
          <w:sz w:val="20"/>
        </w:rPr>
      </w:pPr>
      <w:r w:rsidRPr="00AB16BB">
        <w:rPr>
          <w:b/>
          <w:bCs/>
          <w:color w:val="FF0000"/>
          <w:sz w:val="20"/>
        </w:rPr>
        <w:t>“</w:t>
      </w:r>
      <w:r w:rsidRPr="009577DE">
        <w:rPr>
          <w:b/>
          <w:bCs/>
          <w:color w:val="FF0000"/>
          <w:sz w:val="20"/>
        </w:rPr>
        <w:t>Sin avances significativos</w:t>
      </w:r>
      <w:r w:rsidRPr="00AB16BB">
        <w:rPr>
          <w:b/>
          <w:bCs/>
          <w:color w:val="FF0000"/>
          <w:sz w:val="20"/>
        </w:rPr>
        <w:t xml:space="preserve">” </w:t>
      </w:r>
      <w:r w:rsidRPr="00AB16BB">
        <w:rPr>
          <w:sz w:val="20"/>
        </w:rPr>
        <w:t>se aplica cuando los datos de rendimiento correspondientes a 2012 sugieren que la ejecución del programa no avanza hacia el logro de los resultados previstos a finales de 2013.</w:t>
      </w:r>
    </w:p>
    <w:p w:rsidR="00B070BF" w:rsidRPr="00AB16BB" w:rsidRDefault="00B070BF" w:rsidP="00B070BF">
      <w:pPr>
        <w:widowControl w:val="0"/>
        <w:autoSpaceDE w:val="0"/>
        <w:autoSpaceDN w:val="0"/>
        <w:adjustRightInd w:val="0"/>
        <w:spacing w:after="120"/>
        <w:ind w:left="567"/>
        <w:jc w:val="both"/>
        <w:rPr>
          <w:sz w:val="20"/>
        </w:rPr>
      </w:pPr>
      <w:r w:rsidRPr="00AB16BB">
        <w:rPr>
          <w:b/>
          <w:bCs/>
          <w:sz w:val="20"/>
        </w:rPr>
        <w:t>“No disponible para 2012”</w:t>
      </w:r>
      <w:r w:rsidRPr="00AB16BB">
        <w:rPr>
          <w:sz w:val="20"/>
        </w:rPr>
        <w:t xml:space="preserve"> se aplica cuando no existen datos sobre el rendimiento para 2012 pero se prevé disponer de ellos al término del bienio.</w:t>
      </w:r>
    </w:p>
    <w:p w:rsidR="00B070BF" w:rsidRPr="00AB16BB" w:rsidRDefault="00B070BF" w:rsidP="00B070BF">
      <w:pPr>
        <w:widowControl w:val="0"/>
        <w:autoSpaceDE w:val="0"/>
        <w:autoSpaceDN w:val="0"/>
        <w:adjustRightInd w:val="0"/>
        <w:spacing w:after="120"/>
        <w:ind w:left="567"/>
        <w:jc w:val="both"/>
        <w:rPr>
          <w:sz w:val="20"/>
        </w:rPr>
      </w:pPr>
      <w:r w:rsidRPr="00AB16BB">
        <w:rPr>
          <w:b/>
          <w:bCs/>
          <w:color w:val="808080"/>
          <w:sz w:val="20"/>
        </w:rPr>
        <w:t xml:space="preserve"> “</w:t>
      </w:r>
      <w:r w:rsidRPr="009577DE">
        <w:rPr>
          <w:b/>
          <w:bCs/>
          <w:color w:val="A6A6A6" w:themeColor="background1" w:themeShade="A6"/>
          <w:sz w:val="20"/>
        </w:rPr>
        <w:t>Interrumpido</w:t>
      </w:r>
      <w:r w:rsidRPr="00AB16BB">
        <w:rPr>
          <w:b/>
          <w:bCs/>
          <w:color w:val="808080"/>
          <w:sz w:val="20"/>
        </w:rPr>
        <w:t>”</w:t>
      </w:r>
      <w:r w:rsidRPr="00AB16BB">
        <w:rPr>
          <w:sz w:val="20"/>
        </w:rPr>
        <w:t xml:space="preserve"> se aplica cuando se considera que uno de los indicadores de rendimiento ya no es adecuado para medir el rendimiento del programa.</w:t>
      </w:r>
    </w:p>
    <w:p w:rsidR="00B070BF" w:rsidRPr="00AB16BB" w:rsidRDefault="00B070BF" w:rsidP="00B070BF">
      <w:pPr>
        <w:widowControl w:val="0"/>
        <w:jc w:val="both"/>
        <w:rPr>
          <w:sz w:val="20"/>
        </w:rPr>
      </w:pPr>
    </w:p>
    <w:p w:rsidR="00B070BF" w:rsidRPr="00AB16BB" w:rsidRDefault="00B070BF" w:rsidP="00B070BF">
      <w:pPr>
        <w:widowControl w:val="0"/>
        <w:jc w:val="both"/>
        <w:rPr>
          <w:sz w:val="20"/>
        </w:rPr>
      </w:pPr>
      <w:r w:rsidRPr="00AB16BB">
        <w:rPr>
          <w:sz w:val="20"/>
        </w:rPr>
        <w:t>Del total de 300 indicadores de rendimiento previstos en el presupuesto por programas del bienio 2012/13, 239 indicadores (el 80%) recibieron la calificación “</w:t>
      </w:r>
      <w:r w:rsidRPr="00AB16BB">
        <w:rPr>
          <w:bCs/>
          <w:sz w:val="20"/>
        </w:rPr>
        <w:t>Progresa con normalidad</w:t>
      </w:r>
      <w:r w:rsidRPr="00AB16BB">
        <w:rPr>
          <w:sz w:val="20"/>
        </w:rPr>
        <w:t>”.  A un total de 35 indicadores (el 12%) se les aplicó la calificación “</w:t>
      </w:r>
      <w:r w:rsidRPr="00AB16BB">
        <w:rPr>
          <w:bCs/>
          <w:sz w:val="20"/>
        </w:rPr>
        <w:t>Sin avances significativos</w:t>
      </w:r>
      <w:r w:rsidRPr="00AB16BB">
        <w:rPr>
          <w:sz w:val="20"/>
        </w:rPr>
        <w:t>” y a 20 indicadores (alrededor del 6%) la de “</w:t>
      </w:r>
      <w:r w:rsidRPr="00AB16BB">
        <w:rPr>
          <w:bCs/>
          <w:sz w:val="20"/>
        </w:rPr>
        <w:t>No disponible para 2012</w:t>
      </w:r>
      <w:r w:rsidRPr="00AB16BB">
        <w:rPr>
          <w:sz w:val="20"/>
        </w:rPr>
        <w:t>”.  Seis indicadores (el 2%) fueron calificados como “Interrumpidos”.</w:t>
      </w:r>
    </w:p>
    <w:p w:rsidR="00B070BF" w:rsidRPr="00AB16BB" w:rsidRDefault="00B070BF" w:rsidP="00B070BF">
      <w:pPr>
        <w:widowControl w:val="0"/>
        <w:jc w:val="both"/>
        <w:rPr>
          <w:sz w:val="20"/>
        </w:rPr>
      </w:pPr>
    </w:p>
    <w:p w:rsidR="00B070BF" w:rsidRPr="00AB16BB" w:rsidRDefault="00B070BF" w:rsidP="00B070BF">
      <w:pPr>
        <w:widowControl w:val="0"/>
        <w:jc w:val="both"/>
        <w:rPr>
          <w:sz w:val="20"/>
        </w:rPr>
      </w:pPr>
    </w:p>
    <w:p w:rsidR="00B070BF" w:rsidRPr="00AB16BB" w:rsidRDefault="00B070BF" w:rsidP="00B070BF">
      <w:pPr>
        <w:widowControl w:val="0"/>
        <w:jc w:val="both"/>
        <w:rPr>
          <w:i/>
          <w:iCs/>
          <w:sz w:val="20"/>
        </w:rPr>
      </w:pPr>
      <w:r w:rsidRPr="00AB16BB">
        <w:rPr>
          <w:i/>
          <w:iCs/>
          <w:sz w:val="20"/>
        </w:rPr>
        <w:t>Sección IV</w:t>
      </w:r>
      <w:proofErr w:type="gramStart"/>
      <w:r w:rsidRPr="00AB16BB">
        <w:rPr>
          <w:i/>
          <w:iCs/>
          <w:sz w:val="20"/>
        </w:rPr>
        <w:t>:  Presupuesto</w:t>
      </w:r>
      <w:proofErr w:type="gramEnd"/>
      <w:r w:rsidRPr="00AB16BB">
        <w:rPr>
          <w:i/>
          <w:iCs/>
          <w:sz w:val="20"/>
        </w:rPr>
        <w:t xml:space="preserve"> y gastos reales en 2012</w:t>
      </w:r>
    </w:p>
    <w:p w:rsidR="00B070BF" w:rsidRPr="00AB16BB" w:rsidRDefault="00B070BF" w:rsidP="00B070BF">
      <w:pPr>
        <w:widowControl w:val="0"/>
        <w:jc w:val="both"/>
        <w:rPr>
          <w:sz w:val="20"/>
        </w:rPr>
      </w:pPr>
    </w:p>
    <w:p w:rsidR="00B070BF" w:rsidRPr="00AB16BB" w:rsidRDefault="00B070BF" w:rsidP="00B070BF">
      <w:pPr>
        <w:widowControl w:val="0"/>
        <w:jc w:val="both"/>
        <w:rPr>
          <w:sz w:val="20"/>
        </w:rPr>
      </w:pPr>
      <w:r w:rsidRPr="00AB16BB">
        <w:rPr>
          <w:sz w:val="20"/>
        </w:rPr>
        <w:t>En la última sección se ofrece información sobre el presupuesto aprobado para el bienio 2012/13, el presupuesto después de las transferencias en 2012/13, los gastos reales y la utilización del presupuesto en 2012.  La información relativa a esta sección se ha ampliado en 2012 y comprende dos cuadros:</w:t>
      </w:r>
    </w:p>
    <w:p w:rsidR="00B070BF" w:rsidRPr="00AB16BB" w:rsidRDefault="00B070BF" w:rsidP="00B070BF">
      <w:pPr>
        <w:widowControl w:val="0"/>
        <w:jc w:val="both"/>
        <w:rPr>
          <w:sz w:val="20"/>
        </w:rPr>
      </w:pPr>
    </w:p>
    <w:p w:rsidR="00B070BF" w:rsidRPr="00AB16BB" w:rsidRDefault="00B070BF" w:rsidP="00B070BF">
      <w:pPr>
        <w:widowControl w:val="0"/>
        <w:jc w:val="both"/>
        <w:rPr>
          <w:sz w:val="20"/>
        </w:rPr>
      </w:pPr>
      <w:r w:rsidRPr="00AB16BB">
        <w:rPr>
          <w:sz w:val="20"/>
        </w:rPr>
        <w:t xml:space="preserve">En el cuadro denominado </w:t>
      </w:r>
      <w:r w:rsidRPr="00AB16BB">
        <w:rPr>
          <w:i/>
          <w:sz w:val="20"/>
        </w:rPr>
        <w:t>Presupuesto y gastos reales (por resultado)</w:t>
      </w:r>
      <w:r w:rsidRPr="00AB16BB">
        <w:rPr>
          <w:sz w:val="20"/>
        </w:rPr>
        <w:t xml:space="preserve"> se </w:t>
      </w:r>
      <w:proofErr w:type="gramStart"/>
      <w:r w:rsidRPr="00AB16BB">
        <w:rPr>
          <w:sz w:val="20"/>
        </w:rPr>
        <w:t>ofrece</w:t>
      </w:r>
      <w:proofErr w:type="gramEnd"/>
      <w:r w:rsidRPr="00AB16BB">
        <w:rPr>
          <w:sz w:val="20"/>
        </w:rPr>
        <w:t xml:space="preserve"> por primera vez información sobre el presupuesto aprobado para el bienio 2012/13, el presupuesto después de las transferencias en 2012/13 y los gastos reales respecto de cada resultado.</w:t>
      </w:r>
    </w:p>
    <w:p w:rsidR="00B070BF" w:rsidRPr="00AB16BB" w:rsidRDefault="00B070BF" w:rsidP="00B070BF">
      <w:pPr>
        <w:widowControl w:val="0"/>
        <w:jc w:val="both"/>
        <w:rPr>
          <w:sz w:val="20"/>
        </w:rPr>
      </w:pPr>
    </w:p>
    <w:p w:rsidR="00B070BF" w:rsidRPr="00AB16BB" w:rsidRDefault="00B070BF" w:rsidP="00B070BF">
      <w:pPr>
        <w:widowControl w:val="0"/>
        <w:jc w:val="both"/>
        <w:rPr>
          <w:sz w:val="20"/>
        </w:rPr>
      </w:pPr>
      <w:r w:rsidRPr="00AB16BB">
        <w:rPr>
          <w:rFonts w:eastAsia="Times New Roman"/>
          <w:sz w:val="20"/>
          <w:lang w:eastAsia="es-ES"/>
        </w:rPr>
        <w:t xml:space="preserve">En el cuadro </w:t>
      </w:r>
      <w:r w:rsidRPr="00AB16BB">
        <w:rPr>
          <w:rFonts w:eastAsia="Times New Roman"/>
          <w:i/>
          <w:sz w:val="20"/>
          <w:lang w:eastAsia="es-ES"/>
        </w:rPr>
        <w:t>Gastos reales (recursos de personal y no relativos al personal)</w:t>
      </w:r>
      <w:r w:rsidRPr="00AB16BB">
        <w:rPr>
          <w:i/>
          <w:sz w:val="20"/>
        </w:rPr>
        <w:t xml:space="preserve"> </w:t>
      </w:r>
      <w:r w:rsidRPr="00AB16BB">
        <w:rPr>
          <w:sz w:val="20"/>
        </w:rPr>
        <w:t>se ofrece información acerca del presupuesto aprobado para el bienio 2012/13, el presupuesto después de las transferencias en 2012/13 y los gastos reales (de personal y no relativos al personal) realizados en 2012.  Se ofrecen explicaciones en los casos en los que existan diferencias entre el presupuesto aprobado y el presupuesto después de las transferencias, así como respecto a la utilización del presupuesto en el caso de programas cuyos gastos reales se hallen fuera de los límites establecidos del 40-60% del presupuesto bienal.</w:t>
      </w:r>
    </w:p>
    <w:p w:rsidR="00B070BF" w:rsidRPr="00AB16BB" w:rsidRDefault="00B070BF" w:rsidP="00B070BF">
      <w:pPr>
        <w:widowControl w:val="0"/>
        <w:jc w:val="both"/>
        <w:rPr>
          <w:sz w:val="20"/>
        </w:rPr>
      </w:pPr>
    </w:p>
    <w:p w:rsidR="00B070BF" w:rsidRPr="00AB16BB" w:rsidRDefault="00B070BF" w:rsidP="00B070BF">
      <w:pPr>
        <w:widowControl w:val="0"/>
        <w:jc w:val="both"/>
        <w:rPr>
          <w:sz w:val="20"/>
        </w:rPr>
      </w:pPr>
    </w:p>
    <w:p w:rsidR="00B070BF" w:rsidRPr="00AB16BB" w:rsidRDefault="00B070BF" w:rsidP="00B070BF">
      <w:pPr>
        <w:widowControl w:val="0"/>
        <w:jc w:val="both"/>
        <w:rPr>
          <w:i/>
          <w:iCs/>
          <w:sz w:val="20"/>
        </w:rPr>
      </w:pPr>
      <w:r w:rsidRPr="00AB16BB">
        <w:rPr>
          <w:i/>
          <w:iCs/>
          <w:sz w:val="20"/>
        </w:rPr>
        <w:t>Apéndice:</w:t>
      </w:r>
    </w:p>
    <w:p w:rsidR="00B070BF" w:rsidRPr="00AB16BB" w:rsidRDefault="00B070BF" w:rsidP="00B070BF">
      <w:pPr>
        <w:widowControl w:val="0"/>
        <w:jc w:val="both"/>
        <w:rPr>
          <w:sz w:val="20"/>
        </w:rPr>
      </w:pPr>
    </w:p>
    <w:p w:rsidR="00B070BF" w:rsidRPr="00AB16BB" w:rsidRDefault="00B070BF" w:rsidP="00B070BF">
      <w:pPr>
        <w:widowControl w:val="0"/>
        <w:autoSpaceDE w:val="0"/>
        <w:autoSpaceDN w:val="0"/>
        <w:adjustRightInd w:val="0"/>
        <w:rPr>
          <w:rFonts w:eastAsia="Times New Roman"/>
          <w:sz w:val="20"/>
          <w:lang w:eastAsia="es-ES"/>
        </w:rPr>
      </w:pPr>
      <w:r w:rsidRPr="00AB16BB">
        <w:rPr>
          <w:sz w:val="20"/>
        </w:rPr>
        <w:t xml:space="preserve">En el Apéndice I del presente informe PPR se incluye </w:t>
      </w:r>
      <w:r w:rsidRPr="00AB16BB">
        <w:rPr>
          <w:rFonts w:eastAsia="Times New Roman"/>
          <w:sz w:val="20"/>
          <w:lang w:eastAsia="es-ES"/>
        </w:rPr>
        <w:t>un informe detallado de las actividades con cargo a los fondos fiduciarios en 2012 como parte integrante del Informe sobre el rendimiento de los programas.  Este informe se elaboró por primera vez en 2011 y obtuvo muy buena acogida por parte de los Estados miembros, que lo vieron como un avance positivo dentro de los esfuerzos por integrar todas las actividades en el marco de gestión por resultados de la Organización, con independencia de la fuente de financiación.</w:t>
      </w:r>
    </w:p>
    <w:p w:rsidR="00B070BF" w:rsidRDefault="00B070BF" w:rsidP="00B070BF">
      <w:pPr>
        <w:pStyle w:val="Heading1"/>
        <w:jc w:val="center"/>
      </w:pPr>
      <w:bookmarkStart w:id="8" w:name="_Toc359846784"/>
      <w:bookmarkStart w:id="9" w:name="_Toc359949308"/>
      <w:r>
        <w:t xml:space="preserve">II.  </w:t>
      </w:r>
      <w:r w:rsidRPr="00AB16BB">
        <w:t>RESEÑA GENERAL DE LOS AVANCES LOGRADOS EN 2012</w:t>
      </w:r>
      <w:bookmarkEnd w:id="8"/>
      <w:bookmarkEnd w:id="9"/>
    </w:p>
    <w:p w:rsidR="00B070BF" w:rsidRPr="005A0B21" w:rsidRDefault="00B070BF" w:rsidP="00B070BF"/>
    <w:p w:rsidR="00B070BF" w:rsidRPr="00AB16BB" w:rsidRDefault="00B070BF" w:rsidP="00B070BF">
      <w:pPr>
        <w:widowControl w:val="0"/>
        <w:jc w:val="both"/>
        <w:rPr>
          <w:sz w:val="20"/>
        </w:rPr>
      </w:pPr>
      <w:r w:rsidRPr="00AB16BB">
        <w:rPr>
          <w:sz w:val="20"/>
        </w:rPr>
        <w:t>El bienio 2012/13 constituye el segundo bienio de aplicación del Plan Estratég</w:t>
      </w:r>
      <w:r>
        <w:rPr>
          <w:sz w:val="20"/>
        </w:rPr>
        <w:t>ico a Mediano Plazo (PEMP) 2010/</w:t>
      </w:r>
      <w:r w:rsidRPr="00AB16BB">
        <w:rPr>
          <w:sz w:val="20"/>
        </w:rPr>
        <w:t>15.  Por otra parte, se trata de la primera vez que la Organización informa sobre su rendimiento desde una perspectiva del presupuesto basada en los resultados.  Por esta razón, en el informe PPR 2012 se incluyen diversas mejoras importantes, como por ejemplo información relativa a los gastos reales por resultado previsto.</w:t>
      </w:r>
    </w:p>
    <w:p w:rsidR="00B070BF" w:rsidRPr="00AB16BB" w:rsidRDefault="00B070BF" w:rsidP="00B070BF">
      <w:pPr>
        <w:widowControl w:val="0"/>
        <w:jc w:val="both"/>
        <w:rPr>
          <w:sz w:val="20"/>
        </w:rPr>
      </w:pPr>
    </w:p>
    <w:p w:rsidR="00B070BF" w:rsidRPr="00AB16BB" w:rsidRDefault="00B070BF" w:rsidP="00B070BF">
      <w:pPr>
        <w:widowControl w:val="0"/>
        <w:jc w:val="both"/>
        <w:rPr>
          <w:sz w:val="20"/>
        </w:rPr>
      </w:pPr>
      <w:r w:rsidRPr="00AB16BB">
        <w:rPr>
          <w:sz w:val="20"/>
        </w:rPr>
        <w:t>A continuación se describen de forma resumida los avances más destacados acaecidos en 2012 en el marco de las nueve metas estratégicas.</w:t>
      </w:r>
    </w:p>
    <w:p w:rsidR="00B070BF" w:rsidRPr="00AB16BB" w:rsidRDefault="00B070BF" w:rsidP="00B070BF">
      <w:pPr>
        <w:widowControl w:val="0"/>
        <w:jc w:val="both"/>
        <w:rPr>
          <w:sz w:val="20"/>
        </w:rPr>
      </w:pPr>
    </w:p>
    <w:p w:rsidR="00B070BF" w:rsidRPr="00AB16BB" w:rsidRDefault="00B070BF" w:rsidP="00B070BF">
      <w:pPr>
        <w:widowControl w:val="0"/>
        <w:jc w:val="both"/>
        <w:rPr>
          <w:sz w:val="20"/>
        </w:rPr>
      </w:pPr>
    </w:p>
    <w:p w:rsidR="00B070BF" w:rsidRPr="00AB16BB" w:rsidRDefault="00B070BF" w:rsidP="00B070BF">
      <w:pPr>
        <w:widowControl w:val="0"/>
        <w:jc w:val="both"/>
        <w:rPr>
          <w:i/>
          <w:iCs/>
          <w:sz w:val="20"/>
        </w:rPr>
      </w:pPr>
      <w:r w:rsidRPr="00AB16BB">
        <w:rPr>
          <w:i/>
          <w:iCs/>
          <w:sz w:val="20"/>
        </w:rPr>
        <w:t>Programa de Alineación Estratégica (PAE)</w:t>
      </w:r>
    </w:p>
    <w:p w:rsidR="00B070BF" w:rsidRPr="00AB16BB" w:rsidRDefault="00B070BF" w:rsidP="00B070BF">
      <w:pPr>
        <w:widowControl w:val="0"/>
        <w:jc w:val="both"/>
        <w:rPr>
          <w:sz w:val="16"/>
          <w:szCs w:val="16"/>
        </w:rPr>
      </w:pPr>
    </w:p>
    <w:p w:rsidR="00B070BF" w:rsidRPr="00AB16BB" w:rsidRDefault="00B070BF" w:rsidP="00B070BF">
      <w:pPr>
        <w:widowControl w:val="0"/>
        <w:jc w:val="both"/>
        <w:rPr>
          <w:sz w:val="20"/>
        </w:rPr>
      </w:pPr>
      <w:r w:rsidRPr="00AB16BB">
        <w:rPr>
          <w:sz w:val="20"/>
        </w:rPr>
        <w:t>El PAE, como paquete de iniciativas de reforma, llegó a su fin en 2012.  En los últimos tres años ha dado un nuevo sentido a la cultura y los valores de la Organización y ha mejorado la eficacia de los procesos operativos así como la adecuación de los programas, la estructura y los recursos a las nueve metas estratégicas.  Todas las iniciativas han contribuido a fortalecer las cuatro prioridades centrales de la Organización.</w:t>
      </w:r>
    </w:p>
    <w:p w:rsidR="00B070BF" w:rsidRPr="00AB16BB" w:rsidRDefault="00B070BF" w:rsidP="00B070BF">
      <w:pPr>
        <w:widowControl w:val="0"/>
        <w:jc w:val="both"/>
        <w:rPr>
          <w:sz w:val="20"/>
        </w:rPr>
      </w:pPr>
    </w:p>
    <w:p w:rsidR="00B070BF" w:rsidRPr="00AB16BB" w:rsidRDefault="00B070BF" w:rsidP="00B070BF">
      <w:pPr>
        <w:widowControl w:val="0"/>
        <w:jc w:val="both"/>
        <w:rPr>
          <w:sz w:val="20"/>
        </w:rPr>
      </w:pPr>
      <w:r w:rsidRPr="00AB16BB">
        <w:rPr>
          <w:sz w:val="20"/>
        </w:rPr>
        <w:t xml:space="preserve">La </w:t>
      </w:r>
      <w:r w:rsidRPr="00AB16BB">
        <w:rPr>
          <w:rFonts w:eastAsia="Times New Roman"/>
          <w:sz w:val="20"/>
          <w:lang w:eastAsia="es-ES"/>
        </w:rPr>
        <w:t xml:space="preserve">prestación óptima de servicios se ha fortalecido mediante la formación del personal y la puesta en práctica de sistemas perfeccionados, así como movilizando las oficinas en el exterior a fin de ofrecer un mejor servicio las 24 horas del día.  También se han mejorado las comunicaciones externas haciendo que las publicaciones de la OMPI estén disponibles en más idiomas y aumentando de forma sustancial la presencia de la Organización en las redes sociales a través de </w:t>
      </w:r>
      <w:proofErr w:type="spellStart"/>
      <w:r w:rsidRPr="00AB16BB">
        <w:rPr>
          <w:rFonts w:eastAsia="Times New Roman"/>
          <w:i/>
          <w:sz w:val="20"/>
          <w:lang w:eastAsia="es-ES"/>
        </w:rPr>
        <w:t>Twitter</w:t>
      </w:r>
      <w:proofErr w:type="spellEnd"/>
      <w:r w:rsidRPr="00AB16BB">
        <w:rPr>
          <w:rFonts w:eastAsia="Times New Roman"/>
          <w:i/>
          <w:sz w:val="20"/>
          <w:lang w:eastAsia="es-ES"/>
        </w:rPr>
        <w:t xml:space="preserve">, Facebook, </w:t>
      </w:r>
      <w:proofErr w:type="spellStart"/>
      <w:r w:rsidRPr="00AB16BB">
        <w:rPr>
          <w:rFonts w:eastAsia="Times New Roman"/>
          <w:i/>
          <w:sz w:val="20"/>
          <w:lang w:eastAsia="es-ES"/>
        </w:rPr>
        <w:t>Flickr</w:t>
      </w:r>
      <w:proofErr w:type="spellEnd"/>
      <w:r w:rsidRPr="00AB16BB">
        <w:rPr>
          <w:rFonts w:eastAsia="Times New Roman"/>
          <w:i/>
          <w:sz w:val="20"/>
          <w:lang w:eastAsia="es-ES"/>
        </w:rPr>
        <w:t xml:space="preserve"> </w:t>
      </w:r>
      <w:r w:rsidRPr="00AB16BB">
        <w:rPr>
          <w:rFonts w:eastAsia="Times New Roman"/>
          <w:sz w:val="20"/>
          <w:lang w:eastAsia="es-ES"/>
        </w:rPr>
        <w:t xml:space="preserve">y </w:t>
      </w:r>
      <w:proofErr w:type="spellStart"/>
      <w:r w:rsidRPr="00AB16BB">
        <w:rPr>
          <w:rFonts w:eastAsia="Times New Roman"/>
          <w:i/>
          <w:sz w:val="20"/>
          <w:lang w:eastAsia="es-ES"/>
        </w:rPr>
        <w:t>Scribd</w:t>
      </w:r>
      <w:proofErr w:type="spellEnd"/>
      <w:r w:rsidRPr="00AB16BB">
        <w:rPr>
          <w:rFonts w:eastAsia="Times New Roman"/>
          <w:sz w:val="20"/>
          <w:lang w:eastAsia="es-ES"/>
        </w:rPr>
        <w:t>.</w:t>
      </w:r>
    </w:p>
    <w:p w:rsidR="00B070BF" w:rsidRPr="00AB16BB" w:rsidRDefault="00B070BF" w:rsidP="00B070BF">
      <w:pPr>
        <w:widowControl w:val="0"/>
        <w:jc w:val="both"/>
        <w:rPr>
          <w:sz w:val="20"/>
        </w:rPr>
      </w:pPr>
    </w:p>
    <w:p w:rsidR="00B070BF" w:rsidRPr="00AB16BB" w:rsidRDefault="00B070BF" w:rsidP="00B070BF">
      <w:pPr>
        <w:widowControl w:val="0"/>
        <w:jc w:val="both"/>
        <w:rPr>
          <w:sz w:val="20"/>
        </w:rPr>
      </w:pPr>
      <w:r w:rsidRPr="00AB16BB">
        <w:rPr>
          <w:sz w:val="20"/>
        </w:rPr>
        <w:t>Han sido muchas las iniciativas que han contribuido a mancomunar esfuerzos, como por ejemplo el uso más estratégico de las tecnologías de la información (T.I.), la modernización del marco normativo en materia de derechos humanos y las iniciativas encaminadas a aumentar el intercambio de conocimientos en la Organización.</w:t>
      </w:r>
    </w:p>
    <w:p w:rsidR="00B070BF" w:rsidRPr="00AB16BB" w:rsidRDefault="00B070BF" w:rsidP="00B070BF">
      <w:pPr>
        <w:widowControl w:val="0"/>
        <w:jc w:val="both"/>
        <w:rPr>
          <w:sz w:val="20"/>
        </w:rPr>
      </w:pPr>
    </w:p>
    <w:p w:rsidR="00B070BF" w:rsidRPr="00AB16BB" w:rsidRDefault="00B070BF" w:rsidP="00B070BF">
      <w:pPr>
        <w:widowControl w:val="0"/>
        <w:jc w:val="both"/>
        <w:rPr>
          <w:sz w:val="20"/>
        </w:rPr>
      </w:pPr>
      <w:r w:rsidRPr="00AB16BB">
        <w:rPr>
          <w:sz w:val="20"/>
        </w:rPr>
        <w:t>En lo que respecta a fortalecer la responsabilidad por los resultados, el marco de resultados de la OMPI abarca desde las metas estratégicas hasta los resultados previstos de la Organización o los objetivos individuales de trabajo.  A finales de 2012 se integró la gestión de riesgos en los procesos de planificación bienal y anual.</w:t>
      </w:r>
    </w:p>
    <w:p w:rsidR="00B070BF" w:rsidRPr="00AB16BB" w:rsidRDefault="00B070BF" w:rsidP="00B070BF">
      <w:pPr>
        <w:widowControl w:val="0"/>
        <w:jc w:val="both"/>
        <w:rPr>
          <w:sz w:val="20"/>
        </w:rPr>
      </w:pPr>
    </w:p>
    <w:p w:rsidR="00B070BF" w:rsidRPr="00AB16BB" w:rsidRDefault="00B070BF" w:rsidP="00B070BF">
      <w:pPr>
        <w:widowControl w:val="0"/>
        <w:jc w:val="both"/>
        <w:rPr>
          <w:sz w:val="20"/>
        </w:rPr>
      </w:pPr>
      <w:r w:rsidRPr="00AB16BB">
        <w:rPr>
          <w:sz w:val="20"/>
        </w:rPr>
        <w:t>Con el objetivo de mejorar la responsabilidad medioambiental, social y de buen gobierno se ha adoptado un código de deontología y una Política de protección de los denunciantes de irregularidades, y todos los miembros del personal han recibido formación en materia de ética.  Se han tomado medidas a fin de reducir la huella de carbono de la Organización y se han realizado mejoras en lo que respecta a facilitar el acceso de todas las personas a los edificios y servicios de la OMPI.</w:t>
      </w:r>
    </w:p>
    <w:p w:rsidR="00B070BF" w:rsidRPr="00AB16BB" w:rsidRDefault="00B070BF" w:rsidP="00B070BF">
      <w:pPr>
        <w:widowControl w:val="0"/>
        <w:jc w:val="both"/>
        <w:rPr>
          <w:sz w:val="20"/>
        </w:rPr>
      </w:pPr>
    </w:p>
    <w:p w:rsidR="00B070BF" w:rsidRPr="00AB16BB" w:rsidRDefault="00B070BF" w:rsidP="00B070BF">
      <w:pPr>
        <w:widowControl w:val="0"/>
        <w:jc w:val="both"/>
        <w:rPr>
          <w:sz w:val="20"/>
        </w:rPr>
      </w:pPr>
      <w:r w:rsidRPr="00AB16BB">
        <w:rPr>
          <w:sz w:val="20"/>
        </w:rPr>
        <w:t>En 2013 la Organización iniciará una fase de “mejoras continuas” con el objetivo de mantener los logros obtenidos en el marco del PAE y aprovecharlos para seguir mejorando.</w:t>
      </w:r>
    </w:p>
    <w:p w:rsidR="00B070BF" w:rsidRPr="004A21DC" w:rsidRDefault="00B070BF" w:rsidP="00B070BF">
      <w:pPr>
        <w:widowControl w:val="0"/>
        <w:jc w:val="both"/>
        <w:rPr>
          <w:sz w:val="20"/>
        </w:rPr>
      </w:pPr>
    </w:p>
    <w:p w:rsidR="00B070BF" w:rsidRPr="004A21DC" w:rsidRDefault="00B070BF" w:rsidP="00B070BF">
      <w:pPr>
        <w:widowControl w:val="0"/>
        <w:jc w:val="both"/>
        <w:rPr>
          <w:sz w:val="20"/>
        </w:rPr>
      </w:pPr>
    </w:p>
    <w:p w:rsidR="00B070BF" w:rsidRPr="00AB16BB" w:rsidRDefault="00B070BF" w:rsidP="00B070BF">
      <w:pPr>
        <w:widowControl w:val="0"/>
        <w:jc w:val="both"/>
        <w:rPr>
          <w:i/>
          <w:iCs/>
          <w:sz w:val="20"/>
        </w:rPr>
      </w:pPr>
      <w:r w:rsidRPr="00AB16BB">
        <w:rPr>
          <w:i/>
          <w:iCs/>
          <w:sz w:val="20"/>
        </w:rPr>
        <w:t>Meta estratégica I</w:t>
      </w:r>
      <w:proofErr w:type="gramStart"/>
      <w:r w:rsidRPr="00AB16BB">
        <w:rPr>
          <w:i/>
          <w:iCs/>
          <w:sz w:val="20"/>
        </w:rPr>
        <w:t>:  Evolución</w:t>
      </w:r>
      <w:proofErr w:type="gramEnd"/>
      <w:r w:rsidRPr="00AB16BB">
        <w:rPr>
          <w:i/>
          <w:iCs/>
          <w:sz w:val="20"/>
        </w:rPr>
        <w:t xml:space="preserve"> equilibrada del marco normativo internacional de P.I.</w:t>
      </w:r>
    </w:p>
    <w:p w:rsidR="00B070BF" w:rsidRPr="00AB16BB" w:rsidRDefault="00B070BF" w:rsidP="00B070BF">
      <w:pPr>
        <w:widowControl w:val="0"/>
        <w:jc w:val="both"/>
        <w:rPr>
          <w:i/>
          <w:iCs/>
          <w:sz w:val="20"/>
        </w:rPr>
      </w:pPr>
    </w:p>
    <w:p w:rsidR="00B070BF" w:rsidRPr="00AB16BB" w:rsidRDefault="00B070BF" w:rsidP="00B070BF">
      <w:pPr>
        <w:widowControl w:val="0"/>
        <w:jc w:val="both"/>
        <w:rPr>
          <w:sz w:val="20"/>
        </w:rPr>
      </w:pPr>
      <w:r w:rsidRPr="00AB16BB">
        <w:rPr>
          <w:sz w:val="20"/>
        </w:rPr>
        <w:t>En 2012 se lograron avances notables en relación con esta meta estratégica gracias a la adopción del Tratado de Beijing para la protección de las interpretaciones y ejecuciones audiovisuales.  Los debates constructivos permitieron seguir avanzando también en lo referente a los demás puntos del orden del día del Comité Permanente de Derecho de Autor y Derechos Conexos (SCCR), lo que condujo a la decisión alcanzada en el marco del período extraordinario de sesiones de la Asamblea General celebrado en diciembre de 2012 de convocar en 2013 una conferencia diplomática sobre la conclusión de un tratado que facilite a las personas con discapacidad visual y las personas con dificultad para acceder al texto impreso el acceso a las obras publicadas.  El SCCR adoptó asimismo y presentó en la Asamblea General de la OMPI de 2012 un plan de trabajo actualizado en relación con otra propuesta de tratado y algunos otros aspectos relativos a las limitaciones y excepciones</w:t>
      </w:r>
      <w:proofErr w:type="gramStart"/>
      <w:r w:rsidRPr="00AB16BB">
        <w:rPr>
          <w:sz w:val="20"/>
        </w:rPr>
        <w:t>:  un</w:t>
      </w:r>
      <w:proofErr w:type="gramEnd"/>
      <w:r w:rsidRPr="00AB16BB">
        <w:rPr>
          <w:sz w:val="20"/>
        </w:rPr>
        <w:t xml:space="preserve"> tratado sobre los organismos de radiodifusión, y limitaciones y excepciones para las bibliotecas y los archivos, las instituciones docentes y de investigación y las personas con otras discapacidades.</w:t>
      </w:r>
    </w:p>
    <w:p w:rsidR="00B070BF" w:rsidRPr="00AB16BB" w:rsidRDefault="00B070BF" w:rsidP="00B070BF">
      <w:pPr>
        <w:widowControl w:val="0"/>
        <w:jc w:val="both"/>
        <w:rPr>
          <w:sz w:val="20"/>
        </w:rPr>
      </w:pPr>
    </w:p>
    <w:p w:rsidR="00B070BF" w:rsidRPr="00AB16BB" w:rsidRDefault="00B070BF" w:rsidP="00B070BF">
      <w:pPr>
        <w:widowControl w:val="0"/>
        <w:jc w:val="both"/>
        <w:rPr>
          <w:sz w:val="20"/>
        </w:rPr>
      </w:pPr>
      <w:r w:rsidRPr="00AB16BB">
        <w:rPr>
          <w:sz w:val="20"/>
        </w:rPr>
        <w:t>En virtud de su nuevo mandato para el bienio, establecido a finales de 2011, el Comité Intergubernamental sobre Propiedad Intelectual y Recursos Genéticos, Conocimientos Tradicionales y Folclore (CIG) se reunió en tres ocasiones (20ª, 21ª y 22ª sesiones del CIG).  El CIG estableció un programa de trabajo bien definido y unos métodos de trabajo adecuados, y ha conseguido que avancen sus “negociaciones basadas en textos”, tal como se exigía en el mandato.  Tras la tercera sesión (la 22ª), el CIG consiguió desarrollar asimismo un texto de negociación único y consolidado sobre los recursos genéticos (RR.GG.) y logró nuevos avances en lo que respecta a los textos sobre los conocimientos tradicionales (CC.TT.) y las expresiones culturales tradicionales (ECT).  De conformidad con el mandato del CIG para el bienio 2012/13, en la Asamblea General de la OMPI celebrada en octubre de 2012 se hizo balance y se analizaron los textos elaborados y los avances logrados, y se alcanzó un acuerdo respecto del programa de trabajo para el año 2013.</w:t>
      </w:r>
    </w:p>
    <w:p w:rsidR="00B070BF" w:rsidRPr="00AB16BB" w:rsidRDefault="00B070BF" w:rsidP="00B070BF">
      <w:pPr>
        <w:widowControl w:val="0"/>
        <w:jc w:val="both"/>
        <w:rPr>
          <w:sz w:val="20"/>
        </w:rPr>
      </w:pPr>
    </w:p>
    <w:p w:rsidR="00B070BF" w:rsidRPr="00AB16BB" w:rsidRDefault="00B070BF" w:rsidP="00B070BF">
      <w:pPr>
        <w:widowControl w:val="0"/>
        <w:autoSpaceDE w:val="0"/>
        <w:autoSpaceDN w:val="0"/>
        <w:adjustRightInd w:val="0"/>
        <w:jc w:val="both"/>
        <w:rPr>
          <w:sz w:val="20"/>
        </w:rPr>
      </w:pPr>
      <w:r w:rsidRPr="00AB16BB">
        <w:rPr>
          <w:sz w:val="20"/>
        </w:rPr>
        <w:lastRenderedPageBreak/>
        <w:t>El Comité Permanente sobre el Derecho de Marcas, Diseños Industriales e Indicaciones Geográficas (SCT) registró avances positivos en su labor encaminada a la obtención de un acuerdo internacional sobre la legislación y las prácticas en materia de diseños industriales, con el apremio de la Asamblea General de la OMPI para que agilice su labor a fin de poder decidir en 2013 acerca de la celebración de una conferencia diplomática.  Del mismo modo, el SCT acordó continuar con la labor que desarrolla en el ámbito de la protección de los nombres de países.</w:t>
      </w:r>
    </w:p>
    <w:p w:rsidR="00B070BF" w:rsidRPr="00AB16BB" w:rsidRDefault="00B070BF" w:rsidP="00B070BF">
      <w:pPr>
        <w:widowControl w:val="0"/>
        <w:jc w:val="both"/>
        <w:rPr>
          <w:sz w:val="20"/>
        </w:rPr>
      </w:pPr>
    </w:p>
    <w:p w:rsidR="00B070BF" w:rsidRPr="00AB16BB" w:rsidRDefault="00B070BF" w:rsidP="00B070BF">
      <w:pPr>
        <w:widowControl w:val="0"/>
        <w:autoSpaceDE w:val="0"/>
        <w:autoSpaceDN w:val="0"/>
        <w:adjustRightInd w:val="0"/>
        <w:jc w:val="both"/>
        <w:rPr>
          <w:bCs/>
          <w:color w:val="000000"/>
          <w:sz w:val="20"/>
        </w:rPr>
      </w:pPr>
      <w:r w:rsidRPr="00AB16BB">
        <w:rPr>
          <w:bCs/>
          <w:color w:val="000000"/>
          <w:sz w:val="20"/>
        </w:rPr>
        <w:t>Con el fin de mejorar la cooperación entre los Estados miembros en lo que atañe a seguir elaborando marcos normativos y de política equilibrados para el sistema internacional de patentes, en mayo de 2012 se celebró la decimoctava sesión del Comité Permanente sobre el Derecho de Patentes (SCP).  El SCP continuó prestando atención a cuatro cuestiones en su orden del día, a saber</w:t>
      </w:r>
      <w:proofErr w:type="gramStart"/>
      <w:r w:rsidRPr="00AB16BB">
        <w:rPr>
          <w:bCs/>
          <w:color w:val="000000"/>
          <w:sz w:val="20"/>
        </w:rPr>
        <w:t>:  i</w:t>
      </w:r>
      <w:proofErr w:type="gramEnd"/>
      <w:r w:rsidRPr="00AB16BB">
        <w:rPr>
          <w:bCs/>
          <w:color w:val="000000"/>
          <w:sz w:val="20"/>
        </w:rPr>
        <w:t>) excepciones y limitaciones a los derechos de patente;  ii) calidad de las patentes, incluidos los procedimientos de oposición;  iii) patentes y salud;  iv) confidencialidad de las comunicaciones entre asesores de patente y sus clientes;  y v) transferencia de tecnología.</w:t>
      </w:r>
    </w:p>
    <w:p w:rsidR="00B070BF" w:rsidRPr="00AB16BB" w:rsidRDefault="00B070BF" w:rsidP="00B070BF">
      <w:pPr>
        <w:widowControl w:val="0"/>
        <w:jc w:val="both"/>
        <w:rPr>
          <w:i/>
          <w:iCs/>
          <w:sz w:val="20"/>
        </w:rPr>
      </w:pPr>
    </w:p>
    <w:p w:rsidR="00B070BF" w:rsidRPr="00AB16BB" w:rsidRDefault="00B070BF" w:rsidP="00B070BF">
      <w:pPr>
        <w:widowControl w:val="0"/>
        <w:jc w:val="both"/>
        <w:rPr>
          <w:i/>
          <w:iCs/>
          <w:sz w:val="20"/>
        </w:rPr>
      </w:pPr>
    </w:p>
    <w:p w:rsidR="00B070BF" w:rsidRPr="00AB16BB" w:rsidRDefault="00B070BF" w:rsidP="00B070BF">
      <w:pPr>
        <w:widowControl w:val="0"/>
        <w:jc w:val="both"/>
        <w:rPr>
          <w:i/>
          <w:iCs/>
          <w:sz w:val="20"/>
        </w:rPr>
      </w:pPr>
      <w:r w:rsidRPr="00AB16BB">
        <w:rPr>
          <w:i/>
          <w:iCs/>
          <w:sz w:val="20"/>
        </w:rPr>
        <w:t>Meta estratégica II</w:t>
      </w:r>
      <w:proofErr w:type="gramStart"/>
      <w:r w:rsidRPr="00AB16BB">
        <w:rPr>
          <w:i/>
          <w:iCs/>
          <w:sz w:val="20"/>
        </w:rPr>
        <w:t>:  Prestación</w:t>
      </w:r>
      <w:proofErr w:type="gramEnd"/>
      <w:r w:rsidRPr="00AB16BB">
        <w:rPr>
          <w:i/>
          <w:iCs/>
          <w:sz w:val="20"/>
        </w:rPr>
        <w:t xml:space="preserve"> de servicios mundiales de P.I. de calidad</w:t>
      </w:r>
    </w:p>
    <w:p w:rsidR="00B070BF" w:rsidRPr="00AB16BB" w:rsidRDefault="00B070BF" w:rsidP="00B070BF">
      <w:pPr>
        <w:widowControl w:val="0"/>
        <w:jc w:val="both"/>
        <w:rPr>
          <w:i/>
          <w:iCs/>
          <w:sz w:val="20"/>
        </w:rPr>
      </w:pPr>
    </w:p>
    <w:p w:rsidR="00B070BF" w:rsidRPr="00AB16BB" w:rsidRDefault="00B070BF" w:rsidP="00B070BF">
      <w:pPr>
        <w:widowControl w:val="0"/>
        <w:jc w:val="both"/>
        <w:rPr>
          <w:sz w:val="20"/>
        </w:rPr>
      </w:pPr>
      <w:r w:rsidRPr="00AB16BB">
        <w:rPr>
          <w:sz w:val="20"/>
        </w:rPr>
        <w:t>Durante el bienio 2012/13 se produjo un crecimiento considerable de los sistemas de registro internacional, a pesar de la persistencia de la fragilidad económica a nivel mundial.  La Organización logró prestar servicios de calidad y mejorar la experiencia de los clientes, al tiempo que se incrementó la productividad a través de iniciativas bien diseñadas en materia de tecnologías de la información y las comunicaciones (TIC).</w:t>
      </w:r>
    </w:p>
    <w:p w:rsidR="00B070BF" w:rsidRPr="00AB16BB" w:rsidRDefault="00B070BF" w:rsidP="00B070BF">
      <w:pPr>
        <w:widowControl w:val="0"/>
        <w:jc w:val="both"/>
        <w:rPr>
          <w:sz w:val="20"/>
        </w:rPr>
      </w:pPr>
    </w:p>
    <w:p w:rsidR="00B070BF" w:rsidRPr="00AB16BB" w:rsidRDefault="00B070BF" w:rsidP="00B070BF">
      <w:pPr>
        <w:widowControl w:val="0"/>
        <w:shd w:val="clear" w:color="auto" w:fill="FFFFFF"/>
        <w:jc w:val="both"/>
        <w:rPr>
          <w:sz w:val="20"/>
        </w:rPr>
      </w:pPr>
      <w:r w:rsidRPr="00AB16BB">
        <w:rPr>
          <w:sz w:val="20"/>
        </w:rPr>
        <w:t>En 2012 se registró un gran aumento de las solicitudes internacionales de patente presentadas en virtud del Tratado de Cooperación en materia de Patentes (PCT) con 196.200 patentes, lo que supone un crecimiento del 9% en relación con 2011.  Además, se produjo un aumento del porcentaje de solicitudes procedentes de países de ingresos medianos y bajos, especialmente significativo en el caso de China.</w:t>
      </w:r>
    </w:p>
    <w:p w:rsidR="00B070BF" w:rsidRPr="00AB16BB" w:rsidRDefault="00B070BF" w:rsidP="00B070BF">
      <w:pPr>
        <w:widowControl w:val="0"/>
        <w:shd w:val="clear" w:color="auto" w:fill="FFFFFF"/>
        <w:jc w:val="both"/>
        <w:rPr>
          <w:sz w:val="20"/>
        </w:rPr>
      </w:pPr>
    </w:p>
    <w:p w:rsidR="00B070BF" w:rsidRPr="00AB16BB" w:rsidRDefault="00B070BF" w:rsidP="00B070BF">
      <w:pPr>
        <w:widowControl w:val="0"/>
        <w:shd w:val="clear" w:color="auto" w:fill="FFFFFF"/>
        <w:jc w:val="both"/>
        <w:rPr>
          <w:sz w:val="20"/>
        </w:rPr>
      </w:pPr>
      <w:r w:rsidRPr="00AB16BB">
        <w:rPr>
          <w:sz w:val="20"/>
        </w:rPr>
        <w:t>La mejora del sistema del PCT prosiguió en el marco de la hoja de ruta del PCT, compuesta por una serie de recomendaciones apoyadas en 2010 por el Grupo de Trabajo del PCT.  Se ha conseguido avanzar de forma significativa en los aspectos siguientes:  a) la calidad de los documentos que se producen ocupa ahora un lugar destacado entre las prioridades del PCT, incluidos los informes de búsqueda internacional y las opiniones escritas, así como la administración en la Oficina Internacional y en las distintas oficinas;  b) las partes interesadas a nivel nacional reconocen la utilidad de que los documentos que se producen en el marco del PCT sean de calidad y la importancia que tiene el PCT para el funcionamiento del sistema internacional de patentes;  c) las partes interesadas entienden mejor la función que desempeña el PCT en la divulgación eficaz de la información técnica;  y d) hay más conciencia de la necesidad que tienen los Estados contratantes de que tanto las solicitudes internacionales como los documentos que se producen en el marco del PCT sean de calidad, de la capacidad de los Estados contratantes para realizar sus propias búsquedas y exámenes de manera eficaz y de la necesidad de prestar asistencia técnica de forma continuada en este sentido a los países en desarrollo y los menos adelantados.</w:t>
      </w:r>
    </w:p>
    <w:p w:rsidR="00B070BF" w:rsidRPr="00AB16BB" w:rsidRDefault="00B070BF" w:rsidP="00B070BF">
      <w:pPr>
        <w:widowControl w:val="0"/>
        <w:jc w:val="both"/>
        <w:rPr>
          <w:sz w:val="20"/>
        </w:rPr>
      </w:pPr>
    </w:p>
    <w:p w:rsidR="00B070BF" w:rsidRPr="00AB16BB" w:rsidRDefault="00B070BF" w:rsidP="00B070BF">
      <w:pPr>
        <w:widowControl w:val="0"/>
        <w:autoSpaceDE w:val="0"/>
        <w:autoSpaceDN w:val="0"/>
        <w:adjustRightInd w:val="0"/>
        <w:rPr>
          <w:rFonts w:eastAsia="Times New Roman"/>
          <w:sz w:val="20"/>
          <w:lang w:eastAsia="es-ES"/>
        </w:rPr>
      </w:pPr>
      <w:r w:rsidRPr="00AB16BB">
        <w:rPr>
          <w:sz w:val="20"/>
        </w:rPr>
        <w:t xml:space="preserve">El sistema internacional de marcas continúa con su extraordinaria recuperación y 2012 fue de nuevo un año récord para la OMPI en lo que respecta a solicitudes internacionales recibidas y registros internacionales inscritos.  La OMPI recibió 44.018 solicitudes internacionales, lo que representa un aumento del 4,1% en comparación con 2011 e inscribió 41.954 registros internacionales.  El número total de solicitudes recibidas por la Oficina Internacional, tales como modificaciones, decisiones de las oficinas de las Partes contratantes y renovaciones, aumentó un 3% en 2012.  El 7% de las solicitudes recibidas procedieron de países en desarrollo o de países menos adelantados (PMA).  Además, en 2012 Colombia, Filipinas, México y Nueva Zelandia </w:t>
      </w:r>
      <w:r w:rsidRPr="00AB16BB">
        <w:rPr>
          <w:rFonts w:eastAsia="Times New Roman"/>
          <w:sz w:val="20"/>
          <w:lang w:eastAsia="es-ES"/>
        </w:rPr>
        <w:t>se adhirieron al Protocolo de Madrid, con lo que aumentó a 88 la cifra de miembros del Protocolo, y a 89 la cifra total de miembros del sistema de Madrid.  Estas nuevas adhesiones constituyen un hito muy importante para continuar ampliando el alcance geográfico del sistema de Madrid, en especial gracias a la incorporación de dos países de la región de América Latina.  Un país sigue siendo parte únicamente en el Arreglo.</w:t>
      </w:r>
    </w:p>
    <w:p w:rsidR="00B070BF" w:rsidRPr="00AB16BB" w:rsidRDefault="00B070BF" w:rsidP="00B070BF">
      <w:pPr>
        <w:widowControl w:val="0"/>
        <w:jc w:val="both"/>
        <w:rPr>
          <w:sz w:val="20"/>
        </w:rPr>
      </w:pPr>
    </w:p>
    <w:p w:rsidR="00B070BF" w:rsidRPr="00AB16BB" w:rsidRDefault="00B070BF" w:rsidP="00B070BF">
      <w:pPr>
        <w:widowControl w:val="0"/>
        <w:jc w:val="both"/>
        <w:rPr>
          <w:sz w:val="20"/>
        </w:rPr>
      </w:pPr>
      <w:r w:rsidRPr="00AB16BB">
        <w:rPr>
          <w:sz w:val="20"/>
        </w:rPr>
        <w:t xml:space="preserve">Los registros internacionales en virtud del sistema de La Haya aumentaron en 2012, pasando de 2.363 a 2.440.  A pesar del aumento general de la actividad en lo que respecta a presentación de solicitudes y registros, con un aumento notable de las solicitudes procedentes de los países en desarrollo y los PMA, y a pesar de que se han cumplido las metas en materia de renovaciones, las cantidades siguen estando por debajo de lo previsto.  En 2012 Montenegro y Túnez pasaron a ser parte en el Acta de Ginebra de </w:t>
      </w:r>
      <w:r w:rsidRPr="00AB16BB">
        <w:rPr>
          <w:sz w:val="20"/>
        </w:rPr>
        <w:lastRenderedPageBreak/>
        <w:t>1999 del Arreglo de La Haya.  La adhesión de Túnez constituye un paso importante hacia el objetivo de conseguir que el Acta de 1999 predomine en el sistema, ya que, gracias a ella, ya no queda ningún Estado contratante que esté vinculado únicamente por el Acta de 1934.</w:t>
      </w:r>
    </w:p>
    <w:p w:rsidR="00B070BF" w:rsidRPr="00AB16BB" w:rsidRDefault="00B070BF" w:rsidP="00B070BF">
      <w:pPr>
        <w:widowControl w:val="0"/>
        <w:tabs>
          <w:tab w:val="left" w:pos="5309"/>
        </w:tabs>
        <w:jc w:val="both"/>
        <w:rPr>
          <w:sz w:val="20"/>
        </w:rPr>
      </w:pPr>
    </w:p>
    <w:p w:rsidR="00B070BF" w:rsidRPr="00AB16BB" w:rsidRDefault="00B070BF" w:rsidP="00B070BF">
      <w:pPr>
        <w:widowControl w:val="0"/>
        <w:tabs>
          <w:tab w:val="left" w:pos="5309"/>
        </w:tabs>
        <w:jc w:val="both"/>
        <w:rPr>
          <w:color w:val="000000"/>
          <w:sz w:val="20"/>
        </w:rPr>
      </w:pPr>
      <w:r w:rsidRPr="00AB16BB">
        <w:rPr>
          <w:sz w:val="20"/>
        </w:rPr>
        <w:t xml:space="preserve">La </w:t>
      </w:r>
      <w:r w:rsidRPr="00AB16BB">
        <w:rPr>
          <w:color w:val="000000"/>
          <w:sz w:val="20"/>
        </w:rPr>
        <w:t>Asamblea de la Unión de Lisboa encargó en 2009 al Grupo de Trabajo sobre el desarrollo del sistema de Lisboa que realizara una revisión completa del sistema de Lisboa para hacerlo más atractivo para los usuarios y los posibles nuevos miembros, manteniendo sus principios y objetivos.  El Grupo de Trabajo obtuvo avances considerables en el marco de este mandato durante la sesión que celebró en diciembre de 2012, que han posibilitado que la Oficina Internacional vaya a elaborar un proyecto de Arreglo de Lisboa revisado, así como el proyecto de reglamento de dicho Arreglo de Lisboa revisado, con vistas a la próxima sesión del Grupo de Trabajo, que se celebrará en abril o mayo de 2013.</w:t>
      </w:r>
    </w:p>
    <w:p w:rsidR="00B070BF" w:rsidRPr="00AB16BB" w:rsidRDefault="00B070BF" w:rsidP="00B070BF">
      <w:pPr>
        <w:widowControl w:val="0"/>
        <w:tabs>
          <w:tab w:val="left" w:pos="5309"/>
        </w:tabs>
        <w:jc w:val="both"/>
        <w:rPr>
          <w:sz w:val="20"/>
        </w:rPr>
      </w:pPr>
    </w:p>
    <w:p w:rsidR="00B070BF" w:rsidRPr="00AB16BB" w:rsidRDefault="00B070BF" w:rsidP="00B070BF">
      <w:pPr>
        <w:widowControl w:val="0"/>
        <w:jc w:val="both"/>
        <w:rPr>
          <w:noProof/>
          <w:sz w:val="20"/>
        </w:rPr>
      </w:pPr>
      <w:r w:rsidRPr="00AB16BB">
        <w:rPr>
          <w:noProof/>
          <w:sz w:val="20"/>
        </w:rPr>
        <w:t xml:space="preserve">En 2012, el </w:t>
      </w:r>
      <w:r w:rsidRPr="00AB16BB">
        <w:rPr>
          <w:bCs/>
          <w:iCs/>
          <w:noProof/>
          <w:sz w:val="20"/>
        </w:rPr>
        <w:t>Centro de Arbitraje y Mediación de la OMPI</w:t>
      </w:r>
      <w:r w:rsidRPr="00AB16BB">
        <w:rPr>
          <w:noProof/>
          <w:sz w:val="20"/>
        </w:rPr>
        <w:t xml:space="preserve"> siguió optimizando el potencial de sus procedimientos para satisfacer las necesidades de los titulares y los usuarios de derechos de P.I.  En materia de nombres de dominio, en 2012 los propietarios de marcas presentaron ante el Centro de Arbitraje y Mediación de la OMPI 2.884 demandas por ciberocupación respecto de 5.084 nombres de dominio de Internet, en el marco de procedimientos basados en la Política Uniforme de Solución de Controversias en materia de Nombres de Dominio, una nueva cifra máxima.  Esto supone un aumento del 4,5% con respecto a 2011.  El Centro de Arbitraje y Mediación de la OMPI continuó estableciendo contactos con los administradores de dominios de nivel superior correspondientes a códigos de países (ccTLD) en diferentes regiones para adoptar políticas de solución de controversias, lo que condujo a la incorporación en 2012 de .PW (Palau) y .TZ (Tanzanía) a la lista de ccTLD que utilizan los servicios de la OMPI de solución de controversias, que son ya 67.</w:t>
      </w:r>
    </w:p>
    <w:p w:rsidR="00B070BF" w:rsidRPr="00AB16BB" w:rsidRDefault="00B070BF" w:rsidP="00B070BF">
      <w:pPr>
        <w:widowControl w:val="0"/>
        <w:tabs>
          <w:tab w:val="center" w:pos="4536"/>
          <w:tab w:val="right" w:pos="9000"/>
          <w:tab w:val="right" w:pos="9072"/>
        </w:tabs>
        <w:autoSpaceDE w:val="0"/>
        <w:autoSpaceDN w:val="0"/>
        <w:adjustRightInd w:val="0"/>
        <w:jc w:val="both"/>
        <w:rPr>
          <w:noProof/>
          <w:sz w:val="20"/>
        </w:rPr>
      </w:pPr>
    </w:p>
    <w:p w:rsidR="00B070BF" w:rsidRPr="00AB16BB" w:rsidRDefault="00B070BF" w:rsidP="00B070BF">
      <w:pPr>
        <w:widowControl w:val="0"/>
        <w:tabs>
          <w:tab w:val="center" w:pos="4536"/>
          <w:tab w:val="right" w:pos="9000"/>
          <w:tab w:val="right" w:pos="9072"/>
        </w:tabs>
        <w:autoSpaceDE w:val="0"/>
        <w:autoSpaceDN w:val="0"/>
        <w:adjustRightInd w:val="0"/>
        <w:jc w:val="both"/>
        <w:rPr>
          <w:noProof/>
          <w:sz w:val="20"/>
        </w:rPr>
      </w:pPr>
    </w:p>
    <w:p w:rsidR="00B070BF" w:rsidRPr="00AB16BB" w:rsidRDefault="00B070BF" w:rsidP="00B070BF">
      <w:pPr>
        <w:widowControl w:val="0"/>
        <w:jc w:val="both"/>
        <w:rPr>
          <w:i/>
          <w:iCs/>
          <w:sz w:val="20"/>
        </w:rPr>
      </w:pPr>
      <w:r w:rsidRPr="00AB16BB">
        <w:rPr>
          <w:i/>
          <w:iCs/>
          <w:sz w:val="20"/>
        </w:rPr>
        <w:t>Meta estratégica III</w:t>
      </w:r>
      <w:proofErr w:type="gramStart"/>
      <w:r w:rsidRPr="00AB16BB">
        <w:rPr>
          <w:i/>
          <w:iCs/>
          <w:sz w:val="20"/>
        </w:rPr>
        <w:t>:  Facilitar</w:t>
      </w:r>
      <w:proofErr w:type="gramEnd"/>
      <w:r w:rsidRPr="00AB16BB">
        <w:rPr>
          <w:i/>
          <w:iCs/>
          <w:sz w:val="20"/>
        </w:rPr>
        <w:t xml:space="preserve"> el uso de la P.I. en aras del desarrollo</w:t>
      </w:r>
    </w:p>
    <w:p w:rsidR="00B070BF" w:rsidRPr="00AB16BB" w:rsidRDefault="00B070BF" w:rsidP="00B070BF">
      <w:pPr>
        <w:widowControl w:val="0"/>
        <w:jc w:val="both"/>
        <w:rPr>
          <w:iCs/>
          <w:sz w:val="20"/>
        </w:rPr>
      </w:pPr>
    </w:p>
    <w:p w:rsidR="00B070BF" w:rsidRPr="00AB16BB" w:rsidRDefault="00B070BF" w:rsidP="00B070BF">
      <w:pPr>
        <w:widowControl w:val="0"/>
        <w:jc w:val="both"/>
        <w:rPr>
          <w:iCs/>
          <w:sz w:val="20"/>
        </w:rPr>
      </w:pPr>
      <w:r w:rsidRPr="00AB16BB">
        <w:rPr>
          <w:iCs/>
          <w:sz w:val="20"/>
        </w:rPr>
        <w:t>Facilitar el uso de la P.I. en aras del desarrollo y potenciar a los países en desarrollo y los PMA a fin de que utilicen la P.I. para aumentar el potencial y las capacidades de innovación nacional siguieron siendo prioridades en 2012.</w:t>
      </w:r>
    </w:p>
    <w:p w:rsidR="00B070BF" w:rsidRPr="00AB16BB" w:rsidRDefault="00B070BF" w:rsidP="00B070BF">
      <w:pPr>
        <w:widowControl w:val="0"/>
        <w:jc w:val="both"/>
        <w:rPr>
          <w:sz w:val="20"/>
        </w:rPr>
      </w:pPr>
    </w:p>
    <w:p w:rsidR="00B070BF" w:rsidRPr="00AB16BB" w:rsidRDefault="00B070BF" w:rsidP="00B070BF">
      <w:pPr>
        <w:widowControl w:val="0"/>
        <w:jc w:val="both"/>
        <w:rPr>
          <w:sz w:val="20"/>
        </w:rPr>
      </w:pPr>
      <w:r w:rsidRPr="00AB16BB">
        <w:rPr>
          <w:sz w:val="20"/>
        </w:rPr>
        <w:t>Gracias al enfoque estratégico mejorado y a la mejor coordinación entre las organizaciones que se estableció durante el bienio anterior, la OMPI ha podido seguir prestando asistencia a los países en desarrollo y los PMA para la concepción, desarrollo y aplicación de estrategias nacionales de P.I. que guarden coherencia con los planes generales de desarrollo y permitan a su vez fomentar la innovación y la creatividad.  En el marco del proyecto de Mejora de la capacidad de las instituciones de P.I de ámbito nacional, subregional y regional y de los respectivos usuarios, cuya ejecución finalizó en mayo de 2012, se desarrollaron un método normalizado, aunque flexible, y una serie de herramientas prácticas para formular estrategias y planes nacionales en materia de P.I.  Este método y estas herramientas se están incorporando ahora para ser utilizados a la hora de formular estrategias.  Se ha comenzado a formular y aplicar estrategias de P.I. en 32 países (cinco de África, cinco de la región árabe, nueve de Asia y el Pacífico y 13 de la región de América Latina y el Caribe).  Tres PMA han incluido consideraciones de P.I. propias de los PMA en sus estrategias o políticas nacionales de P.I.</w:t>
      </w:r>
    </w:p>
    <w:p w:rsidR="00B070BF" w:rsidRPr="00AB16BB" w:rsidRDefault="00B070BF" w:rsidP="00B070BF">
      <w:pPr>
        <w:widowControl w:val="0"/>
        <w:jc w:val="both"/>
        <w:rPr>
          <w:sz w:val="20"/>
        </w:rPr>
      </w:pPr>
    </w:p>
    <w:p w:rsidR="00B070BF" w:rsidRPr="00AB16BB" w:rsidRDefault="00B070BF" w:rsidP="00B070BF">
      <w:pPr>
        <w:widowControl w:val="0"/>
        <w:autoSpaceDE w:val="0"/>
        <w:autoSpaceDN w:val="0"/>
        <w:adjustRightInd w:val="0"/>
        <w:jc w:val="both"/>
        <w:rPr>
          <w:sz w:val="20"/>
        </w:rPr>
      </w:pPr>
      <w:r w:rsidRPr="00AB16BB">
        <w:rPr>
          <w:rFonts w:eastAsia="MS Mincho"/>
          <w:sz w:val="20"/>
          <w:lang w:eastAsia="ja-JP"/>
        </w:rPr>
        <w:t>Dentro de los esfuerzos encaminados a mejorar las capacidades nacionales y regionales para el uso eficaz de la P.I. en aras del desarrollo, a finales de 2011 se creó una plataforma nueva y más funcional de enseñanza a distancia.  Un total de 40.884 personas procedentes de 186 países pudieron beneficiarse en 2012 de las actividades plurilingües (en 11 idiomas) realizadas en el marco del programa de enseñanza a distancia de la Academia de la OMPI, en comparación con un total de 33.019 personas en 2011.  Entre las actividades que se llevaron a cabo se incluyen tres cursos de carácter general (en los que se matricularon 36.236 personas), ocho cursos avanzados (1.624 personas matriculadas) y 22 sesiones especiales adaptadas a las necesidades específicas de las instituciones nacionales (del Brasil, China, Croacia, Honduras, México, República de Corea y Serbia, así como una dedicada a la Organización Regional Africana de la Propiedad Intelectual (ARIPO)), de tres Centros de Apoyo a la Tecnología y la Innovación (CATI) (de Etiopía, Federación de Rusia y el Uruguay) y de ocho universidades.  Además, se realizó una sesión especial dedicada a Colombia en el contexto del proyecto de la A.D. para la creación de academias nacionales de P.I.  Más de 2.500 personas pudieron beneficiarse de estas sesiones especiales.</w:t>
      </w:r>
    </w:p>
    <w:p w:rsidR="00B070BF" w:rsidRPr="00AB16BB" w:rsidRDefault="00B070BF" w:rsidP="00B070BF">
      <w:pPr>
        <w:widowControl w:val="0"/>
        <w:jc w:val="both"/>
        <w:rPr>
          <w:rFonts w:cs="Tahoma"/>
          <w:sz w:val="20"/>
        </w:rPr>
      </w:pPr>
    </w:p>
    <w:p w:rsidR="00B070BF" w:rsidRPr="00AB16BB" w:rsidRDefault="00B070BF" w:rsidP="00B070BF">
      <w:pPr>
        <w:widowControl w:val="0"/>
        <w:jc w:val="both"/>
        <w:rPr>
          <w:rFonts w:cs="Tahoma"/>
          <w:sz w:val="20"/>
        </w:rPr>
      </w:pPr>
      <w:r w:rsidRPr="00AB16BB">
        <w:rPr>
          <w:rFonts w:cs="Tahoma"/>
          <w:sz w:val="20"/>
        </w:rPr>
        <w:t xml:space="preserve">Con el objetivo de mejorar la coordinación entre los distintos proyectos de la Organización, en 2012 se creó una nueva División encargada de desarrollar proyectos innovadores en materia de P.I. y desarrollo, en colaboración con los Sectores, las Divisiones y las Oficinas Regionales afectados.  Esta División </w:t>
      </w:r>
      <w:r w:rsidRPr="00AB16BB">
        <w:rPr>
          <w:rFonts w:cs="Tahoma"/>
          <w:sz w:val="20"/>
        </w:rPr>
        <w:lastRenderedPageBreak/>
        <w:t xml:space="preserve">asumió asimismo la responsabilidad en lo que respecta a incorporar la gestión y el funcionamiento de tres bases de datos relacionadas con el Sector de Desarrollo, como son la base de datos de asistencia técnica en materia de P.I. (IP-TAD), la lista de consultores (ROC) y la </w:t>
      </w:r>
      <w:r w:rsidRPr="00AB16BB">
        <w:rPr>
          <w:sz w:val="20"/>
        </w:rPr>
        <w:t>b</w:t>
      </w:r>
      <w:r w:rsidRPr="00AB16BB">
        <w:rPr>
          <w:bCs/>
          <w:sz w:val="20"/>
          <w:lang w:val="es-ES_tradnl"/>
        </w:rPr>
        <w:t>ase de datos de vinculación para atender las necesidades de desarrollo en materia de P.I.</w:t>
      </w:r>
      <w:r w:rsidRPr="00AB16BB">
        <w:rPr>
          <w:sz w:val="20"/>
        </w:rPr>
        <w:t xml:space="preserve"> </w:t>
      </w:r>
      <w:r w:rsidRPr="00AB16BB">
        <w:rPr>
          <w:rFonts w:cs="Tahoma"/>
          <w:sz w:val="20"/>
        </w:rPr>
        <w:t>(IP-DMD), teniendo debidamente en cuenta las recomendaciones formuladas en las evaluaciones de los proyectos correspondientes de la A.D.</w:t>
      </w:r>
    </w:p>
    <w:p w:rsidR="00B070BF" w:rsidRPr="00AB16BB" w:rsidRDefault="00B070BF" w:rsidP="00B070BF">
      <w:pPr>
        <w:widowControl w:val="0"/>
        <w:jc w:val="both"/>
        <w:rPr>
          <w:rFonts w:cs="Tahoma"/>
          <w:sz w:val="20"/>
        </w:rPr>
      </w:pPr>
    </w:p>
    <w:p w:rsidR="00B070BF" w:rsidRPr="00AB16BB" w:rsidRDefault="00B070BF" w:rsidP="00B070BF">
      <w:pPr>
        <w:widowControl w:val="0"/>
        <w:jc w:val="both"/>
        <w:rPr>
          <w:bCs/>
          <w:sz w:val="20"/>
        </w:rPr>
      </w:pPr>
      <w:r w:rsidRPr="00AB16BB">
        <w:rPr>
          <w:bCs/>
          <w:sz w:val="20"/>
        </w:rPr>
        <w:t>El CDIP celebró dos sesiones en 2012, en las que aprobó un nuevo proyecto de la A.D. propuesto por Burkina Faso, examinó el informe del Director General sobre la aplicación de la Agenda para el Desarrollo, un informe sobre la marcha de la aplicación de las recomendaciones que deben aplicarse inmediatamente y de la ejecución de los proyectos de la A.D. así como doce informes independientes de evaluación de los proyectos.  Además, el Comité aprobó ejecutar la segunda fase de tres proyectos finalizados y evaluados.  Por otra parte, el Comité debatió acerca de un documento remitido por la Asamblea General titulado “Descripción de la contribución de los órganos pertinentes de la OMPI a la aplicación de las recomendaciones de la Agenda para el Desarrollo que les conciernen” y debatió asimismo sobre un informe en el que se analiza la contribución de la OMPI a la consecución de los objetivos de desarrollo del milenio (ODM) de las Naciones Unidas.</w:t>
      </w:r>
    </w:p>
    <w:p w:rsidR="00B070BF" w:rsidRPr="00AB16BB" w:rsidRDefault="00B070BF" w:rsidP="00B070BF">
      <w:pPr>
        <w:widowControl w:val="0"/>
        <w:jc w:val="both"/>
        <w:rPr>
          <w:sz w:val="20"/>
        </w:rPr>
      </w:pPr>
    </w:p>
    <w:p w:rsidR="00B070BF" w:rsidRPr="00AB16BB" w:rsidRDefault="00B070BF" w:rsidP="00B070BF">
      <w:pPr>
        <w:widowControl w:val="0"/>
        <w:jc w:val="both"/>
        <w:rPr>
          <w:iCs/>
          <w:sz w:val="20"/>
        </w:rPr>
      </w:pPr>
    </w:p>
    <w:p w:rsidR="00B070BF" w:rsidRPr="00AB16BB" w:rsidRDefault="00B070BF" w:rsidP="00B070BF">
      <w:pPr>
        <w:widowControl w:val="0"/>
        <w:jc w:val="both"/>
        <w:rPr>
          <w:i/>
          <w:iCs/>
          <w:sz w:val="20"/>
        </w:rPr>
      </w:pPr>
      <w:r w:rsidRPr="00AB16BB">
        <w:rPr>
          <w:i/>
          <w:iCs/>
          <w:sz w:val="20"/>
        </w:rPr>
        <w:t>Meta estratégica IV</w:t>
      </w:r>
      <w:proofErr w:type="gramStart"/>
      <w:r w:rsidRPr="00AB16BB">
        <w:rPr>
          <w:i/>
          <w:iCs/>
          <w:sz w:val="20"/>
        </w:rPr>
        <w:t>:  Coordinación</w:t>
      </w:r>
      <w:proofErr w:type="gramEnd"/>
      <w:r w:rsidRPr="00AB16BB">
        <w:rPr>
          <w:i/>
          <w:iCs/>
          <w:sz w:val="20"/>
        </w:rPr>
        <w:t xml:space="preserve"> y desarrollo de la infraestructura mundial de P.I.</w:t>
      </w:r>
    </w:p>
    <w:p w:rsidR="00B070BF" w:rsidRPr="00AB16BB" w:rsidRDefault="00B070BF" w:rsidP="00B070BF">
      <w:pPr>
        <w:widowControl w:val="0"/>
        <w:jc w:val="both"/>
        <w:rPr>
          <w:sz w:val="20"/>
        </w:rPr>
      </w:pPr>
    </w:p>
    <w:p w:rsidR="00B070BF" w:rsidRPr="00AB16BB" w:rsidRDefault="00B070BF" w:rsidP="00B070BF">
      <w:pPr>
        <w:widowControl w:val="0"/>
        <w:autoSpaceDE w:val="0"/>
        <w:autoSpaceDN w:val="0"/>
        <w:adjustRightInd w:val="0"/>
        <w:rPr>
          <w:rFonts w:eastAsia="Times New Roman"/>
          <w:sz w:val="20"/>
          <w:lang w:eastAsia="es-ES"/>
        </w:rPr>
      </w:pPr>
      <w:r w:rsidRPr="00AB16BB">
        <w:rPr>
          <w:sz w:val="20"/>
        </w:rPr>
        <w:t xml:space="preserve">Con la vista puesta en </w:t>
      </w:r>
      <w:r w:rsidRPr="00AB16BB">
        <w:rPr>
          <w:rFonts w:eastAsia="Times New Roman"/>
          <w:sz w:val="20"/>
          <w:lang w:eastAsia="es-ES"/>
        </w:rPr>
        <w:t>mejorar la infraestructura mundial de P.I. para contribuir a atender la creciente demanda mundial respecto del sistema de P.I. y facilitar la participación de los países en desarrollo y los PMA en el sistema, en 2012 se han conseguido logros importantes en los ámbitos de las bases de datos mundiales sobre P.I., las clasificaciones, la modernización de las oficinas de P.I. y los CATI.</w:t>
      </w:r>
    </w:p>
    <w:p w:rsidR="00B070BF" w:rsidRPr="00AB16BB" w:rsidRDefault="00B070BF" w:rsidP="00B070BF">
      <w:pPr>
        <w:widowControl w:val="0"/>
        <w:autoSpaceDE w:val="0"/>
        <w:autoSpaceDN w:val="0"/>
        <w:adjustRightInd w:val="0"/>
        <w:rPr>
          <w:rFonts w:eastAsia="Times New Roman"/>
          <w:sz w:val="20"/>
          <w:lang w:eastAsia="es-ES"/>
        </w:rPr>
      </w:pPr>
    </w:p>
    <w:p w:rsidR="00B070BF" w:rsidRPr="00AB16BB" w:rsidRDefault="00B070BF" w:rsidP="00B070BF">
      <w:pPr>
        <w:widowControl w:val="0"/>
        <w:autoSpaceDE w:val="0"/>
        <w:autoSpaceDN w:val="0"/>
        <w:adjustRightInd w:val="0"/>
        <w:jc w:val="both"/>
        <w:rPr>
          <w:sz w:val="20"/>
        </w:rPr>
      </w:pPr>
      <w:r w:rsidRPr="00AB16BB">
        <w:rPr>
          <w:sz w:val="20"/>
        </w:rPr>
        <w:t>Durante el año se siguió mejorando y desarrollando el nuevo sistema PATENTSCOPE, que se comenzó a utilizar en 2011.  Se ha ampliado el sistema de traducción automática por métodos estadísticos TAPTA, creado por la propia Organización, a fin de que incluya también dos combinaciones complicadas de idiomas, a saber, inglés y alemán e inglés y japonés.  Además, el número de colecciones nacionales que están disponibles en PATENTSCOPE ha aumentado de 28 a 30, con la inclusión importante de la colección del Japón, con lo que casi se duplica el número de registros de la base de datos, que pasa de 10 a 18 millones.</w:t>
      </w:r>
    </w:p>
    <w:p w:rsidR="00B070BF" w:rsidRPr="00AB16BB" w:rsidRDefault="00B070BF" w:rsidP="00B070BF">
      <w:pPr>
        <w:widowControl w:val="0"/>
        <w:jc w:val="both"/>
        <w:rPr>
          <w:sz w:val="20"/>
        </w:rPr>
      </w:pPr>
    </w:p>
    <w:p w:rsidR="00B070BF" w:rsidRPr="00AB16BB" w:rsidRDefault="00B070BF" w:rsidP="00B070BF">
      <w:pPr>
        <w:widowControl w:val="0"/>
        <w:jc w:val="both"/>
        <w:rPr>
          <w:bCs/>
          <w:sz w:val="20"/>
        </w:rPr>
      </w:pPr>
      <w:r w:rsidRPr="00AB16BB">
        <w:rPr>
          <w:bCs/>
          <w:sz w:val="20"/>
        </w:rPr>
        <w:t>En 2012 comenzó a funcionar la Base Mundial de Datos sobre Marcas, que contiene las colecciones de los sistemas de Madrid y de Lisboa, y del artículo 6</w:t>
      </w:r>
      <w:r w:rsidRPr="00AB16BB">
        <w:rPr>
          <w:bCs/>
          <w:i/>
          <w:iCs/>
          <w:sz w:val="20"/>
        </w:rPr>
        <w:t xml:space="preserve">ter, </w:t>
      </w:r>
      <w:r w:rsidRPr="00AB16BB">
        <w:rPr>
          <w:bCs/>
          <w:iCs/>
          <w:sz w:val="20"/>
        </w:rPr>
        <w:t>cuyo número de visitas ha ido aumentando progresivamente durante 2012 pasando de 9.000 a 13.000 usuarios por trimestre.  Por otra parte, se han comenzado a añadir colecciones nacionales mediante la inclusión de tres de ellas.  En 2012 se registró un gran aumento del número de registros disponibles en el sistema, que pasó de 700.000 a dos millones.</w:t>
      </w:r>
    </w:p>
    <w:p w:rsidR="00B070BF" w:rsidRPr="00AB16BB" w:rsidRDefault="00B070BF" w:rsidP="00B070BF">
      <w:pPr>
        <w:widowControl w:val="0"/>
        <w:jc w:val="both"/>
        <w:rPr>
          <w:sz w:val="20"/>
        </w:rPr>
      </w:pPr>
    </w:p>
    <w:p w:rsidR="00B070BF" w:rsidRPr="00AB16BB" w:rsidRDefault="00B070BF" w:rsidP="00B070BF">
      <w:pPr>
        <w:widowControl w:val="0"/>
        <w:autoSpaceDE w:val="0"/>
        <w:autoSpaceDN w:val="0"/>
        <w:adjustRightInd w:val="0"/>
        <w:jc w:val="both"/>
        <w:rPr>
          <w:sz w:val="20"/>
        </w:rPr>
      </w:pPr>
      <w:r w:rsidRPr="00AB16BB">
        <w:rPr>
          <w:sz w:val="20"/>
        </w:rPr>
        <w:t xml:space="preserve">En 2012 se produjo asimismo un avance significativo en lo que respecta a las </w:t>
      </w:r>
      <w:r w:rsidRPr="00AB16BB">
        <w:rPr>
          <w:rFonts w:eastAsia="Times New Roman"/>
          <w:sz w:val="20"/>
          <w:lang w:eastAsia="es-ES"/>
        </w:rPr>
        <w:t>clasificaciones internacionales y normas técnicas de la OMPI.  Se llevó a cabo la reforma de la Clasificación de Niza y el Comité de Expertos celebró su primera sesión anual y adoptó las modificaciones introducidas en la Clasificación que, a partir de 2013, tendrá carácter anual.  Se puso en marcha con éxito una nueva plataforma de publicación para la Clasificación de Niza que se ajusta a la publicación anual de las nuevas versiones.  Además, en esta nueva plataforma estará integrada también la Taxonomía, que se ha terminado de elaborar en colaboración con la Oficina de Armonización del Mercado Interior (OAMI).  La última edición de la Clasificación de Viena, la séptima, se publicó dentro del plazo previsto.</w:t>
      </w:r>
    </w:p>
    <w:p w:rsidR="00B070BF" w:rsidRPr="00AB16BB" w:rsidRDefault="00B070BF" w:rsidP="00B070BF">
      <w:pPr>
        <w:widowControl w:val="0"/>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both"/>
        <w:rPr>
          <w:sz w:val="20"/>
        </w:rPr>
      </w:pPr>
    </w:p>
    <w:p w:rsidR="00B070BF" w:rsidRPr="00AB16BB" w:rsidRDefault="00B070BF" w:rsidP="00B070BF">
      <w:pPr>
        <w:widowControl w:val="0"/>
        <w:jc w:val="both"/>
        <w:rPr>
          <w:iCs/>
          <w:sz w:val="20"/>
        </w:rPr>
      </w:pPr>
      <w:r w:rsidRPr="00AB16BB">
        <w:rPr>
          <w:iCs/>
          <w:sz w:val="20"/>
        </w:rPr>
        <w:t xml:space="preserve">El número de Estados miembros que crearon CATI en sus países en el año 2012 ascendió a 36.  En noviembre de 2012 se puso en funcionamiento la plataforma de gestión de conocimientos </w:t>
      </w:r>
      <w:proofErr w:type="spellStart"/>
      <w:r w:rsidRPr="00AB16BB">
        <w:rPr>
          <w:sz w:val="20"/>
        </w:rPr>
        <w:t>eTISC</w:t>
      </w:r>
      <w:proofErr w:type="spellEnd"/>
      <w:r w:rsidRPr="00AB16BB">
        <w:rPr>
          <w:sz w:val="20"/>
        </w:rPr>
        <w:t>, que ofrece herramientas avanzadas de redes sociales e integra nuevos servicios destinados a impulsar la creación de CATI en todo el mundo, con la finalidad de fomentar el intercambio de información, de experiencias y de prácticas óptimas entre las CATI tanto a nivel nacional como internacional.</w:t>
      </w:r>
    </w:p>
    <w:p w:rsidR="00B070BF" w:rsidRPr="00AB16BB" w:rsidRDefault="00B070BF" w:rsidP="00B070BF">
      <w:pPr>
        <w:widowControl w:val="0"/>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both"/>
        <w:rPr>
          <w:sz w:val="20"/>
        </w:rPr>
      </w:pPr>
    </w:p>
    <w:p w:rsidR="00B070BF" w:rsidRPr="00AB16BB" w:rsidRDefault="00B070BF" w:rsidP="00B070BF">
      <w:pPr>
        <w:widowControl w:val="0"/>
        <w:jc w:val="both"/>
        <w:rPr>
          <w:sz w:val="20"/>
        </w:rPr>
      </w:pPr>
      <w:r w:rsidRPr="00AB16BB">
        <w:rPr>
          <w:sz w:val="20"/>
        </w:rPr>
        <w:t>Se ha continuado introduciendo y actualizando el IPAS (</w:t>
      </w:r>
      <w:r w:rsidRPr="00AB16BB">
        <w:rPr>
          <w:rFonts w:eastAsia="Times New Roman"/>
          <w:sz w:val="20"/>
          <w:lang w:eastAsia="es-ES"/>
        </w:rPr>
        <w:t>Sistema de Automatización de la Propiedad Industrial)</w:t>
      </w:r>
      <w:r w:rsidRPr="00AB16BB">
        <w:rPr>
          <w:sz w:val="20"/>
        </w:rPr>
        <w:t xml:space="preserve"> en todas las regiones.  A finales de 2012 eran ya 66 las oficinas de P.I. en las que se utiliza al menos un paquete de programas informáticos de la OMPI.</w:t>
      </w:r>
    </w:p>
    <w:p w:rsidR="00B070BF" w:rsidRPr="00AB16BB" w:rsidRDefault="00B070BF" w:rsidP="00B070BF">
      <w:pPr>
        <w:widowControl w:val="0"/>
        <w:jc w:val="both"/>
        <w:rPr>
          <w:sz w:val="20"/>
        </w:rPr>
      </w:pPr>
    </w:p>
    <w:p w:rsidR="00B070BF" w:rsidRPr="00AB16BB" w:rsidRDefault="00B070BF" w:rsidP="00B070BF">
      <w:pPr>
        <w:widowControl w:val="0"/>
        <w:jc w:val="both"/>
        <w:rPr>
          <w:sz w:val="20"/>
        </w:rPr>
      </w:pPr>
      <w:r w:rsidRPr="00AB16BB">
        <w:rPr>
          <w:sz w:val="20"/>
        </w:rPr>
        <w:t>Se registró un avance positivo en cuanto al desarrollo de las plataformas WIPO CASE (Acceso Centralizado a la Búsqueda y el Examen) y DAS (Servicio de Acceso Digital), aunque las oficinas participantes siguen siendo pocas y la actividad sigue siendo reducida en líneas generales.  A mediados de 2012 se llevó a cabo una actualización a fondo de ambos sistemas.</w:t>
      </w:r>
    </w:p>
    <w:p w:rsidR="00B070BF" w:rsidRPr="00AB16BB" w:rsidRDefault="00B070BF" w:rsidP="00B070BF">
      <w:pPr>
        <w:widowControl w:val="0"/>
        <w:jc w:val="both"/>
        <w:rPr>
          <w:sz w:val="20"/>
        </w:rPr>
      </w:pPr>
    </w:p>
    <w:p w:rsidR="00B070BF" w:rsidRPr="00AB16BB" w:rsidRDefault="00B070BF" w:rsidP="00B070BF">
      <w:pPr>
        <w:widowControl w:val="0"/>
        <w:jc w:val="both"/>
        <w:rPr>
          <w:i/>
          <w:iCs/>
          <w:sz w:val="20"/>
        </w:rPr>
      </w:pPr>
    </w:p>
    <w:p w:rsidR="00B070BF" w:rsidRPr="00AB16BB" w:rsidRDefault="00B070BF" w:rsidP="00B070BF">
      <w:pPr>
        <w:keepNext/>
        <w:widowControl w:val="0"/>
        <w:jc w:val="both"/>
        <w:rPr>
          <w:i/>
          <w:iCs/>
          <w:sz w:val="20"/>
        </w:rPr>
      </w:pPr>
      <w:r w:rsidRPr="00AB16BB">
        <w:rPr>
          <w:i/>
          <w:iCs/>
          <w:sz w:val="20"/>
        </w:rPr>
        <w:t>Meta estratégica V</w:t>
      </w:r>
      <w:proofErr w:type="gramStart"/>
      <w:r w:rsidRPr="00AB16BB">
        <w:rPr>
          <w:i/>
          <w:iCs/>
          <w:sz w:val="20"/>
        </w:rPr>
        <w:t>:  Fuente</w:t>
      </w:r>
      <w:proofErr w:type="gramEnd"/>
      <w:r w:rsidRPr="00AB16BB">
        <w:rPr>
          <w:i/>
          <w:iCs/>
          <w:sz w:val="20"/>
        </w:rPr>
        <w:t xml:space="preserve"> de referencia en el mundo de información y análisis en materia de P.I.</w:t>
      </w:r>
    </w:p>
    <w:p w:rsidR="00B070BF" w:rsidRPr="00AB16BB" w:rsidRDefault="00B070BF" w:rsidP="00B070BF">
      <w:pPr>
        <w:keepNext/>
        <w:widowControl w:val="0"/>
        <w:jc w:val="both"/>
        <w:rPr>
          <w:i/>
          <w:iCs/>
          <w:sz w:val="20"/>
        </w:rPr>
      </w:pPr>
    </w:p>
    <w:p w:rsidR="00B070BF" w:rsidRPr="00AB16BB" w:rsidRDefault="00B070BF" w:rsidP="00B070BF">
      <w:pPr>
        <w:widowControl w:val="0"/>
        <w:autoSpaceDE w:val="0"/>
        <w:autoSpaceDN w:val="0"/>
        <w:adjustRightInd w:val="0"/>
        <w:jc w:val="both"/>
        <w:rPr>
          <w:sz w:val="20"/>
        </w:rPr>
      </w:pPr>
      <w:r w:rsidRPr="00AB16BB">
        <w:rPr>
          <w:bCs/>
          <w:sz w:val="20"/>
        </w:rPr>
        <w:t>Entre los principales logros acaecidos en 2012 respecto de esta meta estratégica se encuentra la ampliación del informe sobre los Indicadores mundiales de P.I., que ofrece por primera vez información relativa a los procedimientos acelerados de examen de solicitudes de patente y las solicitudes de títulos de protección de obtenciones vegetales.  Además, se llevó a cabo un nuevo estudio estadístico anual del sistema de La Haya en el que se facilita una mayor variedad de datos y análisis pormenorizados.</w:t>
      </w:r>
    </w:p>
    <w:p w:rsidR="00B070BF" w:rsidRPr="00AB16BB" w:rsidRDefault="00B070BF" w:rsidP="00B070BF">
      <w:pPr>
        <w:widowControl w:val="0"/>
        <w:autoSpaceDE w:val="0"/>
        <w:autoSpaceDN w:val="0"/>
        <w:adjustRightInd w:val="0"/>
        <w:jc w:val="both"/>
        <w:rPr>
          <w:bCs/>
          <w:sz w:val="20"/>
        </w:rPr>
      </w:pPr>
    </w:p>
    <w:p w:rsidR="00B070BF" w:rsidRPr="00AB16BB" w:rsidRDefault="00B070BF" w:rsidP="00B070BF">
      <w:pPr>
        <w:widowControl w:val="0"/>
        <w:autoSpaceDE w:val="0"/>
        <w:autoSpaceDN w:val="0"/>
        <w:adjustRightInd w:val="0"/>
        <w:jc w:val="both"/>
        <w:rPr>
          <w:bCs/>
          <w:sz w:val="20"/>
        </w:rPr>
      </w:pPr>
      <w:r w:rsidRPr="00AB16BB">
        <w:rPr>
          <w:bCs/>
          <w:sz w:val="20"/>
        </w:rPr>
        <w:t>La OMPI ha asumido asimismo el papel de coeditora del Índice mundial de innovación, aumentando así su participación en la elaboración y la difusión de dicho Índice en comparación con lo sucedido en el año 2011, en el que la OMPI era solo un socio especializado más.</w:t>
      </w:r>
    </w:p>
    <w:p w:rsidR="00B070BF" w:rsidRPr="00AB16BB" w:rsidRDefault="00B070BF" w:rsidP="00B070BF">
      <w:pPr>
        <w:widowControl w:val="0"/>
        <w:autoSpaceDE w:val="0"/>
        <w:autoSpaceDN w:val="0"/>
        <w:adjustRightInd w:val="0"/>
        <w:jc w:val="both"/>
        <w:rPr>
          <w:bCs/>
          <w:sz w:val="20"/>
        </w:rPr>
      </w:pPr>
    </w:p>
    <w:p w:rsidR="00B070BF" w:rsidRPr="00AB16BB" w:rsidRDefault="00B070BF" w:rsidP="00B070BF">
      <w:pPr>
        <w:widowControl w:val="0"/>
        <w:autoSpaceDE w:val="0"/>
        <w:autoSpaceDN w:val="0"/>
        <w:adjustRightInd w:val="0"/>
        <w:jc w:val="both"/>
        <w:rPr>
          <w:bCs/>
          <w:sz w:val="20"/>
        </w:rPr>
      </w:pPr>
      <w:r w:rsidRPr="00AB16BB">
        <w:rPr>
          <w:bCs/>
          <w:sz w:val="20"/>
        </w:rPr>
        <w:t xml:space="preserve">Por otra parte, se realizaron nuevos estudios sobre la P.I. </w:t>
      </w:r>
      <w:r w:rsidRPr="00AB16BB">
        <w:rPr>
          <w:rFonts w:eastAsia="Times New Roman"/>
          <w:sz w:val="20"/>
          <w:lang w:eastAsia="es-ES"/>
        </w:rPr>
        <w:t>y la economía informal y la P.I. y la fuga de cerebros</w:t>
      </w:r>
      <w:r w:rsidRPr="00AB16BB">
        <w:rPr>
          <w:bCs/>
          <w:sz w:val="20"/>
        </w:rPr>
        <w:t xml:space="preserve"> en el marco de sendos proyectos del CDIP que comenzaron a ejecutarse en 2012.  Además, en 2012 se ha avanzado de forma considerable en relación con el proyecto plurianual del CDIP sobre P.I. y desarrollo socioeconómico, habiéndose realizado estudios a nivel nacional en países como el Brasil Chile, China, Egipto, Tailandia y el Uruguay.</w:t>
      </w:r>
    </w:p>
    <w:p w:rsidR="00B070BF" w:rsidRPr="00AB16BB" w:rsidRDefault="00B070BF" w:rsidP="00B070BF">
      <w:pPr>
        <w:widowControl w:val="0"/>
        <w:autoSpaceDE w:val="0"/>
        <w:autoSpaceDN w:val="0"/>
        <w:adjustRightInd w:val="0"/>
        <w:jc w:val="both"/>
        <w:rPr>
          <w:bCs/>
          <w:sz w:val="20"/>
        </w:rPr>
      </w:pPr>
    </w:p>
    <w:p w:rsidR="00B070BF" w:rsidRPr="00AB16BB" w:rsidRDefault="00B070BF" w:rsidP="00B070BF">
      <w:pPr>
        <w:widowControl w:val="0"/>
        <w:jc w:val="both"/>
        <w:rPr>
          <w:i/>
          <w:iCs/>
          <w:sz w:val="20"/>
        </w:rPr>
      </w:pPr>
    </w:p>
    <w:p w:rsidR="00B070BF" w:rsidRPr="00AB16BB" w:rsidRDefault="00B070BF" w:rsidP="00B070BF">
      <w:pPr>
        <w:widowControl w:val="0"/>
        <w:jc w:val="both"/>
        <w:rPr>
          <w:i/>
          <w:iCs/>
          <w:sz w:val="20"/>
        </w:rPr>
      </w:pPr>
      <w:r w:rsidRPr="00AB16BB">
        <w:rPr>
          <w:i/>
          <w:iCs/>
          <w:sz w:val="20"/>
        </w:rPr>
        <w:t>Meta estratégica VI</w:t>
      </w:r>
      <w:proofErr w:type="gramStart"/>
      <w:r w:rsidRPr="00AB16BB">
        <w:rPr>
          <w:i/>
          <w:iCs/>
          <w:sz w:val="20"/>
        </w:rPr>
        <w:t>:  Cooperación</w:t>
      </w:r>
      <w:proofErr w:type="gramEnd"/>
      <w:r w:rsidRPr="00AB16BB">
        <w:rPr>
          <w:i/>
          <w:iCs/>
          <w:sz w:val="20"/>
        </w:rPr>
        <w:t xml:space="preserve"> internacional para cultivar el respeto por la P.I.</w:t>
      </w:r>
    </w:p>
    <w:p w:rsidR="00B070BF" w:rsidRPr="00AB16BB" w:rsidRDefault="00B070BF" w:rsidP="00B070BF">
      <w:pPr>
        <w:widowControl w:val="0"/>
        <w:jc w:val="both"/>
        <w:rPr>
          <w:i/>
          <w:iCs/>
          <w:sz w:val="20"/>
        </w:rPr>
      </w:pPr>
    </w:p>
    <w:p w:rsidR="00B070BF" w:rsidRPr="00AB16BB" w:rsidRDefault="00B070BF" w:rsidP="00B070BF">
      <w:pPr>
        <w:widowControl w:val="0"/>
        <w:jc w:val="both"/>
        <w:rPr>
          <w:iCs/>
          <w:sz w:val="20"/>
        </w:rPr>
      </w:pPr>
      <w:r w:rsidRPr="00AB16BB">
        <w:rPr>
          <w:iCs/>
          <w:sz w:val="20"/>
        </w:rPr>
        <w:t>Dentro de un proceso de consultas, se ha continuado avanzando con paso firme hacia la creación de un entorno propicio para la promoción del respeto por la P.I. de forma sostenible.  La sexta sesión del Comité Asesor sobre Observancia (ACE) se caracterizó por la voluntad de cooperación exhibida a fin de</w:t>
      </w:r>
      <w:proofErr w:type="gramStart"/>
      <w:r w:rsidRPr="00AB16BB">
        <w:rPr>
          <w:iCs/>
          <w:sz w:val="20"/>
        </w:rPr>
        <w:t>:  establecer</w:t>
      </w:r>
      <w:proofErr w:type="gramEnd"/>
      <w:r w:rsidRPr="00AB16BB">
        <w:rPr>
          <w:iCs/>
          <w:sz w:val="20"/>
        </w:rPr>
        <w:t xml:space="preserve"> cuáles son los motivos, incluidas las variables socioeconómicas, que están detrás de las infracciones de los derechos de P.I.;  debatir acerca del desarrollo de métodos analíticos que evalúen la incidencia de la falsificación y la piratería;  y buscar modelos alternativos para hacer frente al predominio de la falsificación y la piratería.  Los Estados miembros acordaron el programa de trabajo de la novena sesión del ACE, adoptando tanto prácticas de solución extrajudicial de controversias en materia de P.I. como acciones y medidas preventivas o experiencias positivas que complementen las medidas de observancia.</w:t>
      </w:r>
    </w:p>
    <w:p w:rsidR="00B070BF" w:rsidRPr="00AB16BB" w:rsidRDefault="00B070BF" w:rsidP="00B070BF">
      <w:pPr>
        <w:widowControl w:val="0"/>
        <w:jc w:val="both"/>
        <w:rPr>
          <w:i/>
          <w:iCs/>
          <w:sz w:val="20"/>
        </w:rPr>
      </w:pPr>
    </w:p>
    <w:p w:rsidR="00B070BF" w:rsidRPr="00AB16BB" w:rsidRDefault="00B070BF" w:rsidP="00B070BF">
      <w:pPr>
        <w:widowControl w:val="0"/>
        <w:jc w:val="both"/>
        <w:rPr>
          <w:i/>
          <w:iCs/>
          <w:sz w:val="20"/>
        </w:rPr>
      </w:pPr>
    </w:p>
    <w:p w:rsidR="00B070BF" w:rsidRPr="00AB16BB" w:rsidRDefault="00B070BF" w:rsidP="00B070BF">
      <w:pPr>
        <w:widowControl w:val="0"/>
        <w:jc w:val="both"/>
        <w:rPr>
          <w:i/>
          <w:iCs/>
          <w:sz w:val="20"/>
        </w:rPr>
      </w:pPr>
      <w:r w:rsidRPr="00AB16BB">
        <w:rPr>
          <w:i/>
          <w:iCs/>
          <w:sz w:val="20"/>
        </w:rPr>
        <w:t>Meta estratégica VII</w:t>
      </w:r>
      <w:proofErr w:type="gramStart"/>
      <w:r w:rsidRPr="00AB16BB">
        <w:rPr>
          <w:i/>
          <w:iCs/>
          <w:sz w:val="20"/>
        </w:rPr>
        <w:t>:  Vínculos</w:t>
      </w:r>
      <w:proofErr w:type="gramEnd"/>
      <w:r w:rsidRPr="00AB16BB">
        <w:rPr>
          <w:i/>
          <w:iCs/>
          <w:sz w:val="20"/>
        </w:rPr>
        <w:t xml:space="preserve"> entre la P.I. y los problemas mundiales de política pública.</w:t>
      </w:r>
    </w:p>
    <w:p w:rsidR="00B070BF" w:rsidRPr="00AB16BB" w:rsidRDefault="00B070BF" w:rsidP="00B070BF">
      <w:pPr>
        <w:widowControl w:val="0"/>
        <w:jc w:val="both"/>
        <w:rPr>
          <w:i/>
          <w:iCs/>
          <w:sz w:val="20"/>
        </w:rPr>
      </w:pPr>
    </w:p>
    <w:p w:rsidR="00B070BF" w:rsidRPr="00AB16BB" w:rsidRDefault="00B070BF" w:rsidP="00B070BF">
      <w:pPr>
        <w:widowControl w:val="0"/>
        <w:jc w:val="both"/>
        <w:rPr>
          <w:bCs/>
          <w:iCs/>
          <w:sz w:val="20"/>
        </w:rPr>
      </w:pPr>
      <w:r w:rsidRPr="00AB16BB">
        <w:rPr>
          <w:bCs/>
          <w:iCs/>
          <w:sz w:val="20"/>
        </w:rPr>
        <w:t>Se ha avanzado mucho en lo que respecta a fomentar un conocimiento más adecuado entre los encargados de la adopción de políticas de la relación existente entre los desafíos mundiales y la innovación y la P.I., desde la perspectiva de varios problemas mundiales de carácter urgente que están relacionados entre sí, especialmente los de la salud mundial, el cambio climático y la seguridad alimentaria.  Un paso importante con vistas a establecer alianzas con otros actores destacados en este ámbito fue la puesta en marcha en marzo de 2012 de la serie de Seminarios de la OMPI sobre Desafíos Mundiales.</w:t>
      </w:r>
    </w:p>
    <w:p w:rsidR="00B070BF" w:rsidRPr="00AB16BB" w:rsidRDefault="00B070BF" w:rsidP="00B070BF">
      <w:pPr>
        <w:widowControl w:val="0"/>
        <w:jc w:val="both"/>
        <w:rPr>
          <w:bCs/>
          <w:iCs/>
          <w:sz w:val="20"/>
        </w:rPr>
      </w:pPr>
    </w:p>
    <w:p w:rsidR="00B070BF" w:rsidRPr="00AB16BB" w:rsidRDefault="00B070BF" w:rsidP="00B070BF">
      <w:pPr>
        <w:widowControl w:val="0"/>
        <w:jc w:val="both"/>
        <w:rPr>
          <w:rFonts w:eastAsia="Batang"/>
          <w:color w:val="000000"/>
          <w:sz w:val="20"/>
          <w:lang w:eastAsia="ja-JP"/>
        </w:rPr>
      </w:pPr>
      <w:r w:rsidRPr="00AB16BB">
        <w:rPr>
          <w:rFonts w:eastAsia="Batang"/>
          <w:color w:val="000000"/>
          <w:sz w:val="20"/>
          <w:lang w:eastAsia="ja-JP"/>
        </w:rPr>
        <w:t xml:space="preserve">Asimismo, en 2012 se obtuvieron avances significativos en el marco del </w:t>
      </w:r>
      <w:r w:rsidRPr="00AB16BB">
        <w:rPr>
          <w:rFonts w:eastAsia="Batang"/>
          <w:i/>
          <w:iCs/>
          <w:color w:val="000000"/>
          <w:sz w:val="20"/>
          <w:lang w:eastAsia="ja-JP"/>
        </w:rPr>
        <w:t xml:space="preserve">WIPO </w:t>
      </w:r>
      <w:proofErr w:type="spellStart"/>
      <w:r w:rsidRPr="00AB16BB">
        <w:rPr>
          <w:rFonts w:eastAsia="Batang"/>
          <w:i/>
          <w:iCs/>
          <w:color w:val="000000"/>
          <w:sz w:val="20"/>
          <w:lang w:eastAsia="ja-JP"/>
        </w:rPr>
        <w:t>Re</w:t>
      </w:r>
      <w:proofErr w:type="gramStart"/>
      <w:r w:rsidRPr="00AB16BB">
        <w:rPr>
          <w:rFonts w:eastAsia="Batang"/>
          <w:i/>
          <w:iCs/>
          <w:color w:val="000000"/>
          <w:sz w:val="20"/>
          <w:lang w:eastAsia="ja-JP"/>
        </w:rPr>
        <w:t>:Search</w:t>
      </w:r>
      <w:proofErr w:type="spellEnd"/>
      <w:proofErr w:type="gramEnd"/>
      <w:r w:rsidRPr="00AB16BB">
        <w:rPr>
          <w:rFonts w:eastAsia="Batang"/>
          <w:color w:val="000000"/>
          <w:sz w:val="20"/>
          <w:lang w:eastAsia="ja-JP"/>
        </w:rPr>
        <w:t xml:space="preserve">, un consorcio en el que participan una amplia gama de instituciones del sector privado y público de países desarrollados y en desarrollo, que brinda acceso exento de regalías a activos de P.I. para estimular nueva I+D sobre las enfermedades tropicales desatendidas, la tuberculosis y el paludismo.  Este consorcio se creó en octubre de 2011 y durante su primer año de existencia ha conseguido duplicar su número de Miembros y poner en marcha 13 colaboraciones en materia de investigación entre varios de esos Miembros.  Por otra parte, entre los Miembros del </w:t>
      </w:r>
      <w:r w:rsidRPr="00AB16BB">
        <w:rPr>
          <w:rFonts w:eastAsia="Batang"/>
          <w:i/>
          <w:iCs/>
          <w:color w:val="000000"/>
          <w:sz w:val="20"/>
          <w:lang w:eastAsia="ja-JP"/>
        </w:rPr>
        <w:t xml:space="preserve">WIPO </w:t>
      </w:r>
      <w:proofErr w:type="spellStart"/>
      <w:r w:rsidRPr="00AB16BB">
        <w:rPr>
          <w:rFonts w:eastAsia="Batang"/>
          <w:i/>
          <w:iCs/>
          <w:color w:val="000000"/>
          <w:sz w:val="20"/>
          <w:lang w:eastAsia="ja-JP"/>
        </w:rPr>
        <w:t>Re</w:t>
      </w:r>
      <w:proofErr w:type="gramStart"/>
      <w:r w:rsidRPr="00AB16BB">
        <w:rPr>
          <w:rFonts w:eastAsia="Batang"/>
          <w:i/>
          <w:iCs/>
          <w:color w:val="000000"/>
          <w:sz w:val="20"/>
          <w:lang w:eastAsia="ja-JP"/>
        </w:rPr>
        <w:t>:Search</w:t>
      </w:r>
      <w:proofErr w:type="spellEnd"/>
      <w:proofErr w:type="gramEnd"/>
      <w:r w:rsidRPr="00AB16BB">
        <w:rPr>
          <w:rFonts w:eastAsia="Batang"/>
          <w:i/>
          <w:iCs/>
          <w:color w:val="000000"/>
          <w:sz w:val="20"/>
          <w:lang w:eastAsia="ja-JP"/>
        </w:rPr>
        <w:t xml:space="preserve"> </w:t>
      </w:r>
      <w:r w:rsidRPr="00AB16BB">
        <w:rPr>
          <w:rFonts w:eastAsia="Batang"/>
          <w:iCs/>
          <w:color w:val="000000"/>
          <w:sz w:val="20"/>
          <w:lang w:eastAsia="ja-JP"/>
        </w:rPr>
        <w:t>se encuentran nueve países de África, lo que adquiere una relevancia especial en el marco de los objetivos de política más amplios formulados en la A.D.</w:t>
      </w:r>
    </w:p>
    <w:p w:rsidR="00B070BF" w:rsidRPr="00AB16BB" w:rsidRDefault="00B070BF" w:rsidP="00B070BF">
      <w:pPr>
        <w:widowControl w:val="0"/>
        <w:jc w:val="both"/>
        <w:rPr>
          <w:bCs/>
          <w:iCs/>
          <w:sz w:val="20"/>
        </w:rPr>
      </w:pPr>
    </w:p>
    <w:p w:rsidR="00B070BF" w:rsidRPr="00AB16BB" w:rsidRDefault="00B070BF" w:rsidP="00B070BF">
      <w:pPr>
        <w:widowControl w:val="0"/>
        <w:jc w:val="both"/>
        <w:rPr>
          <w:bCs/>
          <w:iCs/>
          <w:sz w:val="20"/>
        </w:rPr>
      </w:pPr>
      <w:r w:rsidRPr="00AB16BB">
        <w:rPr>
          <w:bCs/>
          <w:iCs/>
          <w:sz w:val="20"/>
        </w:rPr>
        <w:t xml:space="preserve">También se han producido avances en la fase piloto de la plataforma </w:t>
      </w:r>
      <w:r w:rsidRPr="00AB16BB">
        <w:rPr>
          <w:bCs/>
          <w:i/>
          <w:iCs/>
          <w:sz w:val="20"/>
        </w:rPr>
        <w:t>WIPO GREEN</w:t>
      </w:r>
      <w:r w:rsidRPr="00AB16BB">
        <w:rPr>
          <w:bCs/>
          <w:iCs/>
          <w:sz w:val="20"/>
        </w:rPr>
        <w:t>, para la transferencia, adaptación y adopción acelerada de tecnologías respetuosas con el medio ambiente.  A finales de 2012 se habían incluido en la base de datos alrededor de 40 tecnologías y necesidades.</w:t>
      </w:r>
    </w:p>
    <w:p w:rsidR="00B070BF" w:rsidRDefault="00B070BF" w:rsidP="00B070BF">
      <w:pPr>
        <w:rPr>
          <w:i/>
          <w:iCs/>
          <w:sz w:val="20"/>
        </w:rPr>
      </w:pPr>
      <w:r>
        <w:rPr>
          <w:i/>
          <w:iCs/>
          <w:sz w:val="20"/>
        </w:rPr>
        <w:br w:type="page"/>
      </w:r>
    </w:p>
    <w:p w:rsidR="00B070BF" w:rsidRPr="00AB16BB" w:rsidRDefault="00B070BF" w:rsidP="00B070BF">
      <w:pPr>
        <w:widowControl w:val="0"/>
        <w:jc w:val="both"/>
        <w:rPr>
          <w:i/>
          <w:iCs/>
          <w:sz w:val="20"/>
        </w:rPr>
      </w:pPr>
    </w:p>
    <w:p w:rsidR="00B070BF" w:rsidRPr="00AB16BB" w:rsidRDefault="00B070BF" w:rsidP="00B070BF">
      <w:pPr>
        <w:keepNext/>
        <w:widowControl w:val="0"/>
        <w:jc w:val="both"/>
        <w:rPr>
          <w:i/>
          <w:iCs/>
          <w:sz w:val="20"/>
        </w:rPr>
      </w:pPr>
      <w:r w:rsidRPr="00AB16BB">
        <w:rPr>
          <w:i/>
          <w:iCs/>
          <w:sz w:val="20"/>
        </w:rPr>
        <w:t>Meta estratégica VIII</w:t>
      </w:r>
      <w:proofErr w:type="gramStart"/>
      <w:r w:rsidRPr="00AB16BB">
        <w:rPr>
          <w:i/>
          <w:iCs/>
          <w:sz w:val="20"/>
        </w:rPr>
        <w:t>:  Comunicación</w:t>
      </w:r>
      <w:proofErr w:type="gramEnd"/>
      <w:r w:rsidRPr="00AB16BB">
        <w:rPr>
          <w:i/>
          <w:iCs/>
          <w:sz w:val="20"/>
        </w:rPr>
        <w:t xml:space="preserve"> eficaz entre la OMPI, sus Estados miembros y todas las partes interesadas.</w:t>
      </w:r>
    </w:p>
    <w:p w:rsidR="00B070BF" w:rsidRPr="00AB16BB" w:rsidRDefault="00B070BF" w:rsidP="00B070BF">
      <w:pPr>
        <w:keepNext/>
        <w:widowControl w:val="0"/>
        <w:jc w:val="both"/>
        <w:rPr>
          <w:i/>
          <w:iCs/>
          <w:sz w:val="20"/>
        </w:rPr>
      </w:pPr>
    </w:p>
    <w:p w:rsidR="00B070BF" w:rsidRPr="00AB16BB" w:rsidRDefault="00B070BF" w:rsidP="00B070BF">
      <w:pPr>
        <w:widowControl w:val="0"/>
        <w:jc w:val="both"/>
        <w:rPr>
          <w:sz w:val="20"/>
        </w:rPr>
      </w:pPr>
      <w:r w:rsidRPr="00AB16BB">
        <w:rPr>
          <w:sz w:val="20"/>
        </w:rPr>
        <w:t>La OMPI siguió avanzando en relación con varios proyectos estratégicos de mejora importantes sobre comunicaciones por Internet, identidad institucional, servicio al cliente y comunicaciones internas.  En el año 2012 aumentó de forma exponencial el número de personas de todo el mundo que accedieron a contenidos exclusivos de la OMPI.</w:t>
      </w:r>
    </w:p>
    <w:p w:rsidR="00B070BF" w:rsidRPr="00AB16BB" w:rsidRDefault="00B070BF" w:rsidP="00B070BF">
      <w:pPr>
        <w:widowControl w:val="0"/>
        <w:jc w:val="both"/>
        <w:rPr>
          <w:sz w:val="16"/>
          <w:szCs w:val="16"/>
        </w:rPr>
      </w:pPr>
    </w:p>
    <w:p w:rsidR="00B070BF" w:rsidRPr="00AB16BB" w:rsidRDefault="00B070BF" w:rsidP="00B070BF">
      <w:pPr>
        <w:widowControl w:val="0"/>
        <w:jc w:val="both"/>
        <w:rPr>
          <w:sz w:val="20"/>
        </w:rPr>
      </w:pPr>
      <w:r w:rsidRPr="00AB16BB">
        <w:rPr>
          <w:sz w:val="20"/>
        </w:rPr>
        <w:t xml:space="preserve">En el marco de la segunda fase de la estrategia de redes sociales, se comenzaron a utilizar nuevos canales que permiten establecer un contacto directo con las partes interesadas y mejorar el suministro de contenidos de la OMPI a un público más amplio y especializado, con la presencia oficial de la OMPI en </w:t>
      </w:r>
      <w:proofErr w:type="spellStart"/>
      <w:r w:rsidRPr="00AB16BB">
        <w:rPr>
          <w:i/>
          <w:sz w:val="20"/>
        </w:rPr>
        <w:t>Twitter</w:t>
      </w:r>
      <w:proofErr w:type="spellEnd"/>
      <w:r w:rsidRPr="00AB16BB">
        <w:rPr>
          <w:sz w:val="20"/>
        </w:rPr>
        <w:t xml:space="preserve">, </w:t>
      </w:r>
      <w:proofErr w:type="spellStart"/>
      <w:r w:rsidRPr="00AB16BB">
        <w:rPr>
          <w:i/>
          <w:sz w:val="20"/>
        </w:rPr>
        <w:t>Flickr</w:t>
      </w:r>
      <w:proofErr w:type="spellEnd"/>
      <w:r w:rsidRPr="00AB16BB">
        <w:rPr>
          <w:sz w:val="20"/>
        </w:rPr>
        <w:t xml:space="preserve"> (intercambio de fotografías) y </w:t>
      </w:r>
      <w:proofErr w:type="spellStart"/>
      <w:r w:rsidRPr="00AB16BB">
        <w:rPr>
          <w:i/>
          <w:sz w:val="20"/>
        </w:rPr>
        <w:t>Scribd</w:t>
      </w:r>
      <w:proofErr w:type="spellEnd"/>
      <w:r w:rsidRPr="00AB16BB">
        <w:rPr>
          <w:sz w:val="20"/>
        </w:rPr>
        <w:t xml:space="preserve"> (intercambio de publicaciones) por primera vez en marzo de 2012.</w:t>
      </w:r>
    </w:p>
    <w:p w:rsidR="00B070BF" w:rsidRPr="00AB16BB" w:rsidRDefault="00B070BF" w:rsidP="00B070BF">
      <w:pPr>
        <w:widowControl w:val="0"/>
        <w:jc w:val="both"/>
        <w:rPr>
          <w:sz w:val="20"/>
        </w:rPr>
      </w:pPr>
    </w:p>
    <w:p w:rsidR="00B070BF" w:rsidRPr="00AB16BB" w:rsidRDefault="00B070BF" w:rsidP="00B070BF">
      <w:pPr>
        <w:widowControl w:val="0"/>
        <w:jc w:val="both"/>
        <w:rPr>
          <w:sz w:val="20"/>
        </w:rPr>
      </w:pPr>
      <w:r w:rsidRPr="00AB16BB">
        <w:rPr>
          <w:sz w:val="20"/>
        </w:rPr>
        <w:t xml:space="preserve">En la campaña celebrada con motivo del Día Mundial de la P.I., que es la actividad de divulgación más relevante que realiza la OMPI con carácter anual, se consiguió aumentar el grado de compromiso y la adhesión del público al centrar la atención en la comunicación en el ámbito de las redes sociales.  La campaña en </w:t>
      </w:r>
      <w:r w:rsidRPr="00AB16BB">
        <w:rPr>
          <w:i/>
          <w:sz w:val="20"/>
        </w:rPr>
        <w:t xml:space="preserve">Facebook </w:t>
      </w:r>
      <w:r w:rsidRPr="00AB16BB">
        <w:rPr>
          <w:sz w:val="20"/>
        </w:rPr>
        <w:t xml:space="preserve">del Día Mundial de la P.I. contó con la participación de 5.000 simpatizantes (el doble que en 2011), y un elevado porcentaje de participantes procedentes de países en desarrollo.  El “alcance semanal de la página en </w:t>
      </w:r>
      <w:r w:rsidRPr="00AB16BB">
        <w:rPr>
          <w:i/>
          <w:sz w:val="20"/>
        </w:rPr>
        <w:t xml:space="preserve">Facebook </w:t>
      </w:r>
      <w:r w:rsidRPr="00AB16BB">
        <w:rPr>
          <w:sz w:val="20"/>
        </w:rPr>
        <w:t xml:space="preserve">del Día Mundial de la P.I.” alcanzó las 86.000 personas, y el mensaje más popular en </w:t>
      </w:r>
      <w:proofErr w:type="spellStart"/>
      <w:r w:rsidRPr="00AB16BB">
        <w:rPr>
          <w:i/>
          <w:sz w:val="20"/>
        </w:rPr>
        <w:t>Twitter</w:t>
      </w:r>
      <w:proofErr w:type="spellEnd"/>
      <w:r w:rsidRPr="00AB16BB">
        <w:rPr>
          <w:i/>
          <w:sz w:val="20"/>
        </w:rPr>
        <w:t xml:space="preserve"> </w:t>
      </w:r>
      <w:r w:rsidRPr="00AB16BB">
        <w:rPr>
          <w:sz w:val="20"/>
        </w:rPr>
        <w:t xml:space="preserve">obtuvo 1.050.000 impresiones potenciales.  La OMPI aprovechó el atractivo de la exposición sobre las patentes de Steve Jobs que se realizó en el marco de las actividades del Día Mundial de la P.I. y elaboró una multitud de contenidos interesantes (editoriales, de diseño, fotográficos, de vídeo y de Internet) relacionados con el tema </w:t>
      </w:r>
      <w:r w:rsidRPr="00AB16BB">
        <w:rPr>
          <w:i/>
          <w:sz w:val="20"/>
        </w:rPr>
        <w:t>Innovadores visionarios</w:t>
      </w:r>
      <w:r w:rsidRPr="00AB16BB">
        <w:rPr>
          <w:sz w:val="20"/>
        </w:rPr>
        <w:t>, que obtuvieron una amplia difusión en la prensa, en Internet y en las redes sociales.</w:t>
      </w:r>
    </w:p>
    <w:p w:rsidR="00B070BF" w:rsidRPr="00AB16BB" w:rsidRDefault="00B070BF" w:rsidP="00B070BF">
      <w:pPr>
        <w:widowControl w:val="0"/>
        <w:jc w:val="both"/>
        <w:rPr>
          <w:sz w:val="20"/>
        </w:rPr>
      </w:pPr>
    </w:p>
    <w:p w:rsidR="00B070BF" w:rsidRPr="00AB16BB" w:rsidRDefault="00B070BF" w:rsidP="00B070BF">
      <w:pPr>
        <w:widowControl w:val="0"/>
        <w:autoSpaceDE w:val="0"/>
        <w:autoSpaceDN w:val="0"/>
        <w:adjustRightInd w:val="0"/>
        <w:jc w:val="both"/>
        <w:rPr>
          <w:sz w:val="20"/>
        </w:rPr>
      </w:pPr>
      <w:r w:rsidRPr="00AB16BB">
        <w:rPr>
          <w:sz w:val="20"/>
        </w:rPr>
        <w:t xml:space="preserve">El empleo de un enfoque más integrado hacia la promoción de acontecimientos, productos y logros importantes ha permitido aumentar la visibilidad y el entendimiento del público hacia las actividades que realiza la OMPI.  Para ello, se hizo uso de una estructura más lógica para la transmisión de mensajes;  se elaboraron contenidos (editoriales, visuales y en Internet) originales y adaptados a cada caso en los seis idiomas;  se cultivaron las relaciones con la prensa y las partes interesadas;  se utilizó como portavoces a personalidades de renombre;  y se emplearon varios canales de difusión.  Gracias a ello se consiguió que la adopción del Tratado de Beijing tuviera una cobertura mediática muy positiva y se obtuvo un aumento del 230% en la difusión de los comunicados de prensa en 2012 en comparación con 2011, y del 435% en el caso del </w:t>
      </w:r>
      <w:r w:rsidRPr="00AB16BB">
        <w:rPr>
          <w:bCs/>
          <w:sz w:val="20"/>
        </w:rPr>
        <w:t>Índice mundial de innovación.</w:t>
      </w:r>
    </w:p>
    <w:p w:rsidR="00B070BF" w:rsidRPr="00AB16BB" w:rsidRDefault="00B070BF" w:rsidP="00B070BF">
      <w:pPr>
        <w:widowControl w:val="0"/>
        <w:jc w:val="both"/>
        <w:rPr>
          <w:sz w:val="20"/>
        </w:rPr>
      </w:pPr>
    </w:p>
    <w:p w:rsidR="00B070BF" w:rsidRPr="00AB16BB" w:rsidRDefault="00B070BF" w:rsidP="00B070BF">
      <w:pPr>
        <w:widowControl w:val="0"/>
        <w:jc w:val="both"/>
        <w:rPr>
          <w:sz w:val="20"/>
        </w:rPr>
      </w:pPr>
      <w:r w:rsidRPr="00AB16BB">
        <w:rPr>
          <w:sz w:val="20"/>
        </w:rPr>
        <w:t>Además de todo ello, en 2012 se terminó la labor encaminada a sentar las bases para llevar a cabo una revisión exhaustiva del sitio web de la OMPI a fin de amoldarlo a las necesidades de las partes interesadas.</w:t>
      </w:r>
    </w:p>
    <w:p w:rsidR="00B070BF" w:rsidRPr="00AB16BB" w:rsidRDefault="00B070BF" w:rsidP="00B070BF">
      <w:pPr>
        <w:widowControl w:val="0"/>
        <w:jc w:val="both"/>
        <w:rPr>
          <w:sz w:val="20"/>
        </w:rPr>
      </w:pPr>
    </w:p>
    <w:p w:rsidR="00B070BF" w:rsidRPr="00AB16BB" w:rsidRDefault="00B070BF" w:rsidP="00B070BF">
      <w:pPr>
        <w:widowControl w:val="0"/>
        <w:jc w:val="both"/>
        <w:rPr>
          <w:i/>
          <w:iCs/>
          <w:sz w:val="20"/>
        </w:rPr>
      </w:pPr>
    </w:p>
    <w:p w:rsidR="00B070BF" w:rsidRPr="00AB16BB" w:rsidRDefault="00B070BF" w:rsidP="00B070BF">
      <w:pPr>
        <w:widowControl w:val="0"/>
        <w:jc w:val="both"/>
        <w:rPr>
          <w:i/>
          <w:iCs/>
          <w:sz w:val="20"/>
        </w:rPr>
      </w:pPr>
      <w:r w:rsidRPr="00AB16BB">
        <w:rPr>
          <w:i/>
          <w:iCs/>
          <w:sz w:val="20"/>
        </w:rPr>
        <w:t>Meta estratégica IX</w:t>
      </w:r>
      <w:proofErr w:type="gramStart"/>
      <w:r w:rsidRPr="00AB16BB">
        <w:rPr>
          <w:i/>
          <w:iCs/>
          <w:sz w:val="20"/>
        </w:rPr>
        <w:t>:  Estructura</w:t>
      </w:r>
      <w:proofErr w:type="gramEnd"/>
      <w:r w:rsidRPr="00AB16BB">
        <w:rPr>
          <w:i/>
          <w:iCs/>
          <w:sz w:val="20"/>
        </w:rPr>
        <w:t xml:space="preserve"> eficiente de apoyo administrativo y financiero que facilite la ejecución de los programas de la OMPI.</w:t>
      </w:r>
    </w:p>
    <w:p w:rsidR="00B070BF" w:rsidRPr="00AB16BB" w:rsidRDefault="00B070BF" w:rsidP="00B070BF">
      <w:pPr>
        <w:widowControl w:val="0"/>
        <w:jc w:val="both"/>
        <w:rPr>
          <w:sz w:val="20"/>
        </w:rPr>
      </w:pPr>
    </w:p>
    <w:p w:rsidR="00B070BF" w:rsidRPr="00AB16BB" w:rsidRDefault="00B070BF" w:rsidP="00B070BF">
      <w:pPr>
        <w:widowControl w:val="0"/>
        <w:jc w:val="both"/>
        <w:rPr>
          <w:sz w:val="20"/>
        </w:rPr>
      </w:pPr>
      <w:r w:rsidRPr="00AB16BB">
        <w:rPr>
          <w:sz w:val="20"/>
        </w:rPr>
        <w:t>La Administración y Gestión ayudó a la Organización, a través de sus programas, a obtener los resultados esperados por los Estados miembros y las partes interesadas y, al mismo tiempo, abrirse paso en medio de la prolongada inestabilidad económica y la grave incertidumbre del entorno económico.</w:t>
      </w:r>
    </w:p>
    <w:p w:rsidR="00B070BF" w:rsidRDefault="00B070BF" w:rsidP="00B070BF">
      <w:pPr>
        <w:widowControl w:val="0"/>
        <w:jc w:val="both"/>
        <w:rPr>
          <w:sz w:val="20"/>
        </w:rPr>
      </w:pPr>
    </w:p>
    <w:p w:rsidR="00B070BF" w:rsidRPr="00AB16BB" w:rsidRDefault="00B070BF" w:rsidP="00B070BF">
      <w:pPr>
        <w:widowControl w:val="0"/>
        <w:jc w:val="both"/>
        <w:rPr>
          <w:sz w:val="20"/>
        </w:rPr>
      </w:pPr>
      <w:r w:rsidRPr="00AB16BB">
        <w:rPr>
          <w:sz w:val="20"/>
        </w:rPr>
        <w:t>A pesar de esta incertidumbre, la OMPI cerró el año con un resultado global positivo de 15,7 millones de francos suizos</w:t>
      </w:r>
      <w:r w:rsidRPr="00AB16BB">
        <w:rPr>
          <w:sz w:val="20"/>
          <w:vertAlign w:val="superscript"/>
        </w:rPr>
        <w:footnoteReference w:id="3"/>
      </w:r>
      <w:r w:rsidRPr="00AB16BB">
        <w:rPr>
          <w:sz w:val="20"/>
        </w:rPr>
        <w:t>, gracias a que los ingresos fueron superiores a lo previsto y a la buena gestión de los gastos.</w:t>
      </w:r>
    </w:p>
    <w:p w:rsidR="00B070BF" w:rsidRPr="00AB16BB" w:rsidRDefault="00B070BF" w:rsidP="00B070BF">
      <w:pPr>
        <w:widowControl w:val="0"/>
        <w:jc w:val="both"/>
        <w:rPr>
          <w:sz w:val="20"/>
        </w:rPr>
      </w:pPr>
    </w:p>
    <w:p w:rsidR="00B070BF" w:rsidRPr="00AB16BB" w:rsidRDefault="00B070BF" w:rsidP="00B070BF">
      <w:pPr>
        <w:widowControl w:val="0"/>
        <w:jc w:val="both"/>
        <w:rPr>
          <w:sz w:val="20"/>
        </w:rPr>
      </w:pPr>
      <w:r w:rsidRPr="00AB16BB">
        <w:rPr>
          <w:sz w:val="20"/>
        </w:rPr>
        <w:t>El proceso de regularización de los empleados temporeros con muchos años de servicio en la Organización se llevó a cabo con éxito, según lo aprobado por los Estados miembros en 2010.  En el marco de este proceso se regularizó, por medio de un proceso competitivo, la situación de 30 empleados que trabajan desde hace mucho tiempo para la Organización y que, a 1 de enero de 2012, llevaban cinco o más años prestando un servicio continuo y satisfactorio.</w:t>
      </w:r>
    </w:p>
    <w:p w:rsidR="00B070BF" w:rsidRPr="00AB16BB" w:rsidRDefault="00B070BF" w:rsidP="00B070BF">
      <w:pPr>
        <w:widowControl w:val="0"/>
        <w:jc w:val="both"/>
        <w:rPr>
          <w:sz w:val="20"/>
        </w:rPr>
      </w:pPr>
    </w:p>
    <w:p w:rsidR="00B070BF" w:rsidRPr="00AB16BB" w:rsidRDefault="00B070BF" w:rsidP="00B070BF">
      <w:pPr>
        <w:widowControl w:val="0"/>
        <w:jc w:val="both"/>
      </w:pPr>
      <w:r w:rsidRPr="00AB16BB">
        <w:rPr>
          <w:rFonts w:eastAsia="MS Mincho"/>
          <w:sz w:val="20"/>
          <w:lang w:eastAsia="ja-JP" w:bidi="th-TH"/>
        </w:rPr>
        <w:t>El 1 de enero de 2012 comenzó a aplicarse el capítulo cuatro revisado del Estatuto y el Reglamento del Personal.  Mediante los cambios introducidos en la composición de las juntas de nombramiento y la racionalización de los procesos se ha conseguido reducir en un 29% la duración del proceso de contratación.</w:t>
      </w:r>
    </w:p>
    <w:p w:rsidR="00B070BF" w:rsidRPr="00AB16BB" w:rsidRDefault="00B070BF" w:rsidP="00B070BF">
      <w:pPr>
        <w:widowControl w:val="0"/>
        <w:jc w:val="both"/>
      </w:pPr>
    </w:p>
    <w:p w:rsidR="00B070BF" w:rsidRPr="00AB16BB" w:rsidRDefault="00B070BF" w:rsidP="00B070BF">
      <w:pPr>
        <w:widowControl w:val="0"/>
        <w:jc w:val="both"/>
        <w:rPr>
          <w:rFonts w:eastAsia="MS Mincho"/>
          <w:sz w:val="20"/>
          <w:lang w:eastAsia="ja-JP" w:bidi="th-TH"/>
        </w:rPr>
      </w:pPr>
      <w:r w:rsidRPr="00AB16BB">
        <w:rPr>
          <w:rFonts w:eastAsia="MS Mincho"/>
          <w:sz w:val="20"/>
          <w:lang w:eastAsia="ja-JP" w:bidi="th-TH"/>
        </w:rPr>
        <w:t>Tras un intenso proceso de consultas, la OMPI modernizó el Estatuto y el Reglamento del Personal a fin de adecuarlo a las normas establecidas por la Comisión de Administración Pública Internacional (CAPI) y a la práctica imperante en el sistema común de las Naciones Unidas.  El Estatuto y el Reglamento del Personal revisados entraron en vigor el 1 de enero de 2013 respaldados por un marco totalmente actualizado para las órdenes de servicio.  La OMPI puso en práctica asimismo en 2012 un marco contractual simplificado, de acuerdo con las recomendaciones formuladas por la CAPI.  En este nuevo marco se concede al personal temporero la misma consideración que a los miembros del personal, con lo que aumentan los beneficios para los primeros.</w:t>
      </w:r>
    </w:p>
    <w:p w:rsidR="00B070BF" w:rsidRPr="00AB16BB" w:rsidRDefault="00B070BF" w:rsidP="00B070BF">
      <w:pPr>
        <w:widowControl w:val="0"/>
        <w:jc w:val="both"/>
        <w:rPr>
          <w:rFonts w:eastAsia="Batang"/>
          <w:bCs/>
          <w:color w:val="000000"/>
          <w:sz w:val="20"/>
          <w:lang w:eastAsia="ja-JP"/>
        </w:rPr>
      </w:pPr>
    </w:p>
    <w:p w:rsidR="00B070BF" w:rsidRPr="00AB16BB" w:rsidRDefault="00B070BF" w:rsidP="00B070BF">
      <w:pPr>
        <w:widowControl w:val="0"/>
        <w:jc w:val="both"/>
        <w:rPr>
          <w:rFonts w:eastAsia="Batang"/>
          <w:bCs/>
          <w:color w:val="000000"/>
          <w:sz w:val="20"/>
          <w:lang w:eastAsia="ja-JP"/>
        </w:rPr>
      </w:pPr>
      <w:r w:rsidRPr="00AB16BB">
        <w:rPr>
          <w:rFonts w:eastAsia="Batang"/>
          <w:bCs/>
          <w:color w:val="000000"/>
          <w:sz w:val="20"/>
          <w:lang w:eastAsia="ja-JP"/>
        </w:rPr>
        <w:t>En 2012 se comenzó a aplicar la política lingüística de la OMPI adoptada por los Estados miembros en las Asambleas de 2011, poniéndose a disposición en los seis idiomas los documentos de las reuniones de todos los comités de la OMPI, así como los de la mayoría de los órganos principales.</w:t>
      </w:r>
    </w:p>
    <w:p w:rsidR="00B070BF" w:rsidRPr="00AB16BB" w:rsidRDefault="00B070BF" w:rsidP="00B070BF">
      <w:pPr>
        <w:widowControl w:val="0"/>
        <w:jc w:val="both"/>
        <w:rPr>
          <w:rFonts w:eastAsia="Batang"/>
          <w:bCs/>
          <w:color w:val="000000"/>
          <w:sz w:val="20"/>
          <w:lang w:eastAsia="ja-JP"/>
        </w:rPr>
      </w:pPr>
    </w:p>
    <w:p w:rsidR="00B070BF" w:rsidRPr="00AB16BB" w:rsidRDefault="00B070BF" w:rsidP="00B070BF">
      <w:pPr>
        <w:widowControl w:val="0"/>
        <w:jc w:val="both"/>
        <w:rPr>
          <w:rFonts w:eastAsia="MS Mincho"/>
          <w:sz w:val="20"/>
          <w:lang w:eastAsia="ja-JP" w:bidi="th-TH"/>
        </w:rPr>
      </w:pPr>
      <w:r w:rsidRPr="00AB16BB">
        <w:rPr>
          <w:rFonts w:eastAsia="MS Mincho"/>
          <w:sz w:val="20"/>
          <w:lang w:eastAsia="ja-JP" w:bidi="th-TH"/>
        </w:rPr>
        <w:t xml:space="preserve">La cartera de proyectos del sistema de planificación de los recursos institucionales, aprobada por la Asamblea General de la OMPI en 2010 como parte de la modernización del Sector de Administración y Gestión, continuó registrando avances positivos.  En 2012 se actualizó el programa </w:t>
      </w:r>
      <w:proofErr w:type="spellStart"/>
      <w:r w:rsidRPr="00AB16BB">
        <w:rPr>
          <w:rFonts w:eastAsia="MS Mincho"/>
          <w:i/>
          <w:sz w:val="20"/>
          <w:lang w:eastAsia="ja-JP" w:bidi="th-TH"/>
        </w:rPr>
        <w:t>PeopleSoft</w:t>
      </w:r>
      <w:proofErr w:type="spellEnd"/>
      <w:r w:rsidRPr="00AB16BB">
        <w:rPr>
          <w:rFonts w:eastAsia="MS Mincho"/>
          <w:sz w:val="20"/>
          <w:lang w:eastAsia="ja-JP" w:bidi="th-TH"/>
        </w:rPr>
        <w:t xml:space="preserve"> a la versión más reciente (9.1), con vistas a la ejecución de la cartera de proyectos del sistema de planificación de los recursos institucionales y, sobre todo, con el objetivo de allanar el camino para la integración de los módulos de recursos humanos.  Más de 250 miembros del personal recibieron formación exhaustiva en materia de procesos completos así como respecto de la utilización del sistema actualizado.  En 2012 se avanzó de forma considerable en relación con la planificación y los preparativos para la ejecución de los módulos de recursos humanos.  En el marco del proyecto de gestión del rendimiento institucional, se terminó de desarrollar una herramienta de primera generación para elaborar planes anuales de trabajo y a finales de año se había avanzado bastante asimismo en el desarrollo de una herramienta para la planificación bienal, con vistas a la planificación del ejercicio 2014/15.</w:t>
      </w:r>
    </w:p>
    <w:p w:rsidR="00B070BF" w:rsidRPr="00AB16BB" w:rsidRDefault="00B070BF" w:rsidP="00B070BF">
      <w:pPr>
        <w:widowControl w:val="0"/>
        <w:jc w:val="both"/>
        <w:rPr>
          <w:rFonts w:eastAsia="MS Mincho"/>
          <w:sz w:val="20"/>
          <w:lang w:eastAsia="ja-JP" w:bidi="th-TH"/>
        </w:rPr>
      </w:pPr>
    </w:p>
    <w:p w:rsidR="00B070BF" w:rsidRPr="00AB16BB" w:rsidRDefault="00B070BF" w:rsidP="00B070BF">
      <w:pPr>
        <w:widowControl w:val="0"/>
        <w:autoSpaceDE w:val="0"/>
        <w:autoSpaceDN w:val="0"/>
        <w:adjustRightInd w:val="0"/>
        <w:jc w:val="both"/>
        <w:rPr>
          <w:rFonts w:eastAsia="Times New Roman"/>
          <w:sz w:val="20"/>
          <w:lang w:eastAsia="es-ES"/>
        </w:rPr>
      </w:pPr>
      <w:r w:rsidRPr="00AB16BB">
        <w:rPr>
          <w:sz w:val="20"/>
        </w:rPr>
        <w:t>Además, en el ámbito de las TIC se obtuvieron también los logro</w:t>
      </w:r>
      <w:r w:rsidRPr="00AB16BB">
        <w:rPr>
          <w:rFonts w:eastAsia="MS Mincho"/>
          <w:sz w:val="20"/>
          <w:lang w:eastAsia="ja-JP" w:bidi="th-TH"/>
        </w:rPr>
        <w:t>s</w:t>
      </w:r>
      <w:r w:rsidRPr="00AB16BB">
        <w:rPr>
          <w:sz w:val="20"/>
        </w:rPr>
        <w:t xml:space="preserve"> siguientes:  despliegue completo de la nueva </w:t>
      </w:r>
      <w:r w:rsidRPr="00AB16BB">
        <w:rPr>
          <w:rFonts w:eastAsia="Times New Roman"/>
          <w:sz w:val="20"/>
          <w:lang w:eastAsia="es-ES"/>
        </w:rPr>
        <w:t>arquitectura interna de redes de datos</w:t>
      </w:r>
      <w:r w:rsidRPr="00AB16BB">
        <w:rPr>
          <w:sz w:val="20"/>
        </w:rPr>
        <w:t xml:space="preserve"> en toda la Organización, que permite </w:t>
      </w:r>
      <w:r w:rsidRPr="00AB16BB">
        <w:rPr>
          <w:rFonts w:eastAsia="Times New Roman"/>
          <w:sz w:val="20"/>
          <w:lang w:eastAsia="es-ES"/>
        </w:rPr>
        <w:t xml:space="preserve">reforzar los controles de seguridad de la red y gestionar de manera eficaz el tráfico multimedia (voz, vídeo y datos); </w:t>
      </w:r>
      <w:r w:rsidRPr="00AB16BB">
        <w:rPr>
          <w:sz w:val="20"/>
        </w:rPr>
        <w:t xml:space="preserve"> nuevo sistema de telefonía IP;  difusión en directo por Internet de las 18 reuniones principales de la OMPI, incluida la Conferencia Diplomática de Beijing;  finalización de los preparativos técnicos para la migración de los sistemas de automatización de las oficinas de la Organización hacia un entorno de </w:t>
      </w:r>
      <w:r w:rsidRPr="00AB16BB">
        <w:rPr>
          <w:i/>
          <w:sz w:val="20"/>
        </w:rPr>
        <w:t>Microsoft</w:t>
      </w:r>
      <w:r w:rsidRPr="00AB16BB">
        <w:rPr>
          <w:sz w:val="20"/>
        </w:rPr>
        <w:t xml:space="preserve">, que es el que se utiliza de forma habitual en el sector;  y puesta en práctica de una plataforma de autenticación única en Internet (SSO) que permite una utilización más segura y eficaz de los nuevos módulos del programa </w:t>
      </w:r>
      <w:proofErr w:type="spellStart"/>
      <w:r w:rsidRPr="00AB16BB">
        <w:rPr>
          <w:i/>
          <w:sz w:val="20"/>
        </w:rPr>
        <w:t>PeopleSoft</w:t>
      </w:r>
      <w:proofErr w:type="spellEnd"/>
      <w:r w:rsidRPr="00AB16BB">
        <w:rPr>
          <w:i/>
          <w:sz w:val="20"/>
        </w:rPr>
        <w:t xml:space="preserve"> </w:t>
      </w:r>
      <w:r w:rsidRPr="00AB16BB">
        <w:rPr>
          <w:sz w:val="20"/>
        </w:rPr>
        <w:t xml:space="preserve">utilizados en el marco del proyecto de planificación de los recursos institucionales.  Asimismo, en el ámbito de la seguridad de la información, se ha comenzado a trabajar a fin de obtener la certificación con arreglo a la norma ISO 27001, empezando por los procedimientos de tratamiento de datos del PCT.  Además, se mejoró la </w:t>
      </w:r>
      <w:proofErr w:type="spellStart"/>
      <w:r>
        <w:rPr>
          <w:sz w:val="20"/>
        </w:rPr>
        <w:t>resilencia</w:t>
      </w:r>
      <w:proofErr w:type="spellEnd"/>
      <w:r w:rsidRPr="00AB16BB">
        <w:rPr>
          <w:sz w:val="20"/>
        </w:rPr>
        <w:t xml:space="preserve"> institucional contra los ataques provenientes del exterior, incluidos los ataques distribuidos de negación de servicio, mediante la aplicación de controles tecnológicos.</w:t>
      </w:r>
    </w:p>
    <w:p w:rsidR="00B070BF" w:rsidRPr="00AB16BB" w:rsidRDefault="00B070BF" w:rsidP="00B070BF">
      <w:pPr>
        <w:widowControl w:val="0"/>
        <w:jc w:val="both"/>
        <w:rPr>
          <w:rFonts w:eastAsia="Times New Roman"/>
          <w:sz w:val="20"/>
          <w:lang w:eastAsia="en-US"/>
        </w:rPr>
      </w:pPr>
    </w:p>
    <w:p w:rsidR="00B070BF" w:rsidRPr="00AB16BB" w:rsidRDefault="00B070BF" w:rsidP="00B070BF">
      <w:pPr>
        <w:widowControl w:val="0"/>
        <w:jc w:val="both"/>
        <w:rPr>
          <w:rFonts w:eastAsia="Times New Roman"/>
          <w:sz w:val="20"/>
          <w:lang w:eastAsia="es-ES"/>
        </w:rPr>
      </w:pPr>
      <w:r w:rsidRPr="00AB16BB">
        <w:rPr>
          <w:rFonts w:eastAsia="Times New Roman"/>
          <w:sz w:val="20"/>
          <w:lang w:eastAsia="es-ES"/>
        </w:rPr>
        <w:t>Las obras del proyecto de la nueva sala de conferencias se iniciaron a mediados de agosto de 2011 y hasta finales de ese año se estuvieron realizando las excavaciones y la construcción de la estructura principal.  Durante la primera mitad de 2012 la OMPI mantuvo varios debates de alto nivel con el antiguo contratista general que condujeron a la rescisión conjunta y amistosa de la relación contractual.  Por consiguiente, se introdujeron una serie de modificaciones en la estructura de gestión del proyecto y, más concretamente, se crearon comités especiales al efecto y se otorgaron nuevos mandatos al despacho de arquitectos y a las empresas piloto y de ingeniería.  Desde agosto de 2012 se está gestionando el proyecto mediante esta nueva estructura, que ofrece más flexibilidad y respuesta inmediata, aspectos estos que son necesarios para ejecutar un proyecto de tal alcance y magnitud.</w:t>
      </w:r>
    </w:p>
    <w:p w:rsidR="00B070BF" w:rsidRPr="00AB16BB" w:rsidRDefault="00B070BF" w:rsidP="00B070BF">
      <w:pPr>
        <w:widowControl w:val="0"/>
        <w:tabs>
          <w:tab w:val="left" w:pos="4395"/>
        </w:tabs>
        <w:rPr>
          <w:sz w:val="20"/>
        </w:rPr>
      </w:pPr>
    </w:p>
    <w:p w:rsidR="00B070BF" w:rsidRPr="00AB16BB" w:rsidRDefault="00B070BF" w:rsidP="00B070BF">
      <w:pPr>
        <w:widowControl w:val="0"/>
        <w:tabs>
          <w:tab w:val="left" w:pos="4395"/>
        </w:tabs>
        <w:rPr>
          <w:sz w:val="12"/>
          <w:szCs w:val="12"/>
        </w:rPr>
      </w:pPr>
      <w:r w:rsidRPr="00AB16BB">
        <w:rPr>
          <w:sz w:val="12"/>
          <w:szCs w:val="12"/>
        </w:rPr>
        <w:br w:type="page"/>
      </w:r>
    </w:p>
    <w:p w:rsidR="00B070BF" w:rsidRPr="009B014E" w:rsidRDefault="00B070BF" w:rsidP="00B070BF">
      <w:pPr>
        <w:pStyle w:val="Heading2"/>
        <w:tabs>
          <w:tab w:val="left" w:pos="2835"/>
        </w:tabs>
        <w:rPr>
          <w:b/>
        </w:rPr>
      </w:pPr>
      <w:bookmarkStart w:id="10" w:name="_Toc359846785"/>
      <w:bookmarkStart w:id="11" w:name="_Toc359949309"/>
      <w:r w:rsidRPr="009B014E">
        <w:rPr>
          <w:b/>
        </w:rPr>
        <w:lastRenderedPageBreak/>
        <w:t>PROGRAMA 1</w:t>
      </w:r>
      <w:r w:rsidRPr="009B014E">
        <w:rPr>
          <w:b/>
        </w:rPr>
        <w:tab/>
        <w:t>DERECHO DE PATENTES</w:t>
      </w:r>
      <w:bookmarkEnd w:id="10"/>
      <w:bookmarkEnd w:id="11"/>
    </w:p>
    <w:p w:rsidR="00B070BF" w:rsidRDefault="00B070BF" w:rsidP="00B070BF">
      <w:pPr>
        <w:widowControl w:val="0"/>
        <w:rPr>
          <w:sz w:val="18"/>
          <w:szCs w:val="18"/>
        </w:rPr>
      </w:pPr>
    </w:p>
    <w:p w:rsidR="00B070BF" w:rsidRPr="00AB16BB" w:rsidRDefault="00B070BF" w:rsidP="00B070BF">
      <w:pPr>
        <w:widowControl w:val="0"/>
        <w:rPr>
          <w:sz w:val="18"/>
          <w:szCs w:val="18"/>
        </w:rPr>
      </w:pPr>
    </w:p>
    <w:p w:rsidR="00B070BF" w:rsidRPr="00AB16BB" w:rsidRDefault="00B070BF" w:rsidP="00B070BF">
      <w:pPr>
        <w:widowControl w:val="0"/>
        <w:tabs>
          <w:tab w:val="left" w:pos="2268"/>
        </w:tabs>
        <w:rPr>
          <w:b/>
          <w:szCs w:val="22"/>
        </w:rPr>
      </w:pPr>
      <w:r w:rsidRPr="00AB16BB">
        <w:rPr>
          <w:b/>
          <w:szCs w:val="22"/>
        </w:rPr>
        <w:t>Director del Programa</w:t>
      </w:r>
      <w:r w:rsidRPr="00AB16BB">
        <w:rPr>
          <w:b/>
          <w:szCs w:val="22"/>
        </w:rPr>
        <w:tab/>
        <w:t>Sr. J. Pooley</w:t>
      </w:r>
    </w:p>
    <w:p w:rsidR="00B070BF" w:rsidRDefault="00B070BF" w:rsidP="00B070BF">
      <w:pPr>
        <w:widowControl w:val="0"/>
        <w:autoSpaceDE w:val="0"/>
        <w:autoSpaceDN w:val="0"/>
        <w:adjustRightInd w:val="0"/>
        <w:jc w:val="both"/>
        <w:rPr>
          <w:bCs/>
          <w:color w:val="000000"/>
          <w:sz w:val="20"/>
        </w:rPr>
      </w:pPr>
    </w:p>
    <w:p w:rsidR="00B070BF" w:rsidRDefault="00B070BF" w:rsidP="00B070BF">
      <w:pPr>
        <w:widowControl w:val="0"/>
        <w:autoSpaceDE w:val="0"/>
        <w:autoSpaceDN w:val="0"/>
        <w:adjustRightInd w:val="0"/>
        <w:jc w:val="both"/>
        <w:rPr>
          <w:bCs/>
          <w:color w:val="000000"/>
          <w:sz w:val="20"/>
        </w:rPr>
      </w:pPr>
    </w:p>
    <w:p w:rsidR="00B070BF" w:rsidRPr="009B014E" w:rsidRDefault="00B070BF" w:rsidP="00B070BF">
      <w:pPr>
        <w:widowControl w:val="0"/>
        <w:autoSpaceDE w:val="0"/>
        <w:autoSpaceDN w:val="0"/>
        <w:adjustRightInd w:val="0"/>
        <w:jc w:val="both"/>
        <w:rPr>
          <w:bCs/>
          <w:color w:val="000000"/>
          <w:sz w:val="20"/>
        </w:rPr>
      </w:pPr>
      <w:r w:rsidRPr="009B014E">
        <w:rPr>
          <w:bCs/>
          <w:color w:val="000000"/>
          <w:sz w:val="20"/>
        </w:rPr>
        <w:t>RESEÑA DE LOS AVANCES LOGRADOS EN 2012</w:t>
      </w:r>
    </w:p>
    <w:p w:rsidR="00B070BF" w:rsidRPr="00AB16BB" w:rsidRDefault="00B070BF" w:rsidP="00B070BF">
      <w:pPr>
        <w:widowControl w:val="0"/>
        <w:jc w:val="both"/>
        <w:rPr>
          <w:szCs w:val="22"/>
        </w:rPr>
      </w:pPr>
    </w:p>
    <w:p w:rsidR="00B070BF" w:rsidRPr="00AB16BB" w:rsidRDefault="00B070BF" w:rsidP="00B070BF">
      <w:pPr>
        <w:widowControl w:val="0"/>
        <w:numPr>
          <w:ilvl w:val="0"/>
          <w:numId w:val="4"/>
        </w:numPr>
        <w:autoSpaceDE w:val="0"/>
        <w:autoSpaceDN w:val="0"/>
        <w:adjustRightInd w:val="0"/>
        <w:jc w:val="both"/>
        <w:rPr>
          <w:bCs/>
          <w:color w:val="000000"/>
          <w:sz w:val="20"/>
        </w:rPr>
      </w:pPr>
      <w:r w:rsidRPr="00AB16BB">
        <w:rPr>
          <w:bCs/>
          <w:color w:val="000000"/>
          <w:sz w:val="20"/>
        </w:rPr>
        <w:t>Con la vista puesta en mejorar la cooperación entre los Estados miembros en lo que atañe a seguir elaborando marcos normativos y de política equilibrados para el sistema internacional de patentes, en mayo de 2012 se celebró la decimoctava sesión del Comité Permanente sobre el Derecho de Patentes (SCP).  El SCP prosiguió con el análisis de cinco puntos de su orden del día, a saber</w:t>
      </w:r>
      <w:proofErr w:type="gramStart"/>
      <w:r w:rsidRPr="00AB16BB">
        <w:rPr>
          <w:bCs/>
          <w:color w:val="000000"/>
          <w:sz w:val="20"/>
        </w:rPr>
        <w:t>:  i</w:t>
      </w:r>
      <w:proofErr w:type="gramEnd"/>
      <w:r w:rsidRPr="00AB16BB">
        <w:rPr>
          <w:bCs/>
          <w:color w:val="000000"/>
          <w:sz w:val="20"/>
        </w:rPr>
        <w:t>) excepciones y limitaciones a los derechos de patente;  ii) calidad de las patentes, incluidos los procedimientos de oposición;  iii) patentes y salud;  iv) confidencialidad de las comunicaciones entre asesores de patente y sus clientes;  y v) transferencia de tecnología.</w:t>
      </w:r>
    </w:p>
    <w:p w:rsidR="00B070BF" w:rsidRPr="00AB16BB" w:rsidRDefault="00B070BF" w:rsidP="00B070BF">
      <w:pPr>
        <w:widowControl w:val="0"/>
        <w:autoSpaceDE w:val="0"/>
        <w:autoSpaceDN w:val="0"/>
        <w:adjustRightInd w:val="0"/>
        <w:jc w:val="both"/>
        <w:rPr>
          <w:bCs/>
          <w:color w:val="000000"/>
          <w:sz w:val="20"/>
        </w:rPr>
      </w:pPr>
    </w:p>
    <w:p w:rsidR="00B070BF" w:rsidRPr="00AB16BB" w:rsidRDefault="00B070BF" w:rsidP="00B070BF">
      <w:pPr>
        <w:widowControl w:val="0"/>
        <w:numPr>
          <w:ilvl w:val="0"/>
          <w:numId w:val="4"/>
        </w:numPr>
        <w:autoSpaceDE w:val="0"/>
        <w:autoSpaceDN w:val="0"/>
        <w:adjustRightInd w:val="0"/>
        <w:jc w:val="both"/>
        <w:rPr>
          <w:bCs/>
          <w:color w:val="000000"/>
          <w:sz w:val="20"/>
        </w:rPr>
      </w:pPr>
      <w:r w:rsidRPr="00AB16BB">
        <w:rPr>
          <w:bCs/>
          <w:color w:val="000000"/>
          <w:sz w:val="20"/>
        </w:rPr>
        <w:t>El empleo de un enfoque por etapas y el examen de estudios sustantivos han permitido al SCP revisar el actual sistema internacional de patentes de manera integral, teniendo en cuenta las necesidades y los intereses de los Estados miembros y las partes interesadas.  Asimismo, este enfoque ha fortalecido el proceso participativo en el marco del SCP.  Algunas de las propuestas presentadas por los Estados miembros en relación con los puntos mencionados con anterioridad ponen de manifiesto que los debates mantenidos en el Comité han conducido a delimitar cada vez más las actividades que este desarrolla.  En la decimoctava sesión, aunque se profundizó en el entendimiento de los asuntos que se debatieron, el SCP acordó proseguir con los debates en su próxima sesión basándose en el orden del día de la decimoctava sesión.  El Presidente del SCP mantuvo una primera consulta informal en Ginebra en noviembre de 2012 con el objetivo de facilitar el diálogo entre los Estados miembros.</w:t>
      </w:r>
    </w:p>
    <w:p w:rsidR="00B070BF" w:rsidRPr="00AB16BB" w:rsidRDefault="00B070BF" w:rsidP="00B070BF">
      <w:pPr>
        <w:widowControl w:val="0"/>
        <w:autoSpaceDE w:val="0"/>
        <w:autoSpaceDN w:val="0"/>
        <w:adjustRightInd w:val="0"/>
        <w:jc w:val="both"/>
        <w:rPr>
          <w:bCs/>
          <w:color w:val="000000"/>
          <w:sz w:val="20"/>
        </w:rPr>
      </w:pPr>
    </w:p>
    <w:p w:rsidR="00B070BF" w:rsidRPr="00AB16BB" w:rsidRDefault="00B070BF" w:rsidP="00B070BF">
      <w:pPr>
        <w:widowControl w:val="0"/>
        <w:numPr>
          <w:ilvl w:val="0"/>
          <w:numId w:val="4"/>
        </w:numPr>
        <w:autoSpaceDE w:val="0"/>
        <w:autoSpaceDN w:val="0"/>
        <w:adjustRightInd w:val="0"/>
        <w:jc w:val="both"/>
        <w:rPr>
          <w:bCs/>
          <w:color w:val="000000"/>
          <w:sz w:val="20"/>
        </w:rPr>
      </w:pPr>
      <w:r w:rsidRPr="00AB16BB">
        <w:rPr>
          <w:bCs/>
          <w:color w:val="000000"/>
          <w:sz w:val="20"/>
        </w:rPr>
        <w:t>En lo que respecta a los tratados administrados por la OMPI en el campo de las patentes, se produjo la adhesión de Bosnia y Herzegovina e Irlanda al Tratado sobre el Derecho de Patentes (PLT), y la de tres países (</w:t>
      </w:r>
      <w:proofErr w:type="spellStart"/>
      <w:r w:rsidRPr="00AB16BB">
        <w:rPr>
          <w:bCs/>
          <w:color w:val="000000"/>
          <w:sz w:val="20"/>
        </w:rPr>
        <w:t>Bahrein</w:t>
      </w:r>
      <w:proofErr w:type="spellEnd"/>
      <w:r w:rsidRPr="00AB16BB">
        <w:rPr>
          <w:bCs/>
          <w:color w:val="000000"/>
          <w:sz w:val="20"/>
        </w:rPr>
        <w:t>, Brunei Darussalam y Panamá) al Tratado de Budapest.</w:t>
      </w:r>
    </w:p>
    <w:p w:rsidR="00B070BF" w:rsidRPr="00AB16BB" w:rsidRDefault="00B070BF" w:rsidP="00B070BF">
      <w:pPr>
        <w:widowControl w:val="0"/>
        <w:autoSpaceDE w:val="0"/>
        <w:autoSpaceDN w:val="0"/>
        <w:adjustRightInd w:val="0"/>
        <w:jc w:val="both"/>
        <w:rPr>
          <w:bCs/>
          <w:color w:val="000000"/>
          <w:sz w:val="20"/>
        </w:rPr>
      </w:pPr>
    </w:p>
    <w:p w:rsidR="00B070BF" w:rsidRPr="00AB16BB" w:rsidRDefault="00B070BF" w:rsidP="00B070BF">
      <w:pPr>
        <w:widowControl w:val="0"/>
        <w:numPr>
          <w:ilvl w:val="0"/>
          <w:numId w:val="4"/>
        </w:numPr>
        <w:autoSpaceDE w:val="0"/>
        <w:autoSpaceDN w:val="0"/>
        <w:adjustRightInd w:val="0"/>
        <w:jc w:val="both"/>
        <w:rPr>
          <w:bCs/>
          <w:color w:val="000000"/>
          <w:sz w:val="20"/>
        </w:rPr>
      </w:pPr>
      <w:r w:rsidRPr="00AB16BB">
        <w:rPr>
          <w:bCs/>
          <w:color w:val="000000"/>
          <w:sz w:val="20"/>
        </w:rPr>
        <w:t>La asistencial legislativa y política que presta la OMPI se ha basado siempre en el marco jurídico multilateral.  En el transcurso de 2012 varios países han solicitado la asistencia de la OMPI en relación con la utilización de las flexibilidades multilaterales disponibles, a fin de adecuarlas a los intereses nacionales específicos de cada uno de ellos.  Dado que los asuntos relativos a la P.I. se recogen cada vez más en los instrumentos jurídicos bilaterales y regionales, la asistencia legislativa que presta la OMPI abarca asimismo los compromisos adquiridos en el marco de dichos acuerdos.  Las actividades legislativas que llevan a cabo los Estados miembros siguen aumentando, sobre todo debido a los procesos regionales de integración económica a los que se están sometiendo algunos países, los acuerdos bilaterales de libre comercio, las revisiones que muchos países están realizando de sus legislaciones en materia de patentes para amoldarlas a las políticas públicas locales y la adhesión de varios países a tratados multilaterales sobre patentes.</w:t>
      </w:r>
    </w:p>
    <w:p w:rsidR="00B070BF" w:rsidRPr="00AB16BB" w:rsidRDefault="00B070BF" w:rsidP="00B070BF">
      <w:pPr>
        <w:widowControl w:val="0"/>
        <w:autoSpaceDE w:val="0"/>
        <w:autoSpaceDN w:val="0"/>
        <w:adjustRightInd w:val="0"/>
        <w:jc w:val="both"/>
        <w:rPr>
          <w:bCs/>
          <w:color w:val="000000"/>
          <w:sz w:val="20"/>
        </w:rPr>
      </w:pPr>
    </w:p>
    <w:p w:rsidR="00B070BF" w:rsidRPr="00AB16BB" w:rsidRDefault="00B070BF" w:rsidP="00B070BF">
      <w:pPr>
        <w:widowControl w:val="0"/>
        <w:numPr>
          <w:ilvl w:val="0"/>
          <w:numId w:val="4"/>
        </w:numPr>
        <w:autoSpaceDE w:val="0"/>
        <w:autoSpaceDN w:val="0"/>
        <w:adjustRightInd w:val="0"/>
        <w:jc w:val="both"/>
        <w:rPr>
          <w:bCs/>
          <w:color w:val="000000"/>
          <w:sz w:val="20"/>
        </w:rPr>
      </w:pPr>
      <w:r w:rsidRPr="00AB16BB">
        <w:rPr>
          <w:bCs/>
          <w:color w:val="000000"/>
          <w:sz w:val="20"/>
        </w:rPr>
        <w:t>En 2012 la Secretaría continuó contribuyendo a generar una mayor conciencia de los principios jurídicos, las prácticas y las flexibilidades del sistema de patentes mediante el suministro a organizaciones intergubernamentales (OIG), organismos de las Naciones Unidas, organizaciones no gubernamentales (ONG) y otras partes, de información relevante en relación con cuestiones relativas a este programa.</w:t>
      </w:r>
    </w:p>
    <w:p w:rsidR="00B070BF" w:rsidRDefault="00B070BF" w:rsidP="00B070BF">
      <w:pPr>
        <w:widowControl w:val="0"/>
        <w:autoSpaceDE w:val="0"/>
        <w:autoSpaceDN w:val="0"/>
        <w:adjustRightInd w:val="0"/>
        <w:jc w:val="both"/>
        <w:rPr>
          <w:bCs/>
          <w:color w:val="000000"/>
          <w:sz w:val="20"/>
        </w:rPr>
      </w:pPr>
    </w:p>
    <w:p w:rsidR="00B070BF" w:rsidRPr="00AB16BB" w:rsidRDefault="00B070BF" w:rsidP="00B070BF">
      <w:pPr>
        <w:widowControl w:val="0"/>
        <w:autoSpaceDE w:val="0"/>
        <w:autoSpaceDN w:val="0"/>
        <w:adjustRightInd w:val="0"/>
        <w:jc w:val="both"/>
        <w:rPr>
          <w:bCs/>
          <w:color w:val="000000"/>
          <w:sz w:val="20"/>
        </w:rPr>
      </w:pPr>
    </w:p>
    <w:p w:rsidR="00B070BF" w:rsidRPr="00AB16BB" w:rsidRDefault="00B070BF" w:rsidP="00B070BF">
      <w:pPr>
        <w:widowControl w:val="0"/>
        <w:jc w:val="both"/>
        <w:rPr>
          <w:bCs/>
          <w:szCs w:val="22"/>
        </w:rPr>
      </w:pPr>
      <w:r w:rsidRPr="00AB16BB">
        <w:rPr>
          <w:bCs/>
          <w:sz w:val="20"/>
          <w:szCs w:val="22"/>
        </w:rPr>
        <w:t>APLICACIÓN DE LA AGENDA PARA EL DESARROLLO</w:t>
      </w:r>
    </w:p>
    <w:p w:rsidR="00B070BF" w:rsidRPr="004A21DC" w:rsidRDefault="00B070BF" w:rsidP="00B070BF">
      <w:pPr>
        <w:widowControl w:val="0"/>
        <w:autoSpaceDE w:val="0"/>
        <w:autoSpaceDN w:val="0"/>
        <w:adjustRightInd w:val="0"/>
        <w:jc w:val="both"/>
        <w:rPr>
          <w:bCs/>
          <w:color w:val="000000"/>
          <w:sz w:val="20"/>
        </w:rPr>
      </w:pPr>
    </w:p>
    <w:p w:rsidR="00B070BF" w:rsidRPr="00AB16BB" w:rsidRDefault="00B070BF" w:rsidP="00B070BF">
      <w:pPr>
        <w:widowControl w:val="0"/>
        <w:numPr>
          <w:ilvl w:val="0"/>
          <w:numId w:val="4"/>
        </w:numPr>
        <w:autoSpaceDE w:val="0"/>
        <w:autoSpaceDN w:val="0"/>
        <w:adjustRightInd w:val="0"/>
        <w:jc w:val="both"/>
        <w:rPr>
          <w:rFonts w:eastAsia="MS Mincho"/>
          <w:bCs/>
          <w:sz w:val="20"/>
          <w:lang w:eastAsia="ja-JP" w:bidi="th-TH"/>
        </w:rPr>
      </w:pPr>
      <w:r w:rsidRPr="00AB16BB">
        <w:rPr>
          <w:rFonts w:eastAsia="MS Mincho"/>
          <w:bCs/>
          <w:sz w:val="20"/>
          <w:lang w:eastAsia="ja-JP" w:bidi="th-TH"/>
        </w:rPr>
        <w:t>El diseño, la planificación y la ejecución de las actividades del programa 1 se basaron en las recomendaciones pertinentes de la A.D. y se guiaron por ellas.  Los debates acerca del desarrollo progresivo del sistema internacional de patentes dentro del SCP se siguieron caracterizando por ser inclusivos y estar orientados hacia los miembros, por tener en cuenta los distintos niveles de desarrollo, por constituir un proceso participativo y por estar en consonancia con el principio de neutralidad de la Secretaría de la OMPI (recomendación 15).  Asimismo, se tuvieron en cuenta las flexibilidades de los acuerdos internacionales sobre P.I. (recomendación 17).  Las actividades del SCP se basaron en consultas abiertas y equilibradas (recomendaciones 21 y 42) y contribuyeron a los objetivos de desarrollo de las Naciones Unidas (recomendación 22).</w:t>
      </w:r>
    </w:p>
    <w:p w:rsidR="00B070BF" w:rsidRPr="00AB16BB" w:rsidRDefault="00B070BF" w:rsidP="00B070BF">
      <w:pPr>
        <w:widowControl w:val="0"/>
        <w:jc w:val="both"/>
        <w:rPr>
          <w:rFonts w:eastAsia="MS Mincho"/>
          <w:bCs/>
          <w:sz w:val="20"/>
          <w:lang w:eastAsia="ja-JP" w:bidi="th-TH"/>
        </w:rPr>
      </w:pPr>
    </w:p>
    <w:p w:rsidR="00B070BF" w:rsidRPr="00AB16BB" w:rsidRDefault="00B070BF" w:rsidP="00B070BF">
      <w:pPr>
        <w:widowControl w:val="0"/>
        <w:numPr>
          <w:ilvl w:val="0"/>
          <w:numId w:val="4"/>
        </w:numPr>
        <w:autoSpaceDE w:val="0"/>
        <w:autoSpaceDN w:val="0"/>
        <w:adjustRightInd w:val="0"/>
        <w:jc w:val="both"/>
        <w:rPr>
          <w:rFonts w:eastAsia="MS Mincho"/>
          <w:bCs/>
          <w:sz w:val="20"/>
          <w:lang w:eastAsia="ja-JP" w:bidi="th-TH"/>
        </w:rPr>
      </w:pPr>
      <w:r w:rsidRPr="00AB16BB">
        <w:rPr>
          <w:rFonts w:eastAsia="MS Mincho"/>
          <w:bCs/>
          <w:sz w:val="20"/>
          <w:lang w:eastAsia="ja-JP" w:bidi="th-TH"/>
        </w:rPr>
        <w:lastRenderedPageBreak/>
        <w:t>Las actividades del programa relativas al fortalecimiento de las capacidades y la asistencia legislativa y política estuvieron orientadas a potenciar el desarrollo, obedecieron a la demanda y se llevaron a cabo conforme al calendario previsto (recomendaciones 1, 13 y 14).</w:t>
      </w:r>
    </w:p>
    <w:p w:rsidR="00B070BF" w:rsidRPr="00AB16BB" w:rsidRDefault="00B070BF" w:rsidP="00B070BF">
      <w:pPr>
        <w:widowControl w:val="0"/>
        <w:jc w:val="both"/>
        <w:rPr>
          <w:rFonts w:eastAsia="MS Mincho"/>
          <w:bCs/>
          <w:sz w:val="20"/>
          <w:lang w:eastAsia="ja-JP" w:bidi="th-TH"/>
        </w:rPr>
      </w:pPr>
    </w:p>
    <w:p w:rsidR="00B070BF" w:rsidRPr="00AB16BB" w:rsidRDefault="00B070BF" w:rsidP="00B070BF">
      <w:pPr>
        <w:widowControl w:val="0"/>
        <w:numPr>
          <w:ilvl w:val="0"/>
          <w:numId w:val="4"/>
        </w:numPr>
        <w:autoSpaceDE w:val="0"/>
        <w:autoSpaceDN w:val="0"/>
        <w:adjustRightInd w:val="0"/>
        <w:jc w:val="both"/>
        <w:rPr>
          <w:rFonts w:eastAsia="MS Mincho"/>
          <w:bCs/>
          <w:sz w:val="20"/>
          <w:lang w:eastAsia="ja-JP" w:bidi="th-TH"/>
        </w:rPr>
      </w:pPr>
      <w:r w:rsidRPr="00AB16BB">
        <w:rPr>
          <w:rFonts w:eastAsia="MS Mincho"/>
          <w:bCs/>
          <w:sz w:val="20"/>
          <w:lang w:eastAsia="ja-JP" w:bidi="th-TH"/>
        </w:rPr>
        <w:t>Además, de conformidad con las recomendaciones 16 y 20, el programa se ocupó de la ejecución del proyecto sobre patentes y dominio público y contribuyó a la evaluación del proyecto sobre propiedad intelectual y dominio público.</w:t>
      </w:r>
    </w:p>
    <w:p w:rsidR="00B070BF" w:rsidRPr="00AB16BB" w:rsidRDefault="00B070BF" w:rsidP="00B070BF">
      <w:pPr>
        <w:widowControl w:val="0"/>
        <w:jc w:val="both"/>
        <w:rPr>
          <w:rFonts w:eastAsia="MS Mincho"/>
          <w:bCs/>
          <w:sz w:val="20"/>
          <w:lang w:eastAsia="ja-JP" w:bidi="th-TH"/>
        </w:rPr>
      </w:pPr>
    </w:p>
    <w:p w:rsidR="00B070BF" w:rsidRPr="00AB16BB" w:rsidRDefault="00B070BF" w:rsidP="00B070BF">
      <w:pPr>
        <w:widowControl w:val="0"/>
        <w:numPr>
          <w:ilvl w:val="0"/>
          <w:numId w:val="4"/>
        </w:numPr>
        <w:autoSpaceDE w:val="0"/>
        <w:autoSpaceDN w:val="0"/>
        <w:adjustRightInd w:val="0"/>
        <w:jc w:val="both"/>
        <w:rPr>
          <w:rFonts w:eastAsia="MS Mincho"/>
          <w:bCs/>
          <w:sz w:val="20"/>
          <w:lang w:eastAsia="ja-JP" w:bidi="th-TH"/>
        </w:rPr>
      </w:pPr>
      <w:r w:rsidRPr="00AB16BB">
        <w:rPr>
          <w:rFonts w:eastAsia="MS Mincho"/>
          <w:bCs/>
          <w:sz w:val="20"/>
          <w:lang w:eastAsia="ja-JP" w:bidi="th-TH"/>
        </w:rPr>
        <w:t>En el marco del programa se elaboraron asimismo dos documentos relativos al “Programa de trabajo sobre flexibilidades en el sistema de propiedad intelectual – nuevos elementos propuestos en la octava sesión del CDIP” y a la “Labor futura sobre las flexibilidades en materia de patentes en el marco jurídico multilateral” (documento CDIP/10/11).</w:t>
      </w:r>
    </w:p>
    <w:p w:rsidR="00B070BF" w:rsidRPr="00AB16BB" w:rsidRDefault="00B070BF" w:rsidP="00B070BF">
      <w:pPr>
        <w:widowControl w:val="0"/>
        <w:rPr>
          <w:rFonts w:eastAsia="MS Mincho"/>
          <w:bCs/>
          <w:szCs w:val="22"/>
          <w:lang w:eastAsia="ja-JP" w:bidi="th-TH"/>
        </w:rPr>
      </w:pPr>
    </w:p>
    <w:p w:rsidR="00B070BF" w:rsidRPr="00AB16BB" w:rsidRDefault="00B070BF" w:rsidP="00B070BF">
      <w:pPr>
        <w:widowControl w:val="0"/>
        <w:rPr>
          <w:rFonts w:eastAsia="MS Mincho"/>
          <w:bCs/>
          <w:szCs w:val="22"/>
          <w:lang w:eastAsia="ja-JP" w:bidi="th-TH"/>
        </w:rPr>
      </w:pPr>
    </w:p>
    <w:p w:rsidR="00B070BF" w:rsidRPr="00AB16BB" w:rsidRDefault="00B070BF" w:rsidP="00B070BF">
      <w:pPr>
        <w:widowControl w:val="0"/>
        <w:jc w:val="both"/>
        <w:rPr>
          <w:sz w:val="20"/>
          <w:szCs w:val="22"/>
        </w:rPr>
      </w:pPr>
      <w:r w:rsidRPr="0092207C">
        <w:rPr>
          <w:sz w:val="20"/>
          <w:szCs w:val="22"/>
        </w:rPr>
        <w:t>DATOS SOBRE EL RENDIMIENTO</w:t>
      </w:r>
    </w:p>
    <w:p w:rsidR="00B070BF" w:rsidRPr="00AB16BB" w:rsidRDefault="00B070BF" w:rsidP="00B070BF">
      <w:pPr>
        <w:widowControl w:val="0"/>
        <w:rPr>
          <w:sz w:val="20"/>
        </w:rPr>
      </w:pPr>
    </w:p>
    <w:tbl>
      <w:tblPr>
        <w:tblW w:w="5000" w:type="pct"/>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631"/>
        <w:gridCol w:w="36"/>
        <w:gridCol w:w="1462"/>
        <w:gridCol w:w="1709"/>
        <w:gridCol w:w="117"/>
        <w:gridCol w:w="3377"/>
        <w:gridCol w:w="1239"/>
      </w:tblGrid>
      <w:tr w:rsidR="00B070BF" w:rsidRPr="00827314" w:rsidTr="00C33D4A">
        <w:trPr>
          <w:cantSplit/>
        </w:trPr>
        <w:tc>
          <w:tcPr>
            <w:tcW w:w="5000" w:type="pct"/>
            <w:gridSpan w:val="7"/>
            <w:tcBorders>
              <w:top w:val="single" w:sz="4" w:space="0" w:color="auto"/>
              <w:bottom w:val="single" w:sz="4" w:space="0" w:color="auto"/>
            </w:tcBorders>
            <w:shd w:val="clear" w:color="auto" w:fill="CCFFFF"/>
            <w:vAlign w:val="center"/>
          </w:tcPr>
          <w:p w:rsidR="00B070BF" w:rsidRPr="00827314" w:rsidRDefault="00B070BF" w:rsidP="00C33D4A">
            <w:pPr>
              <w:widowControl w:val="0"/>
              <w:tabs>
                <w:tab w:val="left" w:pos="1452"/>
              </w:tabs>
              <w:spacing w:before="120" w:after="120"/>
              <w:ind w:left="1735" w:hanging="1735"/>
              <w:rPr>
                <w:b/>
                <w:bCs/>
                <w:sz w:val="16"/>
                <w:szCs w:val="16"/>
              </w:rPr>
            </w:pPr>
            <w:r w:rsidRPr="00827314">
              <w:rPr>
                <w:b/>
                <w:bCs/>
                <w:sz w:val="16"/>
                <w:szCs w:val="16"/>
              </w:rPr>
              <w:t>Resultado previsto:</w:t>
            </w:r>
            <w:r w:rsidRPr="00827314">
              <w:rPr>
                <w:b/>
                <w:bCs/>
                <w:sz w:val="16"/>
                <w:szCs w:val="16"/>
              </w:rPr>
              <w:tab/>
            </w:r>
            <w:r w:rsidRPr="00827314">
              <w:rPr>
                <w:bCs/>
                <w:sz w:val="16"/>
                <w:szCs w:val="16"/>
              </w:rPr>
              <w:t xml:space="preserve"> Mejor cooperación/mayor consenso entre los Estados miembros en lo que atañe a seguir elaborando marcos normativos y de política equilibrados para el sistema internacional de patentes, marcas, dibujos y modelos industriales, indicaciones geográficas, derechos de autor y derechos conexos CC.TT., ECT y RR.GG.</w:t>
            </w:r>
          </w:p>
        </w:tc>
      </w:tr>
      <w:tr w:rsidR="00B070BF" w:rsidRPr="00827314" w:rsidTr="00C33D4A">
        <w:trPr>
          <w:cantSplit/>
        </w:trPr>
        <w:tc>
          <w:tcPr>
            <w:tcW w:w="852" w:type="pct"/>
            <w:tcBorders>
              <w:top w:val="single" w:sz="4" w:space="0" w:color="auto"/>
            </w:tcBorders>
            <w:shd w:val="clear" w:color="auto" w:fill="auto"/>
            <w:vAlign w:val="center"/>
          </w:tcPr>
          <w:p w:rsidR="00B070BF" w:rsidRPr="00827314" w:rsidRDefault="00B070BF" w:rsidP="00C33D4A">
            <w:pPr>
              <w:widowControl w:val="0"/>
              <w:spacing w:after="120"/>
              <w:rPr>
                <w:sz w:val="16"/>
                <w:szCs w:val="16"/>
              </w:rPr>
            </w:pPr>
            <w:r w:rsidRPr="00827314">
              <w:rPr>
                <w:b/>
                <w:bCs/>
                <w:sz w:val="16"/>
                <w:szCs w:val="16"/>
              </w:rPr>
              <w:t>Indicadores de rendimiento</w:t>
            </w:r>
          </w:p>
        </w:tc>
        <w:tc>
          <w:tcPr>
            <w:tcW w:w="783" w:type="pct"/>
            <w:gridSpan w:val="2"/>
            <w:tcBorders>
              <w:top w:val="single" w:sz="4" w:space="0" w:color="auto"/>
            </w:tcBorders>
            <w:shd w:val="clear" w:color="auto" w:fill="C0C0C0"/>
          </w:tcPr>
          <w:p w:rsidR="00B070BF" w:rsidRPr="00827314" w:rsidRDefault="00B070BF" w:rsidP="00C33D4A">
            <w:pPr>
              <w:widowControl w:val="0"/>
              <w:spacing w:after="120"/>
              <w:rPr>
                <w:b/>
                <w:bCs/>
                <w:sz w:val="16"/>
                <w:szCs w:val="16"/>
              </w:rPr>
            </w:pPr>
            <w:r w:rsidRPr="00827314">
              <w:rPr>
                <w:b/>
                <w:bCs/>
                <w:sz w:val="16"/>
                <w:szCs w:val="16"/>
              </w:rPr>
              <w:t>Referencia (</w:t>
            </w:r>
            <w:proofErr w:type="spellStart"/>
            <w:r w:rsidRPr="00827314">
              <w:rPr>
                <w:b/>
                <w:bCs/>
                <w:sz w:val="16"/>
                <w:szCs w:val="16"/>
              </w:rPr>
              <w:t>Presup</w:t>
            </w:r>
            <w:proofErr w:type="spellEnd"/>
            <w:r w:rsidRPr="00827314">
              <w:rPr>
                <w:b/>
                <w:bCs/>
                <w:sz w:val="16"/>
                <w:szCs w:val="16"/>
              </w:rPr>
              <w:t xml:space="preserve">. por </w:t>
            </w:r>
            <w:proofErr w:type="spellStart"/>
            <w:r w:rsidRPr="00827314">
              <w:rPr>
                <w:b/>
                <w:bCs/>
                <w:sz w:val="16"/>
                <w:szCs w:val="16"/>
              </w:rPr>
              <w:t>prog</w:t>
            </w:r>
            <w:proofErr w:type="spellEnd"/>
            <w:r w:rsidRPr="00827314">
              <w:rPr>
                <w:b/>
                <w:bCs/>
                <w:sz w:val="16"/>
                <w:szCs w:val="16"/>
              </w:rPr>
              <w:t>. 2012/13)</w:t>
            </w:r>
          </w:p>
        </w:tc>
        <w:tc>
          <w:tcPr>
            <w:tcW w:w="893" w:type="pct"/>
            <w:tcBorders>
              <w:top w:val="single" w:sz="4" w:space="0" w:color="auto"/>
            </w:tcBorders>
            <w:shd w:val="clear" w:color="auto" w:fill="auto"/>
            <w:tcMar>
              <w:top w:w="110" w:type="dxa"/>
            </w:tcMar>
            <w:vAlign w:val="center"/>
          </w:tcPr>
          <w:p w:rsidR="00B070BF" w:rsidRPr="00827314" w:rsidRDefault="00B070BF" w:rsidP="00C33D4A">
            <w:pPr>
              <w:widowControl w:val="0"/>
              <w:spacing w:after="120"/>
              <w:rPr>
                <w:b/>
                <w:sz w:val="16"/>
                <w:szCs w:val="16"/>
              </w:rPr>
            </w:pPr>
            <w:r w:rsidRPr="00BF138D">
              <w:rPr>
                <w:b/>
                <w:color w:val="993300"/>
                <w:sz w:val="16"/>
                <w:szCs w:val="16"/>
              </w:rPr>
              <w:t>Referencia actualizada a finales de 2011</w:t>
            </w:r>
            <w:r w:rsidRPr="00827314">
              <w:rPr>
                <w:b/>
                <w:color w:val="996600"/>
                <w:sz w:val="16"/>
                <w:szCs w:val="16"/>
              </w:rPr>
              <w:t xml:space="preserve"> </w:t>
            </w:r>
          </w:p>
        </w:tc>
        <w:tc>
          <w:tcPr>
            <w:tcW w:w="1825" w:type="pct"/>
            <w:gridSpan w:val="2"/>
            <w:tcBorders>
              <w:top w:val="single" w:sz="4" w:space="0" w:color="auto"/>
            </w:tcBorders>
            <w:shd w:val="clear" w:color="auto" w:fill="FFFFFF"/>
            <w:tcMar>
              <w:top w:w="110" w:type="dxa"/>
            </w:tcMar>
            <w:vAlign w:val="center"/>
          </w:tcPr>
          <w:p w:rsidR="00B070BF" w:rsidRPr="00827314" w:rsidRDefault="00B070BF" w:rsidP="00C33D4A">
            <w:pPr>
              <w:widowControl w:val="0"/>
              <w:spacing w:after="120"/>
              <w:rPr>
                <w:sz w:val="16"/>
                <w:szCs w:val="16"/>
              </w:rPr>
            </w:pPr>
            <w:r w:rsidRPr="00827314">
              <w:rPr>
                <w:b/>
                <w:bCs/>
                <w:sz w:val="16"/>
                <w:szCs w:val="16"/>
              </w:rPr>
              <w:t>Datos sobre el rendimiento</w:t>
            </w:r>
          </w:p>
        </w:tc>
        <w:tc>
          <w:tcPr>
            <w:tcW w:w="647" w:type="pct"/>
            <w:tcBorders>
              <w:top w:val="single" w:sz="4" w:space="0" w:color="auto"/>
            </w:tcBorders>
            <w:shd w:val="clear" w:color="auto" w:fill="auto"/>
            <w:tcMar>
              <w:top w:w="110" w:type="dxa"/>
            </w:tcMar>
            <w:vAlign w:val="center"/>
          </w:tcPr>
          <w:p w:rsidR="00B070BF" w:rsidRPr="00827314" w:rsidRDefault="00B070BF" w:rsidP="00C33D4A">
            <w:pPr>
              <w:widowControl w:val="0"/>
              <w:spacing w:after="120"/>
              <w:jc w:val="center"/>
              <w:rPr>
                <w:b/>
                <w:bCs/>
                <w:sz w:val="16"/>
                <w:szCs w:val="16"/>
              </w:rPr>
            </w:pPr>
            <w:r w:rsidRPr="00827314">
              <w:rPr>
                <w:b/>
                <w:bCs/>
                <w:sz w:val="16"/>
                <w:szCs w:val="16"/>
              </w:rPr>
              <w:t>Clave de colores</w:t>
            </w:r>
          </w:p>
        </w:tc>
      </w:tr>
      <w:tr w:rsidR="00B070BF" w:rsidRPr="00827314" w:rsidTr="00C33D4A">
        <w:trPr>
          <w:cantSplit/>
        </w:trPr>
        <w:tc>
          <w:tcPr>
            <w:tcW w:w="852" w:type="pct"/>
            <w:tcBorders>
              <w:bottom w:val="single" w:sz="4" w:space="0" w:color="auto"/>
            </w:tcBorders>
            <w:shd w:val="clear" w:color="auto" w:fill="auto"/>
          </w:tcPr>
          <w:p w:rsidR="00B070BF" w:rsidRPr="00827314" w:rsidRDefault="00B070BF" w:rsidP="00C33D4A">
            <w:pPr>
              <w:widowControl w:val="0"/>
              <w:rPr>
                <w:sz w:val="16"/>
                <w:szCs w:val="16"/>
              </w:rPr>
            </w:pPr>
            <w:r w:rsidRPr="00827314">
              <w:rPr>
                <w:sz w:val="16"/>
                <w:szCs w:val="16"/>
                <w:lang w:bidi="th-TH"/>
              </w:rPr>
              <w:t>Progresos en la puesta en práctica de medidas/planes concertados por el SCP.</w:t>
            </w:r>
          </w:p>
        </w:tc>
        <w:tc>
          <w:tcPr>
            <w:tcW w:w="783" w:type="pct"/>
            <w:gridSpan w:val="2"/>
            <w:tcBorders>
              <w:bottom w:val="single" w:sz="4" w:space="0" w:color="auto"/>
            </w:tcBorders>
            <w:shd w:val="clear" w:color="auto" w:fill="C0C0C0"/>
          </w:tcPr>
          <w:p w:rsidR="00B070BF" w:rsidRPr="00827314" w:rsidRDefault="00B070BF" w:rsidP="00C33D4A">
            <w:pPr>
              <w:widowControl w:val="0"/>
              <w:rPr>
                <w:sz w:val="16"/>
                <w:szCs w:val="16"/>
              </w:rPr>
            </w:pPr>
            <w:r w:rsidRPr="00827314">
              <w:rPr>
                <w:sz w:val="16"/>
                <w:szCs w:val="16"/>
                <w:lang w:bidi="th-TH"/>
              </w:rPr>
              <w:t>En su 15ª sesión, el SCP decidió su labor futura en cinco ámbitos (15 de octubre de 2010).</w:t>
            </w:r>
          </w:p>
        </w:tc>
        <w:tc>
          <w:tcPr>
            <w:tcW w:w="893" w:type="pct"/>
            <w:tcBorders>
              <w:bottom w:val="single" w:sz="4" w:space="0" w:color="auto"/>
            </w:tcBorders>
            <w:shd w:val="clear" w:color="auto" w:fill="auto"/>
            <w:tcMar>
              <w:top w:w="110" w:type="dxa"/>
            </w:tcMar>
          </w:tcPr>
          <w:p w:rsidR="00B070BF" w:rsidRPr="00793D61" w:rsidRDefault="00B070BF" w:rsidP="00C33D4A">
            <w:pPr>
              <w:widowControl w:val="0"/>
              <w:rPr>
                <w:color w:val="943634"/>
                <w:sz w:val="16"/>
                <w:szCs w:val="16"/>
                <w:lang w:bidi="th-TH"/>
              </w:rPr>
            </w:pPr>
            <w:r w:rsidRPr="00793D61">
              <w:rPr>
                <w:color w:val="943634"/>
                <w:sz w:val="16"/>
                <w:szCs w:val="16"/>
                <w:lang w:bidi="th-TH"/>
              </w:rPr>
              <w:t>El SCP/17 convino en proseguir la labor en los cinco ámbitos (diciembre de 2011).</w:t>
            </w:r>
          </w:p>
          <w:p w:rsidR="00B070BF" w:rsidRPr="00827314" w:rsidRDefault="00B070BF" w:rsidP="00C33D4A">
            <w:pPr>
              <w:widowControl w:val="0"/>
              <w:rPr>
                <w:i/>
                <w:sz w:val="16"/>
                <w:szCs w:val="16"/>
              </w:rPr>
            </w:pPr>
          </w:p>
        </w:tc>
        <w:tc>
          <w:tcPr>
            <w:tcW w:w="1825" w:type="pct"/>
            <w:gridSpan w:val="2"/>
            <w:tcBorders>
              <w:bottom w:val="single" w:sz="4" w:space="0" w:color="auto"/>
            </w:tcBorders>
            <w:shd w:val="clear" w:color="auto" w:fill="FFFFFF"/>
            <w:tcMar>
              <w:top w:w="110" w:type="dxa"/>
            </w:tcMar>
          </w:tcPr>
          <w:p w:rsidR="00B070BF" w:rsidRPr="00827314" w:rsidRDefault="00B070BF" w:rsidP="00C33D4A">
            <w:pPr>
              <w:widowControl w:val="0"/>
              <w:rPr>
                <w:sz w:val="16"/>
                <w:szCs w:val="16"/>
              </w:rPr>
            </w:pPr>
            <w:r w:rsidRPr="00827314">
              <w:rPr>
                <w:sz w:val="16"/>
                <w:szCs w:val="16"/>
                <w:lang w:bidi="th-TH"/>
              </w:rPr>
              <w:t>El SCP/18 acordó proseguir los debates en el SCP/19 sobre la base del orden del día del SCP/18.</w:t>
            </w:r>
          </w:p>
        </w:tc>
        <w:tc>
          <w:tcPr>
            <w:tcW w:w="647" w:type="pct"/>
            <w:tcBorders>
              <w:bottom w:val="single" w:sz="4" w:space="0" w:color="auto"/>
            </w:tcBorders>
            <w:shd w:val="clear" w:color="auto" w:fill="auto"/>
            <w:tcMar>
              <w:top w:w="110" w:type="dxa"/>
            </w:tcMar>
          </w:tcPr>
          <w:p w:rsidR="00B070BF" w:rsidRPr="00827314" w:rsidRDefault="00B070BF" w:rsidP="00C33D4A">
            <w:pPr>
              <w:widowControl w:val="0"/>
              <w:jc w:val="center"/>
              <w:rPr>
                <w:b/>
                <w:color w:val="969696"/>
                <w:sz w:val="16"/>
                <w:szCs w:val="16"/>
              </w:rPr>
            </w:pPr>
            <w:r w:rsidRPr="009577DE">
              <w:rPr>
                <w:b/>
                <w:color w:val="FF0000"/>
                <w:sz w:val="16"/>
                <w:szCs w:val="16"/>
              </w:rPr>
              <w:t>Sin avances significativos</w:t>
            </w:r>
          </w:p>
          <w:p w:rsidR="00B070BF" w:rsidRPr="00827314" w:rsidRDefault="00B070BF" w:rsidP="00C33D4A">
            <w:pPr>
              <w:widowControl w:val="0"/>
              <w:jc w:val="center"/>
              <w:rPr>
                <w:b/>
                <w:sz w:val="16"/>
                <w:szCs w:val="16"/>
              </w:rPr>
            </w:pPr>
          </w:p>
          <w:p w:rsidR="00B070BF" w:rsidRPr="00827314" w:rsidRDefault="00B070BF" w:rsidP="00C33D4A">
            <w:pPr>
              <w:widowControl w:val="0"/>
              <w:jc w:val="center"/>
              <w:rPr>
                <w:b/>
                <w:sz w:val="16"/>
                <w:szCs w:val="16"/>
              </w:rPr>
            </w:pPr>
          </w:p>
        </w:tc>
      </w:tr>
      <w:tr w:rsidR="00B070BF" w:rsidRPr="00827314" w:rsidTr="00C33D4A">
        <w:trPr>
          <w:cantSplit/>
        </w:trPr>
        <w:tc>
          <w:tcPr>
            <w:tcW w:w="5000" w:type="pct"/>
            <w:gridSpan w:val="7"/>
            <w:tcBorders>
              <w:top w:val="single" w:sz="4" w:space="0" w:color="auto"/>
              <w:bottom w:val="single" w:sz="4" w:space="0" w:color="auto"/>
            </w:tcBorders>
            <w:shd w:val="clear" w:color="auto" w:fill="CCFFFF"/>
            <w:vAlign w:val="center"/>
          </w:tcPr>
          <w:p w:rsidR="00B070BF" w:rsidRPr="00827314" w:rsidRDefault="00B070BF" w:rsidP="00C33D4A">
            <w:pPr>
              <w:widowControl w:val="0"/>
              <w:tabs>
                <w:tab w:val="left" w:pos="1452"/>
              </w:tabs>
              <w:spacing w:before="120" w:after="120"/>
              <w:ind w:left="1452" w:hanging="1452"/>
              <w:rPr>
                <w:b/>
                <w:sz w:val="16"/>
                <w:szCs w:val="16"/>
              </w:rPr>
            </w:pPr>
            <w:r w:rsidRPr="00827314">
              <w:rPr>
                <w:b/>
                <w:sz w:val="16"/>
                <w:szCs w:val="16"/>
              </w:rPr>
              <w:t>Resultado previsto:</w:t>
            </w:r>
            <w:r w:rsidRPr="00827314">
              <w:rPr>
                <w:b/>
                <w:sz w:val="16"/>
                <w:szCs w:val="16"/>
              </w:rPr>
              <w:tab/>
              <w:t xml:space="preserve"> Marcos de P.I. adaptados y equilibrados en el ámbito legislativo, regulador y de política.</w:t>
            </w:r>
            <w:r w:rsidRPr="00827314">
              <w:rPr>
                <w:b/>
                <w:sz w:val="16"/>
                <w:szCs w:val="16"/>
                <w:lang w:bidi="th-TH"/>
              </w:rPr>
              <w:t xml:space="preserve">  </w:t>
            </w:r>
          </w:p>
        </w:tc>
      </w:tr>
      <w:tr w:rsidR="00B070BF" w:rsidRPr="00827314" w:rsidTr="00C33D4A">
        <w:trPr>
          <w:cantSplit/>
        </w:trPr>
        <w:tc>
          <w:tcPr>
            <w:tcW w:w="852" w:type="pct"/>
            <w:tcBorders>
              <w:top w:val="single" w:sz="4" w:space="0" w:color="auto"/>
            </w:tcBorders>
            <w:shd w:val="clear" w:color="auto" w:fill="auto"/>
            <w:vAlign w:val="center"/>
          </w:tcPr>
          <w:p w:rsidR="00B070BF" w:rsidRPr="00827314" w:rsidRDefault="00B070BF" w:rsidP="00C33D4A">
            <w:pPr>
              <w:widowControl w:val="0"/>
              <w:spacing w:after="120"/>
              <w:rPr>
                <w:sz w:val="16"/>
                <w:szCs w:val="16"/>
              </w:rPr>
            </w:pPr>
            <w:r w:rsidRPr="00827314">
              <w:rPr>
                <w:b/>
                <w:bCs/>
                <w:sz w:val="16"/>
                <w:szCs w:val="16"/>
              </w:rPr>
              <w:t>Indicadores de rendimiento</w:t>
            </w:r>
          </w:p>
        </w:tc>
        <w:tc>
          <w:tcPr>
            <w:tcW w:w="783" w:type="pct"/>
            <w:gridSpan w:val="2"/>
            <w:tcBorders>
              <w:top w:val="single" w:sz="4" w:space="0" w:color="auto"/>
            </w:tcBorders>
            <w:shd w:val="clear" w:color="auto" w:fill="C0C0C0"/>
          </w:tcPr>
          <w:p w:rsidR="00B070BF" w:rsidRPr="00827314" w:rsidRDefault="00B070BF" w:rsidP="00C33D4A">
            <w:pPr>
              <w:widowControl w:val="0"/>
              <w:spacing w:after="120"/>
              <w:rPr>
                <w:b/>
                <w:bCs/>
                <w:sz w:val="16"/>
                <w:szCs w:val="16"/>
              </w:rPr>
            </w:pPr>
            <w:r w:rsidRPr="00827314">
              <w:rPr>
                <w:b/>
                <w:bCs/>
                <w:sz w:val="16"/>
                <w:szCs w:val="16"/>
              </w:rPr>
              <w:t>Referencia (</w:t>
            </w:r>
            <w:proofErr w:type="spellStart"/>
            <w:r w:rsidRPr="00827314">
              <w:rPr>
                <w:b/>
                <w:bCs/>
                <w:sz w:val="16"/>
                <w:szCs w:val="16"/>
              </w:rPr>
              <w:t>Presup</w:t>
            </w:r>
            <w:proofErr w:type="spellEnd"/>
            <w:r w:rsidRPr="00827314">
              <w:rPr>
                <w:b/>
                <w:bCs/>
                <w:sz w:val="16"/>
                <w:szCs w:val="16"/>
              </w:rPr>
              <w:t xml:space="preserve">. por </w:t>
            </w:r>
            <w:proofErr w:type="spellStart"/>
            <w:r w:rsidRPr="00827314">
              <w:rPr>
                <w:b/>
                <w:bCs/>
                <w:sz w:val="16"/>
                <w:szCs w:val="16"/>
              </w:rPr>
              <w:t>prog</w:t>
            </w:r>
            <w:proofErr w:type="spellEnd"/>
            <w:r w:rsidRPr="00827314">
              <w:rPr>
                <w:b/>
                <w:bCs/>
                <w:sz w:val="16"/>
                <w:szCs w:val="16"/>
              </w:rPr>
              <w:t>. 2012/13)</w:t>
            </w:r>
          </w:p>
        </w:tc>
        <w:tc>
          <w:tcPr>
            <w:tcW w:w="893" w:type="pct"/>
            <w:tcBorders>
              <w:top w:val="single" w:sz="4" w:space="0" w:color="auto"/>
            </w:tcBorders>
            <w:shd w:val="clear" w:color="auto" w:fill="auto"/>
            <w:tcMar>
              <w:top w:w="110" w:type="dxa"/>
            </w:tcMar>
            <w:vAlign w:val="center"/>
          </w:tcPr>
          <w:p w:rsidR="00B070BF" w:rsidRPr="00827314" w:rsidRDefault="00B070BF" w:rsidP="00C33D4A">
            <w:pPr>
              <w:widowControl w:val="0"/>
              <w:spacing w:after="120"/>
              <w:rPr>
                <w:b/>
                <w:sz w:val="16"/>
                <w:szCs w:val="16"/>
              </w:rPr>
            </w:pPr>
            <w:r w:rsidRPr="00BF138D">
              <w:rPr>
                <w:b/>
                <w:color w:val="993300"/>
                <w:sz w:val="16"/>
                <w:szCs w:val="16"/>
              </w:rPr>
              <w:t>Referencia actualizada a finales de 2011</w:t>
            </w:r>
            <w:r w:rsidRPr="00827314">
              <w:rPr>
                <w:b/>
                <w:sz w:val="16"/>
                <w:szCs w:val="16"/>
              </w:rPr>
              <w:t xml:space="preserve"> </w:t>
            </w:r>
          </w:p>
        </w:tc>
        <w:tc>
          <w:tcPr>
            <w:tcW w:w="1825" w:type="pct"/>
            <w:gridSpan w:val="2"/>
            <w:tcBorders>
              <w:top w:val="single" w:sz="4" w:space="0" w:color="auto"/>
            </w:tcBorders>
            <w:shd w:val="clear" w:color="auto" w:fill="FFFFFF"/>
            <w:tcMar>
              <w:top w:w="110" w:type="dxa"/>
            </w:tcMar>
            <w:vAlign w:val="center"/>
          </w:tcPr>
          <w:p w:rsidR="00B070BF" w:rsidRPr="00827314" w:rsidRDefault="00B070BF" w:rsidP="00C33D4A">
            <w:pPr>
              <w:widowControl w:val="0"/>
              <w:spacing w:after="120"/>
              <w:rPr>
                <w:sz w:val="16"/>
                <w:szCs w:val="16"/>
              </w:rPr>
            </w:pPr>
            <w:r w:rsidRPr="00827314">
              <w:rPr>
                <w:b/>
                <w:bCs/>
                <w:sz w:val="16"/>
                <w:szCs w:val="16"/>
              </w:rPr>
              <w:t>Datos sobre el rendimiento</w:t>
            </w:r>
          </w:p>
        </w:tc>
        <w:tc>
          <w:tcPr>
            <w:tcW w:w="647" w:type="pct"/>
            <w:tcBorders>
              <w:top w:val="single" w:sz="4" w:space="0" w:color="auto"/>
            </w:tcBorders>
            <w:shd w:val="clear" w:color="auto" w:fill="auto"/>
            <w:tcMar>
              <w:top w:w="110" w:type="dxa"/>
            </w:tcMar>
            <w:vAlign w:val="center"/>
          </w:tcPr>
          <w:p w:rsidR="00B070BF" w:rsidRPr="00827314" w:rsidRDefault="00B070BF" w:rsidP="00C33D4A">
            <w:pPr>
              <w:widowControl w:val="0"/>
              <w:spacing w:after="120"/>
              <w:jc w:val="center"/>
              <w:rPr>
                <w:b/>
                <w:sz w:val="16"/>
                <w:szCs w:val="16"/>
              </w:rPr>
            </w:pPr>
            <w:r w:rsidRPr="00827314">
              <w:rPr>
                <w:b/>
                <w:sz w:val="16"/>
                <w:szCs w:val="16"/>
              </w:rPr>
              <w:t>Clave de colores</w:t>
            </w:r>
          </w:p>
        </w:tc>
      </w:tr>
      <w:tr w:rsidR="00B070BF" w:rsidRPr="00827314" w:rsidTr="00C33D4A">
        <w:trPr>
          <w:cantSplit/>
        </w:trPr>
        <w:tc>
          <w:tcPr>
            <w:tcW w:w="852" w:type="pct"/>
            <w:shd w:val="clear" w:color="auto" w:fill="FFFFFF"/>
          </w:tcPr>
          <w:p w:rsidR="00B070BF" w:rsidRPr="00827314" w:rsidRDefault="00B070BF" w:rsidP="00C33D4A">
            <w:pPr>
              <w:widowControl w:val="0"/>
              <w:rPr>
                <w:sz w:val="16"/>
                <w:szCs w:val="16"/>
                <w:lang w:bidi="th-TH"/>
              </w:rPr>
            </w:pPr>
            <w:r w:rsidRPr="00827314">
              <w:rPr>
                <w:sz w:val="16"/>
                <w:szCs w:val="16"/>
                <w:lang w:bidi="th-TH"/>
              </w:rPr>
              <w:t>Índole y número de veces que se prestó asesoramiento en el ámbito legislativo a los Estados miembros en relación con las patentes, los modelos de utilidad, los secretos comerciales y los circuitos integrados.</w:t>
            </w:r>
          </w:p>
        </w:tc>
        <w:tc>
          <w:tcPr>
            <w:tcW w:w="783" w:type="pct"/>
            <w:gridSpan w:val="2"/>
            <w:shd w:val="clear" w:color="auto" w:fill="C0C0C0"/>
          </w:tcPr>
          <w:p w:rsidR="00B070BF" w:rsidRPr="00827314" w:rsidRDefault="00B070BF" w:rsidP="00C33D4A">
            <w:pPr>
              <w:widowControl w:val="0"/>
              <w:rPr>
                <w:sz w:val="16"/>
                <w:szCs w:val="16"/>
                <w:lang w:bidi="th-TH"/>
              </w:rPr>
            </w:pPr>
            <w:r w:rsidRPr="00827314">
              <w:rPr>
                <w:sz w:val="16"/>
                <w:szCs w:val="16"/>
                <w:lang w:bidi="th-TH"/>
              </w:rPr>
              <w:t>En 2010, se proporcionaron 12 comentarios a los Estados miembros.</w:t>
            </w:r>
          </w:p>
        </w:tc>
        <w:tc>
          <w:tcPr>
            <w:tcW w:w="893" w:type="pct"/>
            <w:shd w:val="clear" w:color="auto" w:fill="auto"/>
            <w:tcMar>
              <w:top w:w="110" w:type="dxa"/>
            </w:tcMar>
          </w:tcPr>
          <w:p w:rsidR="00B070BF" w:rsidRPr="00793D61" w:rsidRDefault="00B070BF" w:rsidP="00C33D4A">
            <w:pPr>
              <w:widowControl w:val="0"/>
              <w:rPr>
                <w:color w:val="943634"/>
                <w:sz w:val="16"/>
                <w:szCs w:val="16"/>
                <w:lang w:bidi="th-TH"/>
              </w:rPr>
            </w:pPr>
            <w:r w:rsidRPr="00793D61">
              <w:rPr>
                <w:color w:val="943634"/>
                <w:sz w:val="16"/>
                <w:szCs w:val="16"/>
                <w:lang w:bidi="th-TH"/>
              </w:rPr>
              <w:t>En 2011, se proporcionaron 10 comentarios por escrito a los Estados miembros.  Además, se organizaron 8 actividades con el fin de debatir, revisar y redactar textos jurídicos o analizar opciones de política.</w:t>
            </w:r>
          </w:p>
        </w:tc>
        <w:tc>
          <w:tcPr>
            <w:tcW w:w="1825" w:type="pct"/>
            <w:gridSpan w:val="2"/>
            <w:shd w:val="clear" w:color="auto" w:fill="FFFFFF"/>
            <w:tcMar>
              <w:top w:w="110" w:type="dxa"/>
            </w:tcMar>
          </w:tcPr>
          <w:p w:rsidR="00B070BF" w:rsidRPr="00827314" w:rsidRDefault="00B070BF" w:rsidP="00C33D4A">
            <w:pPr>
              <w:widowControl w:val="0"/>
              <w:rPr>
                <w:sz w:val="16"/>
                <w:szCs w:val="16"/>
                <w:lang w:bidi="th-TH"/>
              </w:rPr>
            </w:pPr>
            <w:r w:rsidRPr="00827314">
              <w:rPr>
                <w:sz w:val="16"/>
                <w:szCs w:val="16"/>
                <w:lang w:bidi="th-TH"/>
              </w:rPr>
              <w:t>En 2012, se proporcionaron 11 comentarios por escrito a los Estados miembros.  Además, se organizaron 7 actividades con el fin de debatir, revisar y redactar textos jurídicos o analizar opciones de política.</w:t>
            </w:r>
          </w:p>
        </w:tc>
        <w:tc>
          <w:tcPr>
            <w:tcW w:w="647" w:type="pct"/>
            <w:shd w:val="clear" w:color="auto" w:fill="auto"/>
            <w:tcMar>
              <w:top w:w="110" w:type="dxa"/>
            </w:tcMar>
          </w:tcPr>
          <w:p w:rsidR="00B070BF" w:rsidRPr="00827314" w:rsidRDefault="00B070BF" w:rsidP="00C33D4A">
            <w:pPr>
              <w:widowControl w:val="0"/>
              <w:jc w:val="center"/>
              <w:rPr>
                <w:b/>
                <w:sz w:val="16"/>
                <w:szCs w:val="16"/>
              </w:rPr>
            </w:pPr>
            <w:r w:rsidRPr="009577DE">
              <w:rPr>
                <w:b/>
                <w:color w:val="008000"/>
                <w:sz w:val="16"/>
                <w:szCs w:val="16"/>
              </w:rPr>
              <w:t>Progresa con normalidad</w:t>
            </w:r>
          </w:p>
          <w:p w:rsidR="00B070BF" w:rsidRPr="00827314" w:rsidRDefault="00B070BF" w:rsidP="00C33D4A">
            <w:pPr>
              <w:widowControl w:val="0"/>
              <w:jc w:val="center"/>
              <w:rPr>
                <w:b/>
                <w:sz w:val="16"/>
                <w:szCs w:val="16"/>
              </w:rPr>
            </w:pPr>
          </w:p>
          <w:p w:rsidR="00B070BF" w:rsidRPr="00827314" w:rsidRDefault="00B070BF" w:rsidP="00C33D4A">
            <w:pPr>
              <w:widowControl w:val="0"/>
              <w:jc w:val="center"/>
              <w:rPr>
                <w:b/>
                <w:sz w:val="16"/>
                <w:szCs w:val="16"/>
              </w:rPr>
            </w:pPr>
          </w:p>
        </w:tc>
      </w:tr>
      <w:tr w:rsidR="00B070BF" w:rsidRPr="00827314" w:rsidTr="00C33D4A">
        <w:trPr>
          <w:cantSplit/>
        </w:trPr>
        <w:tc>
          <w:tcPr>
            <w:tcW w:w="852" w:type="pct"/>
            <w:shd w:val="clear" w:color="auto" w:fill="auto"/>
          </w:tcPr>
          <w:p w:rsidR="00B070BF" w:rsidRPr="00827314" w:rsidRDefault="00B070BF" w:rsidP="00C33D4A">
            <w:pPr>
              <w:widowControl w:val="0"/>
              <w:rPr>
                <w:sz w:val="16"/>
                <w:szCs w:val="16"/>
                <w:lang w:bidi="th-TH"/>
              </w:rPr>
            </w:pPr>
            <w:r w:rsidRPr="00827314">
              <w:rPr>
                <w:sz w:val="16"/>
                <w:szCs w:val="16"/>
                <w:lang w:bidi="th-TH"/>
              </w:rPr>
              <w:t>Porcentaje de países que consideraron útil el asesoramiento en materia legislativa relacionado con las patentes, los modelos de utilidad, los secretos comerciales y los circuitos integrados.</w:t>
            </w:r>
          </w:p>
        </w:tc>
        <w:tc>
          <w:tcPr>
            <w:tcW w:w="783" w:type="pct"/>
            <w:gridSpan w:val="2"/>
            <w:shd w:val="clear" w:color="auto" w:fill="B3B3B3"/>
          </w:tcPr>
          <w:p w:rsidR="00B070BF" w:rsidRPr="00827314" w:rsidRDefault="00B070BF" w:rsidP="00C33D4A">
            <w:pPr>
              <w:widowControl w:val="0"/>
              <w:rPr>
                <w:sz w:val="16"/>
                <w:szCs w:val="16"/>
                <w:lang w:bidi="th-TH"/>
              </w:rPr>
            </w:pPr>
            <w:r w:rsidRPr="00827314">
              <w:rPr>
                <w:sz w:val="16"/>
                <w:szCs w:val="16"/>
                <w:lang w:bidi="th-TH"/>
              </w:rPr>
              <w:t xml:space="preserve">No se dispone de datos. </w:t>
            </w:r>
          </w:p>
        </w:tc>
        <w:tc>
          <w:tcPr>
            <w:tcW w:w="893" w:type="pct"/>
            <w:shd w:val="clear" w:color="auto" w:fill="auto"/>
            <w:tcMar>
              <w:top w:w="110" w:type="dxa"/>
            </w:tcMar>
          </w:tcPr>
          <w:p w:rsidR="00B070BF" w:rsidRPr="00793D61" w:rsidRDefault="00B070BF" w:rsidP="00C33D4A">
            <w:pPr>
              <w:widowControl w:val="0"/>
              <w:rPr>
                <w:color w:val="943634"/>
                <w:sz w:val="16"/>
                <w:szCs w:val="16"/>
                <w:lang w:bidi="th-TH"/>
              </w:rPr>
            </w:pPr>
            <w:r w:rsidRPr="00793D61">
              <w:rPr>
                <w:color w:val="943634"/>
                <w:sz w:val="16"/>
                <w:szCs w:val="16"/>
                <w:lang w:bidi="th-TH"/>
              </w:rPr>
              <w:t>No se dispone de datos.</w:t>
            </w:r>
          </w:p>
        </w:tc>
        <w:tc>
          <w:tcPr>
            <w:tcW w:w="1825" w:type="pct"/>
            <w:gridSpan w:val="2"/>
            <w:shd w:val="clear" w:color="auto" w:fill="FFFFFF"/>
            <w:tcMar>
              <w:top w:w="110" w:type="dxa"/>
            </w:tcMar>
          </w:tcPr>
          <w:p w:rsidR="00B070BF" w:rsidRPr="00827314" w:rsidRDefault="00B070BF" w:rsidP="00C33D4A">
            <w:pPr>
              <w:widowControl w:val="0"/>
              <w:rPr>
                <w:sz w:val="16"/>
                <w:szCs w:val="16"/>
                <w:lang w:bidi="th-TH"/>
              </w:rPr>
            </w:pPr>
            <w:r w:rsidRPr="00827314">
              <w:rPr>
                <w:sz w:val="16"/>
                <w:szCs w:val="16"/>
                <w:lang w:bidi="th-TH"/>
              </w:rPr>
              <w:t>La encuesta correspondiente al año 2012 está en curso</w:t>
            </w:r>
          </w:p>
        </w:tc>
        <w:tc>
          <w:tcPr>
            <w:tcW w:w="647" w:type="pct"/>
            <w:shd w:val="clear" w:color="auto" w:fill="auto"/>
          </w:tcPr>
          <w:p w:rsidR="00B070BF" w:rsidRPr="00827314" w:rsidRDefault="00B070BF" w:rsidP="00C33D4A">
            <w:pPr>
              <w:widowControl w:val="0"/>
              <w:jc w:val="center"/>
              <w:rPr>
                <w:b/>
                <w:sz w:val="16"/>
                <w:szCs w:val="16"/>
              </w:rPr>
            </w:pPr>
            <w:r w:rsidRPr="00827314">
              <w:rPr>
                <w:b/>
                <w:sz w:val="16"/>
                <w:szCs w:val="16"/>
              </w:rPr>
              <w:t>No disponible para 2012”</w:t>
            </w:r>
          </w:p>
          <w:p w:rsidR="00B070BF" w:rsidRPr="00827314" w:rsidRDefault="00B070BF" w:rsidP="00C33D4A">
            <w:pPr>
              <w:widowControl w:val="0"/>
              <w:jc w:val="center"/>
              <w:rPr>
                <w:b/>
                <w:sz w:val="16"/>
                <w:szCs w:val="16"/>
              </w:rPr>
            </w:pPr>
          </w:p>
          <w:p w:rsidR="00B070BF" w:rsidRPr="00827314" w:rsidRDefault="00B070BF" w:rsidP="00C33D4A">
            <w:pPr>
              <w:widowControl w:val="0"/>
              <w:jc w:val="center"/>
              <w:rPr>
                <w:b/>
                <w:sz w:val="16"/>
                <w:szCs w:val="16"/>
              </w:rPr>
            </w:pPr>
          </w:p>
        </w:tc>
      </w:tr>
      <w:tr w:rsidR="00B070BF" w:rsidRPr="00827314" w:rsidTr="00C33D4A">
        <w:trPr>
          <w:cantSplit/>
          <w:trHeight w:val="2462"/>
        </w:trPr>
        <w:tc>
          <w:tcPr>
            <w:tcW w:w="852" w:type="pct"/>
            <w:shd w:val="clear" w:color="auto" w:fill="auto"/>
          </w:tcPr>
          <w:p w:rsidR="00B070BF" w:rsidRPr="00827314" w:rsidRDefault="00B070BF" w:rsidP="00C33D4A">
            <w:pPr>
              <w:widowControl w:val="0"/>
              <w:rPr>
                <w:sz w:val="16"/>
                <w:szCs w:val="16"/>
                <w:lang w:bidi="th-TH"/>
              </w:rPr>
            </w:pPr>
            <w:r w:rsidRPr="00827314">
              <w:rPr>
                <w:sz w:val="16"/>
                <w:szCs w:val="16"/>
                <w:lang w:bidi="th-TH"/>
              </w:rPr>
              <w:lastRenderedPageBreak/>
              <w:t>Porcentaje de países que consideraron útil la información proporcionada en relación con los principios y prácticas del sistema de patentes, y ello incluye las flexibilidades que ofrece el sistema y los desafíos que se plantean en la materia.</w:t>
            </w:r>
          </w:p>
        </w:tc>
        <w:tc>
          <w:tcPr>
            <w:tcW w:w="783" w:type="pct"/>
            <w:gridSpan w:val="2"/>
            <w:shd w:val="clear" w:color="auto" w:fill="B3B3B3"/>
          </w:tcPr>
          <w:p w:rsidR="00B070BF" w:rsidRPr="00827314" w:rsidRDefault="00B070BF" w:rsidP="00C33D4A">
            <w:pPr>
              <w:widowControl w:val="0"/>
              <w:rPr>
                <w:sz w:val="16"/>
                <w:szCs w:val="16"/>
                <w:lang w:bidi="th-TH"/>
              </w:rPr>
            </w:pPr>
            <w:r w:rsidRPr="00827314">
              <w:rPr>
                <w:sz w:val="16"/>
                <w:szCs w:val="16"/>
                <w:lang w:bidi="th-TH"/>
              </w:rPr>
              <w:t>No se dispone de datos.</w:t>
            </w:r>
          </w:p>
        </w:tc>
        <w:tc>
          <w:tcPr>
            <w:tcW w:w="893" w:type="pct"/>
            <w:shd w:val="clear" w:color="auto" w:fill="auto"/>
            <w:tcMar>
              <w:top w:w="110" w:type="dxa"/>
            </w:tcMar>
          </w:tcPr>
          <w:p w:rsidR="00B070BF" w:rsidRPr="00793D61" w:rsidRDefault="00B070BF" w:rsidP="00C33D4A">
            <w:pPr>
              <w:widowControl w:val="0"/>
              <w:rPr>
                <w:color w:val="943634"/>
                <w:sz w:val="16"/>
                <w:szCs w:val="16"/>
                <w:lang w:bidi="th-TH"/>
              </w:rPr>
            </w:pPr>
            <w:r w:rsidRPr="00793D61">
              <w:rPr>
                <w:color w:val="943634"/>
                <w:sz w:val="16"/>
                <w:szCs w:val="16"/>
                <w:lang w:bidi="th-TH"/>
              </w:rPr>
              <w:t>En los informes del SCP y del CDIP se recogen los comentarios recibidos de los Estados miembros (no se ofrecen estadísticas).</w:t>
            </w:r>
          </w:p>
        </w:tc>
        <w:tc>
          <w:tcPr>
            <w:tcW w:w="1825" w:type="pct"/>
            <w:gridSpan w:val="2"/>
            <w:shd w:val="clear" w:color="auto" w:fill="FFFFFF"/>
            <w:tcMar>
              <w:top w:w="110" w:type="dxa"/>
            </w:tcMar>
          </w:tcPr>
          <w:p w:rsidR="00B070BF" w:rsidRPr="00827314" w:rsidRDefault="00B070BF" w:rsidP="00C33D4A">
            <w:pPr>
              <w:widowControl w:val="0"/>
              <w:rPr>
                <w:sz w:val="16"/>
                <w:szCs w:val="16"/>
                <w:lang w:bidi="th-TH"/>
              </w:rPr>
            </w:pPr>
            <w:r w:rsidRPr="00827314">
              <w:rPr>
                <w:sz w:val="16"/>
                <w:szCs w:val="16"/>
                <w:lang w:bidi="th-TH"/>
              </w:rPr>
              <w:t>La mayoría de Estados miembros expresó satisfacción por la calidad de la información proporcionada.</w:t>
            </w:r>
          </w:p>
        </w:tc>
        <w:tc>
          <w:tcPr>
            <w:tcW w:w="647" w:type="pct"/>
            <w:shd w:val="clear" w:color="auto" w:fill="auto"/>
            <w:tcMar>
              <w:top w:w="110" w:type="dxa"/>
            </w:tcMar>
          </w:tcPr>
          <w:p w:rsidR="00B070BF" w:rsidRPr="00827314" w:rsidRDefault="00B070BF" w:rsidP="00C33D4A">
            <w:pPr>
              <w:widowControl w:val="0"/>
              <w:jc w:val="center"/>
              <w:rPr>
                <w:b/>
                <w:sz w:val="16"/>
                <w:szCs w:val="16"/>
              </w:rPr>
            </w:pPr>
            <w:r w:rsidRPr="009577DE">
              <w:rPr>
                <w:b/>
                <w:color w:val="008000"/>
                <w:sz w:val="16"/>
                <w:szCs w:val="16"/>
              </w:rPr>
              <w:t>Progresa con normalidad</w:t>
            </w:r>
          </w:p>
          <w:p w:rsidR="00B070BF" w:rsidRPr="00827314" w:rsidRDefault="00B070BF" w:rsidP="00C33D4A">
            <w:pPr>
              <w:widowControl w:val="0"/>
              <w:rPr>
                <w:bCs/>
                <w:sz w:val="16"/>
                <w:szCs w:val="16"/>
              </w:rPr>
            </w:pPr>
          </w:p>
          <w:p w:rsidR="00B070BF" w:rsidRPr="00827314" w:rsidRDefault="00B070BF" w:rsidP="00C33D4A">
            <w:pPr>
              <w:widowControl w:val="0"/>
              <w:spacing w:after="120"/>
              <w:rPr>
                <w:bCs/>
                <w:sz w:val="16"/>
                <w:szCs w:val="16"/>
              </w:rPr>
            </w:pPr>
          </w:p>
        </w:tc>
      </w:tr>
      <w:tr w:rsidR="00A53838" w:rsidRPr="00CD5F42" w:rsidTr="003E574D">
        <w:trPr>
          <w:cantSplit/>
        </w:trPr>
        <w:tc>
          <w:tcPr>
            <w:tcW w:w="5000" w:type="pct"/>
            <w:gridSpan w:val="7"/>
            <w:tcBorders>
              <w:top w:val="single" w:sz="4" w:space="0" w:color="auto"/>
              <w:bottom w:val="single" w:sz="4" w:space="0" w:color="auto"/>
            </w:tcBorders>
            <w:shd w:val="clear" w:color="auto" w:fill="CCFFFF"/>
            <w:vAlign w:val="center"/>
          </w:tcPr>
          <w:p w:rsidR="00A53838" w:rsidRPr="00CD5F42" w:rsidRDefault="00A53838" w:rsidP="003E574D">
            <w:pPr>
              <w:keepNext/>
              <w:keepLines/>
              <w:tabs>
                <w:tab w:val="left" w:pos="1452"/>
              </w:tabs>
              <w:spacing w:before="120" w:after="120"/>
              <w:ind w:left="1452" w:hanging="1452"/>
              <w:rPr>
                <w:b/>
                <w:bCs/>
                <w:sz w:val="16"/>
                <w:szCs w:val="16"/>
                <w:lang w:val="es-ES_tradnl"/>
              </w:rPr>
            </w:pPr>
            <w:r w:rsidRPr="00CD5F42">
              <w:rPr>
                <w:b/>
                <w:bCs/>
                <w:sz w:val="16"/>
                <w:szCs w:val="16"/>
                <w:lang w:val="es-ES_tradnl"/>
              </w:rPr>
              <w:t>Resultado previsto:</w:t>
            </w:r>
            <w:r w:rsidRPr="00CD5F42">
              <w:rPr>
                <w:b/>
                <w:bCs/>
                <w:sz w:val="16"/>
                <w:szCs w:val="16"/>
                <w:lang w:val="es-ES_tradnl"/>
              </w:rPr>
              <w:tab/>
            </w:r>
            <w:r w:rsidRPr="00CD5F42">
              <w:rPr>
                <w:bCs/>
                <w:sz w:val="16"/>
                <w:szCs w:val="16"/>
                <w:lang w:val="es-ES_tradnl"/>
              </w:rPr>
              <w:t xml:space="preserve"> Marcos de P.I. adaptados y equilibrados en el ámbito legislativo, regulador y de política.</w:t>
            </w:r>
            <w:r w:rsidRPr="00CD5F42">
              <w:rPr>
                <w:sz w:val="16"/>
                <w:szCs w:val="16"/>
                <w:lang w:val="es-ES_tradnl" w:bidi="th-TH"/>
              </w:rPr>
              <w:t xml:space="preserve">  </w:t>
            </w:r>
          </w:p>
        </w:tc>
      </w:tr>
      <w:tr w:rsidR="00A53838" w:rsidRPr="00242A95" w:rsidTr="003E574D">
        <w:trPr>
          <w:cantSplit/>
        </w:trPr>
        <w:tc>
          <w:tcPr>
            <w:tcW w:w="871" w:type="pct"/>
            <w:gridSpan w:val="2"/>
            <w:tcBorders>
              <w:top w:val="single" w:sz="4" w:space="0" w:color="auto"/>
            </w:tcBorders>
            <w:shd w:val="clear" w:color="auto" w:fill="auto"/>
            <w:vAlign w:val="center"/>
          </w:tcPr>
          <w:p w:rsidR="00A53838" w:rsidRPr="00CD5F42" w:rsidRDefault="00A53838" w:rsidP="003E574D">
            <w:pPr>
              <w:spacing w:after="120"/>
              <w:rPr>
                <w:sz w:val="16"/>
                <w:szCs w:val="16"/>
              </w:rPr>
            </w:pPr>
            <w:r w:rsidRPr="00CD5F42">
              <w:rPr>
                <w:b/>
                <w:bCs/>
                <w:sz w:val="16"/>
                <w:szCs w:val="16"/>
                <w:lang w:val="es-ES_tradnl"/>
              </w:rPr>
              <w:t>Indicadores de rendimiento</w:t>
            </w:r>
          </w:p>
        </w:tc>
        <w:tc>
          <w:tcPr>
            <w:tcW w:w="764" w:type="pct"/>
            <w:tcBorders>
              <w:top w:val="single" w:sz="4" w:space="0" w:color="auto"/>
            </w:tcBorders>
            <w:shd w:val="clear" w:color="auto" w:fill="C0C0C0"/>
          </w:tcPr>
          <w:p w:rsidR="00A53838" w:rsidRPr="00CD5F42" w:rsidRDefault="00A53838" w:rsidP="003E574D">
            <w:pPr>
              <w:spacing w:after="120"/>
              <w:rPr>
                <w:b/>
                <w:bCs/>
                <w:sz w:val="16"/>
                <w:szCs w:val="16"/>
              </w:rPr>
            </w:pPr>
            <w:r w:rsidRPr="00CD5F42">
              <w:rPr>
                <w:b/>
                <w:bCs/>
                <w:sz w:val="16"/>
                <w:szCs w:val="16"/>
                <w:lang w:val="es-ES_tradnl"/>
              </w:rPr>
              <w:t>Referencia (</w:t>
            </w:r>
            <w:proofErr w:type="spellStart"/>
            <w:r w:rsidRPr="00CD5F42">
              <w:rPr>
                <w:b/>
                <w:bCs/>
                <w:sz w:val="16"/>
                <w:szCs w:val="16"/>
                <w:lang w:val="es-ES_tradnl"/>
              </w:rPr>
              <w:t>Presup</w:t>
            </w:r>
            <w:proofErr w:type="spellEnd"/>
            <w:r w:rsidRPr="00CD5F42">
              <w:rPr>
                <w:b/>
                <w:bCs/>
                <w:sz w:val="16"/>
                <w:szCs w:val="16"/>
                <w:lang w:val="es-ES_tradnl"/>
              </w:rPr>
              <w:t xml:space="preserve">. por </w:t>
            </w:r>
            <w:proofErr w:type="spellStart"/>
            <w:r w:rsidRPr="00CD5F42">
              <w:rPr>
                <w:b/>
                <w:bCs/>
                <w:sz w:val="16"/>
                <w:szCs w:val="16"/>
                <w:lang w:val="es-ES_tradnl"/>
              </w:rPr>
              <w:t>prog</w:t>
            </w:r>
            <w:proofErr w:type="spellEnd"/>
            <w:r w:rsidRPr="00CD5F42">
              <w:rPr>
                <w:b/>
                <w:bCs/>
                <w:sz w:val="16"/>
                <w:szCs w:val="16"/>
                <w:lang w:val="es-ES_tradnl"/>
              </w:rPr>
              <w:t>. 2012/13)</w:t>
            </w:r>
          </w:p>
        </w:tc>
        <w:tc>
          <w:tcPr>
            <w:tcW w:w="954" w:type="pct"/>
            <w:gridSpan w:val="2"/>
            <w:tcBorders>
              <w:top w:val="single" w:sz="4" w:space="0" w:color="auto"/>
            </w:tcBorders>
            <w:shd w:val="clear" w:color="auto" w:fill="auto"/>
            <w:tcMar>
              <w:top w:w="110" w:type="dxa"/>
            </w:tcMar>
            <w:vAlign w:val="center"/>
          </w:tcPr>
          <w:p w:rsidR="00A53838" w:rsidRPr="000C44AF" w:rsidRDefault="00A53838" w:rsidP="003E574D">
            <w:pPr>
              <w:spacing w:after="120"/>
              <w:rPr>
                <w:b/>
                <w:color w:val="993300"/>
                <w:sz w:val="16"/>
                <w:szCs w:val="16"/>
                <w:lang w:val="es-ES_tradnl"/>
              </w:rPr>
            </w:pPr>
            <w:r w:rsidRPr="00A27062">
              <w:rPr>
                <w:b/>
                <w:color w:val="993300"/>
                <w:sz w:val="16"/>
                <w:szCs w:val="16"/>
              </w:rPr>
              <w:t>Referencia actualizada a finales de 2011</w:t>
            </w:r>
            <w:r w:rsidRPr="000C44AF">
              <w:rPr>
                <w:b/>
                <w:color w:val="993300"/>
                <w:sz w:val="16"/>
                <w:szCs w:val="16"/>
                <w:lang w:val="es-ES_tradnl"/>
              </w:rPr>
              <w:t xml:space="preserve"> </w:t>
            </w:r>
          </w:p>
        </w:tc>
        <w:tc>
          <w:tcPr>
            <w:tcW w:w="1764" w:type="pct"/>
            <w:tcBorders>
              <w:top w:val="single" w:sz="4" w:space="0" w:color="auto"/>
            </w:tcBorders>
            <w:shd w:val="clear" w:color="auto" w:fill="FFFFFF"/>
            <w:tcMar>
              <w:top w:w="110" w:type="dxa"/>
            </w:tcMar>
            <w:vAlign w:val="center"/>
          </w:tcPr>
          <w:p w:rsidR="00A53838" w:rsidRPr="00CD5F42" w:rsidRDefault="00A53838" w:rsidP="003E574D">
            <w:pPr>
              <w:spacing w:after="120"/>
              <w:ind w:left="-101"/>
              <w:rPr>
                <w:sz w:val="16"/>
                <w:szCs w:val="16"/>
              </w:rPr>
            </w:pPr>
            <w:r w:rsidRPr="00CD5F42">
              <w:rPr>
                <w:b/>
                <w:bCs/>
                <w:sz w:val="16"/>
                <w:szCs w:val="16"/>
                <w:lang w:val="es-ES_tradnl"/>
              </w:rPr>
              <w:t>Datos sobre el rendimiento</w:t>
            </w:r>
          </w:p>
        </w:tc>
        <w:tc>
          <w:tcPr>
            <w:tcW w:w="647" w:type="pct"/>
            <w:tcBorders>
              <w:top w:val="single" w:sz="4" w:space="0" w:color="auto"/>
            </w:tcBorders>
            <w:shd w:val="clear" w:color="auto" w:fill="auto"/>
            <w:tcMar>
              <w:top w:w="110" w:type="dxa"/>
            </w:tcMar>
            <w:vAlign w:val="center"/>
          </w:tcPr>
          <w:p w:rsidR="00A53838" w:rsidRPr="00CD5F42" w:rsidRDefault="00A53838" w:rsidP="003E574D">
            <w:pPr>
              <w:keepNext/>
              <w:keepLines/>
              <w:spacing w:after="120"/>
              <w:jc w:val="center"/>
              <w:rPr>
                <w:b/>
                <w:bCs/>
                <w:sz w:val="16"/>
                <w:szCs w:val="16"/>
              </w:rPr>
            </w:pPr>
            <w:r w:rsidRPr="00CD5F42">
              <w:rPr>
                <w:b/>
                <w:bCs/>
                <w:sz w:val="16"/>
                <w:szCs w:val="16"/>
                <w:lang w:val="es-ES_tradnl"/>
              </w:rPr>
              <w:t>Clave de colores</w:t>
            </w:r>
          </w:p>
        </w:tc>
      </w:tr>
      <w:tr w:rsidR="00A53838" w:rsidRPr="000C44AF" w:rsidTr="003E574D">
        <w:trPr>
          <w:cantSplit/>
        </w:trPr>
        <w:tc>
          <w:tcPr>
            <w:tcW w:w="871" w:type="pct"/>
            <w:gridSpan w:val="2"/>
            <w:shd w:val="clear" w:color="auto" w:fill="auto"/>
          </w:tcPr>
          <w:p w:rsidR="00A53838" w:rsidRPr="00CD5F42" w:rsidRDefault="00A53838" w:rsidP="003E574D">
            <w:pPr>
              <w:rPr>
                <w:sz w:val="16"/>
                <w:szCs w:val="16"/>
                <w:lang w:val="es-ES_tradnl" w:bidi="th-TH"/>
              </w:rPr>
            </w:pPr>
            <w:r w:rsidRPr="00CD5F42">
              <w:rPr>
                <w:sz w:val="16"/>
                <w:szCs w:val="16"/>
                <w:lang w:val="es-ES_tradnl" w:bidi="th-TH"/>
              </w:rPr>
              <w:t xml:space="preserve">Porcentaje de participantes en talleres/seminarios sobre cuestiones específicas relacionadas con las patentes que expresaron satisfacción al respecto. </w:t>
            </w:r>
          </w:p>
        </w:tc>
        <w:tc>
          <w:tcPr>
            <w:tcW w:w="764" w:type="pct"/>
            <w:shd w:val="clear" w:color="auto" w:fill="B3B3B3"/>
          </w:tcPr>
          <w:p w:rsidR="00A53838" w:rsidRPr="00CD5F42" w:rsidRDefault="00A53838" w:rsidP="003E574D">
            <w:pPr>
              <w:rPr>
                <w:sz w:val="16"/>
                <w:szCs w:val="16"/>
                <w:lang w:val="es-ES_tradnl" w:bidi="th-TH"/>
              </w:rPr>
            </w:pPr>
            <w:r w:rsidRPr="00CD5F42">
              <w:rPr>
                <w:sz w:val="16"/>
                <w:szCs w:val="16"/>
                <w:lang w:val="es-ES_tradnl" w:bidi="th-TH"/>
              </w:rPr>
              <w:t>No se dispone de datos.</w:t>
            </w:r>
          </w:p>
        </w:tc>
        <w:tc>
          <w:tcPr>
            <w:tcW w:w="954" w:type="pct"/>
            <w:gridSpan w:val="2"/>
            <w:shd w:val="clear" w:color="auto" w:fill="auto"/>
            <w:tcMar>
              <w:top w:w="110" w:type="dxa"/>
            </w:tcMar>
          </w:tcPr>
          <w:p w:rsidR="00A53838" w:rsidRPr="000C44AF" w:rsidRDefault="00A53838" w:rsidP="003E574D">
            <w:pPr>
              <w:rPr>
                <w:color w:val="993300"/>
                <w:sz w:val="16"/>
                <w:szCs w:val="16"/>
                <w:lang w:val="es-ES_tradnl" w:bidi="th-TH"/>
              </w:rPr>
            </w:pPr>
            <w:r w:rsidRPr="00A27062">
              <w:rPr>
                <w:color w:val="993300"/>
                <w:sz w:val="16"/>
                <w:szCs w:val="16"/>
                <w:lang w:bidi="th-TH"/>
              </w:rPr>
              <w:t>No se dispone de datos.</w:t>
            </w:r>
          </w:p>
        </w:tc>
        <w:tc>
          <w:tcPr>
            <w:tcW w:w="1764" w:type="pct"/>
            <w:shd w:val="clear" w:color="auto" w:fill="FFFFFF"/>
            <w:tcMar>
              <w:top w:w="110" w:type="dxa"/>
            </w:tcMar>
          </w:tcPr>
          <w:p w:rsidR="00A53838" w:rsidRPr="00F979E0" w:rsidRDefault="00A53838" w:rsidP="003E574D">
            <w:pPr>
              <w:widowControl w:val="0"/>
              <w:spacing w:after="80"/>
              <w:ind w:left="-101"/>
              <w:rPr>
                <w:sz w:val="16"/>
                <w:szCs w:val="16"/>
                <w:lang w:val="es-ES_tradnl" w:bidi="th-TH"/>
              </w:rPr>
            </w:pPr>
            <w:r w:rsidRPr="00F979E0">
              <w:rPr>
                <w:sz w:val="16"/>
                <w:szCs w:val="16"/>
                <w:lang w:val="es-ES_tradnl" w:bidi="th-TH"/>
              </w:rPr>
              <w:t xml:space="preserve">Taller nacional sobre la política de patentes y su aplicación legislativa (Costa Rica, septiembre de 2012) (92,5%). </w:t>
            </w:r>
          </w:p>
          <w:p w:rsidR="00A53838" w:rsidRPr="00F979E0" w:rsidRDefault="00A53838" w:rsidP="003E574D">
            <w:pPr>
              <w:ind w:left="-101"/>
              <w:rPr>
                <w:sz w:val="16"/>
                <w:szCs w:val="16"/>
                <w:lang w:val="es-ES_tradnl"/>
              </w:rPr>
            </w:pPr>
          </w:p>
          <w:p w:rsidR="00A53838" w:rsidRPr="00F979E0" w:rsidRDefault="00A53838" w:rsidP="003E574D">
            <w:pPr>
              <w:ind w:left="-101"/>
              <w:rPr>
                <w:sz w:val="16"/>
                <w:szCs w:val="16"/>
              </w:rPr>
            </w:pPr>
            <w:r w:rsidRPr="00F979E0">
              <w:rPr>
                <w:sz w:val="16"/>
                <w:szCs w:val="16"/>
                <w:lang w:val="es-ES_tradnl" w:bidi="th-TH"/>
              </w:rPr>
              <w:t>Taller subregional sobre la protección de la invención en el sector farmacéutico</w:t>
            </w:r>
            <w:proofErr w:type="gramStart"/>
            <w:r w:rsidRPr="00F979E0">
              <w:rPr>
                <w:sz w:val="16"/>
                <w:szCs w:val="16"/>
                <w:lang w:val="es-ES_tradnl" w:bidi="th-TH"/>
              </w:rPr>
              <w:t>:  patentes</w:t>
            </w:r>
            <w:proofErr w:type="gramEnd"/>
            <w:r w:rsidRPr="00F979E0">
              <w:rPr>
                <w:sz w:val="16"/>
                <w:szCs w:val="16"/>
                <w:lang w:val="es-ES_tradnl" w:bidi="th-TH"/>
              </w:rPr>
              <w:t xml:space="preserve">, información no divulgada y políticas de salud (Riad (Arabia Saudita), octubre de 2012) (96,7%). </w:t>
            </w:r>
          </w:p>
          <w:p w:rsidR="00A53838" w:rsidRPr="00F979E0" w:rsidRDefault="00A53838" w:rsidP="003E574D">
            <w:pPr>
              <w:ind w:left="-101"/>
              <w:rPr>
                <w:sz w:val="16"/>
                <w:szCs w:val="16"/>
              </w:rPr>
            </w:pPr>
          </w:p>
          <w:p w:rsidR="00A53838" w:rsidRPr="00F979E0" w:rsidRDefault="00A53838" w:rsidP="003E574D">
            <w:pPr>
              <w:ind w:left="-101"/>
              <w:rPr>
                <w:sz w:val="16"/>
                <w:szCs w:val="16"/>
                <w:lang w:val="es-ES_tradnl"/>
              </w:rPr>
            </w:pPr>
            <w:r w:rsidRPr="00F979E0">
              <w:rPr>
                <w:sz w:val="16"/>
                <w:szCs w:val="16"/>
                <w:lang w:val="es-ES_tradnl" w:bidi="th-TH"/>
              </w:rPr>
              <w:t>Seminario regional sobre los aspectos legislativos, económicos y de política del sistema de protección de los modelos de utilidad (Kuala Lumpur (Malasia), septiembre de 2012) (100%)</w:t>
            </w:r>
          </w:p>
          <w:p w:rsidR="00A53838" w:rsidRPr="00F979E0" w:rsidRDefault="00A53838" w:rsidP="003E574D">
            <w:pPr>
              <w:ind w:left="-101"/>
              <w:rPr>
                <w:sz w:val="16"/>
                <w:szCs w:val="16"/>
                <w:lang w:val="es-ES_tradnl"/>
              </w:rPr>
            </w:pPr>
          </w:p>
          <w:p w:rsidR="00A53838" w:rsidRPr="00F979E0" w:rsidRDefault="00A53838" w:rsidP="003E574D">
            <w:pPr>
              <w:ind w:left="-101"/>
              <w:rPr>
                <w:sz w:val="16"/>
                <w:szCs w:val="16"/>
                <w:lang w:val="es-ES_tradnl"/>
              </w:rPr>
            </w:pPr>
            <w:r w:rsidRPr="00F979E0">
              <w:rPr>
                <w:sz w:val="16"/>
                <w:szCs w:val="16"/>
                <w:lang w:val="es-ES_tradnl" w:bidi="th-TH"/>
              </w:rPr>
              <w:t>Curso de formación sobre Derecho y examen de patentes (República de Corea);  coloquio OMPI-OMC para enseñantes de propiedad intelectual (Ginebra);  seminario interregional de nivel intermedio sobre propiedad industrial (Ginebra)</w:t>
            </w:r>
            <w:r w:rsidRPr="00F979E0">
              <w:rPr>
                <w:sz w:val="16"/>
                <w:szCs w:val="16"/>
                <w:lang w:val="es-ES_tradnl"/>
              </w:rPr>
              <w:t xml:space="preserve">. </w:t>
            </w:r>
            <w:r w:rsidRPr="00F979E0">
              <w:rPr>
                <w:sz w:val="16"/>
                <w:szCs w:val="16"/>
                <w:lang w:val="es-ES_tradnl" w:bidi="th-TH"/>
              </w:rPr>
              <w:t>Todos los participantes expresaron su satisfacción con los talleres y seminarios a los que habían asistido (100%</w:t>
            </w:r>
            <w:r w:rsidRPr="00F979E0">
              <w:rPr>
                <w:sz w:val="16"/>
                <w:szCs w:val="16"/>
                <w:lang w:val="es-ES_tradnl"/>
              </w:rPr>
              <w:t xml:space="preserve">). </w:t>
            </w:r>
          </w:p>
          <w:p w:rsidR="00A53838" w:rsidRPr="00F979E0" w:rsidRDefault="00A53838" w:rsidP="003E574D">
            <w:pPr>
              <w:ind w:left="-101"/>
              <w:rPr>
                <w:color w:val="2034F4"/>
                <w:sz w:val="16"/>
                <w:szCs w:val="16"/>
                <w:lang w:val="es-ES_tradnl"/>
              </w:rPr>
            </w:pPr>
          </w:p>
        </w:tc>
        <w:tc>
          <w:tcPr>
            <w:tcW w:w="647" w:type="pct"/>
            <w:shd w:val="clear" w:color="auto" w:fill="auto"/>
          </w:tcPr>
          <w:p w:rsidR="00A53838" w:rsidRDefault="00A53838" w:rsidP="003E574D">
            <w:pPr>
              <w:keepNext/>
              <w:keepLines/>
              <w:jc w:val="center"/>
              <w:rPr>
                <w:b/>
                <w:color w:val="008000"/>
                <w:sz w:val="16"/>
                <w:szCs w:val="16"/>
              </w:rPr>
            </w:pPr>
            <w:r w:rsidRPr="000C44AF">
              <w:rPr>
                <w:b/>
                <w:color w:val="008000"/>
                <w:sz w:val="16"/>
                <w:szCs w:val="16"/>
                <w:lang w:val="es-ES_tradnl"/>
              </w:rPr>
              <w:t>Progresa con normalidad</w:t>
            </w:r>
          </w:p>
          <w:p w:rsidR="00A53838" w:rsidRDefault="00A53838" w:rsidP="003E574D">
            <w:pPr>
              <w:keepNext/>
              <w:keepLines/>
              <w:jc w:val="center"/>
              <w:rPr>
                <w:bCs/>
                <w:color w:val="008000"/>
                <w:sz w:val="16"/>
                <w:szCs w:val="16"/>
              </w:rPr>
            </w:pPr>
          </w:p>
          <w:p w:rsidR="00A53838" w:rsidRPr="000C44AF" w:rsidRDefault="00A53838" w:rsidP="003E574D">
            <w:pPr>
              <w:keepNext/>
              <w:keepLines/>
              <w:jc w:val="center"/>
              <w:rPr>
                <w:bCs/>
                <w:color w:val="333333"/>
                <w:sz w:val="16"/>
                <w:szCs w:val="16"/>
              </w:rPr>
            </w:pPr>
          </w:p>
        </w:tc>
      </w:tr>
    </w:tbl>
    <w:p w:rsidR="00A53838" w:rsidRDefault="00A53838" w:rsidP="00B070BF">
      <w:pPr>
        <w:widowControl w:val="0"/>
        <w:rPr>
          <w:sz w:val="18"/>
          <w:szCs w:val="18"/>
        </w:rPr>
      </w:pPr>
    </w:p>
    <w:p w:rsidR="00A53838" w:rsidRPr="00827314" w:rsidRDefault="00A53838" w:rsidP="00B070BF">
      <w:pPr>
        <w:widowControl w:val="0"/>
        <w:rPr>
          <w:sz w:val="18"/>
          <w:szCs w:val="18"/>
        </w:rPr>
      </w:pPr>
    </w:p>
    <w:p w:rsidR="00B070BF" w:rsidRPr="00827314" w:rsidRDefault="00B070BF" w:rsidP="00B070BF">
      <w:pPr>
        <w:widowControl w:val="0"/>
        <w:rPr>
          <w:sz w:val="20"/>
          <w:szCs w:val="22"/>
        </w:rPr>
      </w:pPr>
      <w:r w:rsidRPr="00827314">
        <w:rPr>
          <w:sz w:val="20"/>
          <w:szCs w:val="22"/>
        </w:rPr>
        <w:t>PRESUPUESTO Y GASTOS REALES</w:t>
      </w:r>
    </w:p>
    <w:p w:rsidR="00B070BF" w:rsidRDefault="00B070BF" w:rsidP="00B070BF">
      <w:pPr>
        <w:widowControl w:val="0"/>
        <w:rPr>
          <w:sz w:val="20"/>
          <w:szCs w:val="22"/>
        </w:rPr>
      </w:pPr>
    </w:p>
    <w:p w:rsidR="00B070BF" w:rsidRPr="0028075A" w:rsidRDefault="00B070BF" w:rsidP="00B070BF">
      <w:pPr>
        <w:widowControl w:val="0"/>
        <w:jc w:val="center"/>
        <w:rPr>
          <w:sz w:val="20"/>
        </w:rPr>
      </w:pPr>
      <w:r w:rsidRPr="0028075A">
        <w:rPr>
          <w:sz w:val="20"/>
        </w:rPr>
        <w:t>Presupuesto y gastos reales (por resultado)</w:t>
      </w:r>
    </w:p>
    <w:p w:rsidR="00B070BF" w:rsidRPr="00827314" w:rsidRDefault="00B070BF" w:rsidP="00B070BF">
      <w:pPr>
        <w:widowControl w:val="0"/>
        <w:jc w:val="center"/>
        <w:rPr>
          <w:szCs w:val="22"/>
        </w:rPr>
      </w:pPr>
      <w:r w:rsidRPr="0028075A">
        <w:rPr>
          <w:i/>
          <w:iCs/>
          <w:sz w:val="20"/>
        </w:rPr>
        <w:t>(en miles de francos suizos)</w:t>
      </w:r>
      <w:r w:rsidRPr="0028075A">
        <w:rPr>
          <w:i/>
          <w:iCs/>
          <w:sz w:val="20"/>
        </w:rPr>
        <w:br/>
      </w:r>
      <w:r w:rsidRPr="0028075A">
        <w:rPr>
          <w:i/>
          <w:iCs/>
          <w:sz w:val="20"/>
        </w:rPr>
        <w:br/>
      </w:r>
      <w:r>
        <w:rPr>
          <w:noProof/>
          <w:lang w:val="en-US" w:eastAsia="en-US"/>
        </w:rPr>
        <w:drawing>
          <wp:inline distT="0" distB="0" distL="0" distR="0" wp14:anchorId="3DBBBAD5" wp14:editId="65FB5651">
            <wp:extent cx="5273749" cy="2302408"/>
            <wp:effectExtent l="0" t="0" r="3175" b="3175"/>
            <wp:docPr id="190" name="Picture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84615" cy="2307152"/>
                    </a:xfrm>
                    <a:prstGeom prst="rect">
                      <a:avLst/>
                    </a:prstGeom>
                    <a:noFill/>
                    <a:ln>
                      <a:noFill/>
                    </a:ln>
                  </pic:spPr>
                </pic:pic>
              </a:graphicData>
            </a:graphic>
          </wp:inline>
        </w:drawing>
      </w:r>
    </w:p>
    <w:p w:rsidR="00B070BF" w:rsidRPr="0028075A" w:rsidRDefault="00B070BF" w:rsidP="00B070BF">
      <w:pPr>
        <w:widowControl w:val="0"/>
        <w:rPr>
          <w:sz w:val="20"/>
        </w:rPr>
      </w:pPr>
    </w:p>
    <w:p w:rsidR="00B070BF" w:rsidRPr="0028075A" w:rsidRDefault="00B070BF" w:rsidP="00B070BF">
      <w:pPr>
        <w:widowControl w:val="0"/>
        <w:rPr>
          <w:sz w:val="20"/>
        </w:rPr>
      </w:pPr>
    </w:p>
    <w:p w:rsidR="00B070BF" w:rsidRPr="0028075A" w:rsidRDefault="00B070BF" w:rsidP="00B070BF">
      <w:pPr>
        <w:widowControl w:val="0"/>
        <w:jc w:val="center"/>
        <w:rPr>
          <w:sz w:val="20"/>
        </w:rPr>
      </w:pPr>
      <w:r w:rsidRPr="0028075A">
        <w:rPr>
          <w:sz w:val="20"/>
        </w:rPr>
        <w:t>Presupuesto y gastos reales (de personal y no relativos al personal)</w:t>
      </w:r>
    </w:p>
    <w:p w:rsidR="00B070BF" w:rsidRPr="00827314" w:rsidRDefault="00B070BF" w:rsidP="00B070BF">
      <w:pPr>
        <w:widowControl w:val="0"/>
        <w:jc w:val="center"/>
      </w:pPr>
      <w:r w:rsidRPr="0028075A">
        <w:rPr>
          <w:i/>
          <w:sz w:val="20"/>
        </w:rPr>
        <w:t>(en miles de francos suizos)</w:t>
      </w:r>
      <w:r w:rsidRPr="0028075A">
        <w:rPr>
          <w:sz w:val="20"/>
        </w:rPr>
        <w:br/>
      </w:r>
      <w:r w:rsidRPr="0028075A">
        <w:rPr>
          <w:sz w:val="20"/>
        </w:rPr>
        <w:br/>
      </w:r>
      <w:r>
        <w:rPr>
          <w:noProof/>
          <w:lang w:val="en-US" w:eastAsia="en-US"/>
        </w:rPr>
        <w:drawing>
          <wp:inline distT="0" distB="0" distL="0" distR="0" wp14:anchorId="762B5291" wp14:editId="770B6927">
            <wp:extent cx="5902325" cy="1235075"/>
            <wp:effectExtent l="0" t="0" r="3175" b="3175"/>
            <wp:docPr id="189" name="Picture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02325" cy="1235075"/>
                    </a:xfrm>
                    <a:prstGeom prst="rect">
                      <a:avLst/>
                    </a:prstGeom>
                    <a:noFill/>
                    <a:ln>
                      <a:noFill/>
                    </a:ln>
                  </pic:spPr>
                </pic:pic>
              </a:graphicData>
            </a:graphic>
          </wp:inline>
        </w:drawing>
      </w:r>
    </w:p>
    <w:p w:rsidR="00B070BF" w:rsidRPr="00827314" w:rsidRDefault="00B070BF" w:rsidP="00B070BF">
      <w:pPr>
        <w:widowControl w:val="0"/>
        <w:autoSpaceDE w:val="0"/>
        <w:autoSpaceDN w:val="0"/>
        <w:adjustRightInd w:val="0"/>
        <w:rPr>
          <w:i/>
          <w:sz w:val="16"/>
          <w:szCs w:val="16"/>
          <w:u w:val="single"/>
        </w:rPr>
      </w:pPr>
    </w:p>
    <w:p w:rsidR="00B070BF" w:rsidRPr="0092207C" w:rsidRDefault="00B070BF" w:rsidP="00B070BF">
      <w:pPr>
        <w:widowControl w:val="0"/>
        <w:autoSpaceDE w:val="0"/>
        <w:autoSpaceDN w:val="0"/>
        <w:adjustRightInd w:val="0"/>
        <w:rPr>
          <w:sz w:val="16"/>
          <w:szCs w:val="16"/>
        </w:rPr>
      </w:pPr>
      <w:r w:rsidRPr="0092207C">
        <w:rPr>
          <w:sz w:val="16"/>
          <w:szCs w:val="16"/>
        </w:rPr>
        <w:t>NOTAS:</w:t>
      </w:r>
    </w:p>
    <w:p w:rsidR="00B070BF" w:rsidRPr="00827314" w:rsidRDefault="00B070BF" w:rsidP="00B070BF">
      <w:pPr>
        <w:widowControl w:val="0"/>
        <w:autoSpaceDE w:val="0"/>
        <w:autoSpaceDN w:val="0"/>
        <w:adjustRightInd w:val="0"/>
        <w:rPr>
          <w:sz w:val="16"/>
          <w:szCs w:val="16"/>
        </w:rPr>
      </w:pPr>
    </w:p>
    <w:p w:rsidR="00B070BF" w:rsidRPr="00827314" w:rsidRDefault="00B070BF" w:rsidP="00B070BF">
      <w:pPr>
        <w:widowControl w:val="0"/>
        <w:autoSpaceDE w:val="0"/>
        <w:autoSpaceDN w:val="0"/>
        <w:adjustRightInd w:val="0"/>
        <w:rPr>
          <w:sz w:val="16"/>
          <w:szCs w:val="16"/>
        </w:rPr>
      </w:pPr>
      <w:r w:rsidRPr="00827314">
        <w:rPr>
          <w:sz w:val="16"/>
          <w:szCs w:val="16"/>
        </w:rPr>
        <w:t>1) El presupuesto después de las transferencias refleja el presupuesto de los programas ajustado después de las transferencias efectuadas en 2012/13 en virtud del artículo 5.5 del Reglamento Financiero.</w:t>
      </w:r>
    </w:p>
    <w:p w:rsidR="00B070BF" w:rsidRPr="00827314" w:rsidRDefault="00B070BF" w:rsidP="00B070BF">
      <w:pPr>
        <w:widowControl w:val="0"/>
        <w:autoSpaceDE w:val="0"/>
        <w:autoSpaceDN w:val="0"/>
        <w:adjustRightInd w:val="0"/>
        <w:rPr>
          <w:sz w:val="16"/>
          <w:szCs w:val="16"/>
        </w:rPr>
      </w:pPr>
    </w:p>
    <w:p w:rsidR="00B070BF" w:rsidRPr="00827314" w:rsidRDefault="00B070BF" w:rsidP="00B070BF">
      <w:pPr>
        <w:widowControl w:val="0"/>
        <w:autoSpaceDE w:val="0"/>
        <w:autoSpaceDN w:val="0"/>
        <w:adjustRightInd w:val="0"/>
        <w:rPr>
          <w:sz w:val="16"/>
          <w:szCs w:val="16"/>
        </w:rPr>
      </w:pPr>
      <w:r w:rsidRPr="00827314">
        <w:rPr>
          <w:sz w:val="16"/>
          <w:szCs w:val="16"/>
        </w:rPr>
        <w:t xml:space="preserve">2) La asignación para el personal del presupuesto de 2012/13 después de las transferencias representa los gastos reales efectuados hasta el 31 de marzo de 2013 y los importes presupuestados para los nueve meses restantes de 2013, sobre la base de costos estándar. </w:t>
      </w:r>
    </w:p>
    <w:p w:rsidR="00B070BF" w:rsidRPr="00827314" w:rsidRDefault="00B070BF" w:rsidP="00B070BF">
      <w:pPr>
        <w:widowControl w:val="0"/>
        <w:autoSpaceDE w:val="0"/>
        <w:autoSpaceDN w:val="0"/>
        <w:adjustRightInd w:val="0"/>
        <w:rPr>
          <w:sz w:val="16"/>
          <w:szCs w:val="16"/>
        </w:rPr>
      </w:pPr>
    </w:p>
    <w:p w:rsidR="00B070BF" w:rsidRPr="00827314" w:rsidRDefault="00B070BF" w:rsidP="00B070BF">
      <w:pPr>
        <w:widowControl w:val="0"/>
        <w:autoSpaceDE w:val="0"/>
        <w:autoSpaceDN w:val="0"/>
        <w:adjustRightInd w:val="0"/>
        <w:rPr>
          <w:sz w:val="16"/>
          <w:szCs w:val="16"/>
        </w:rPr>
      </w:pPr>
      <w:r w:rsidRPr="00827314">
        <w:rPr>
          <w:sz w:val="16"/>
          <w:szCs w:val="16"/>
        </w:rPr>
        <w:t>3) La asignación no relativa al personal del presupuesto de 2012/13 después de las transferencias refleja los ajustes a la baja efectuados para aumentar la eficacia en función de los costos, de conformidad con el compromiso de la Organización de reducir gastos por un importe de 10,2 millones de francos suizos en el bienio 2012/13.</w:t>
      </w:r>
    </w:p>
    <w:p w:rsidR="00B070BF" w:rsidRPr="00DB72F8" w:rsidRDefault="00B070BF" w:rsidP="00B070BF">
      <w:pPr>
        <w:widowControl w:val="0"/>
        <w:jc w:val="both"/>
        <w:rPr>
          <w:rFonts w:eastAsia="Batang"/>
          <w:sz w:val="20"/>
          <w:lang w:eastAsia="ko-KR"/>
        </w:rPr>
      </w:pPr>
    </w:p>
    <w:p w:rsidR="00B070BF" w:rsidRPr="00DB72F8" w:rsidRDefault="00B070BF" w:rsidP="00B070BF">
      <w:pPr>
        <w:widowControl w:val="0"/>
        <w:jc w:val="both"/>
        <w:rPr>
          <w:rFonts w:eastAsia="Batang"/>
          <w:sz w:val="20"/>
          <w:lang w:eastAsia="ko-KR"/>
        </w:rPr>
      </w:pPr>
    </w:p>
    <w:p w:rsidR="00B070BF" w:rsidRPr="00827314" w:rsidRDefault="00B070BF" w:rsidP="00B070BF">
      <w:pPr>
        <w:widowControl w:val="0"/>
        <w:rPr>
          <w:sz w:val="20"/>
          <w:u w:val="single"/>
        </w:rPr>
      </w:pPr>
      <w:r>
        <w:rPr>
          <w:sz w:val="20"/>
        </w:rPr>
        <w:t xml:space="preserve">A.  </w:t>
      </w:r>
      <w:r w:rsidRPr="00827314">
        <w:rPr>
          <w:sz w:val="20"/>
          <w:u w:val="single"/>
        </w:rPr>
        <w:t>Presupuesto 2012/13 después de las transferencias</w:t>
      </w:r>
    </w:p>
    <w:p w:rsidR="00B070BF" w:rsidRPr="00827314" w:rsidRDefault="00B070BF" w:rsidP="00B070BF">
      <w:pPr>
        <w:widowControl w:val="0"/>
        <w:rPr>
          <w:sz w:val="20"/>
        </w:rPr>
      </w:pPr>
    </w:p>
    <w:p w:rsidR="00B070BF" w:rsidRPr="00827314" w:rsidRDefault="00B070BF" w:rsidP="00B070BF">
      <w:pPr>
        <w:widowControl w:val="0"/>
        <w:numPr>
          <w:ilvl w:val="0"/>
          <w:numId w:val="4"/>
        </w:numPr>
        <w:autoSpaceDE w:val="0"/>
        <w:autoSpaceDN w:val="0"/>
        <w:adjustRightInd w:val="0"/>
        <w:jc w:val="both"/>
        <w:rPr>
          <w:rFonts w:eastAsia="Batang"/>
          <w:sz w:val="20"/>
          <w:lang w:eastAsia="ko-KR"/>
        </w:rPr>
      </w:pPr>
      <w:r w:rsidRPr="00827314">
        <w:rPr>
          <w:rFonts w:eastAsia="Batang"/>
          <w:sz w:val="20"/>
          <w:lang w:eastAsia="ko-KR"/>
        </w:rPr>
        <w:t xml:space="preserve">El aumento general de recursos asignados al programa se debe a la asignación de recursos adicionales de personal principalmente al resultado 1.4 (Asesoramiento en el ámbito legislativo).   </w:t>
      </w:r>
    </w:p>
    <w:p w:rsidR="00B070BF" w:rsidRPr="00827314" w:rsidRDefault="00B070BF" w:rsidP="00B070BF">
      <w:pPr>
        <w:widowControl w:val="0"/>
        <w:jc w:val="both"/>
        <w:rPr>
          <w:rFonts w:eastAsia="Batang"/>
          <w:sz w:val="20"/>
          <w:lang w:eastAsia="ko-KR"/>
        </w:rPr>
      </w:pPr>
    </w:p>
    <w:p w:rsidR="00B070BF" w:rsidRPr="00827314" w:rsidRDefault="00B070BF" w:rsidP="00B070BF">
      <w:pPr>
        <w:widowControl w:val="0"/>
        <w:jc w:val="both"/>
        <w:rPr>
          <w:rFonts w:eastAsia="Batang"/>
          <w:sz w:val="20"/>
          <w:u w:val="single"/>
          <w:lang w:eastAsia="ko-KR"/>
        </w:rPr>
      </w:pPr>
      <w:r w:rsidRPr="00827314">
        <w:rPr>
          <w:rFonts w:eastAsia="Batang"/>
          <w:sz w:val="20"/>
          <w:lang w:eastAsia="ko-KR"/>
        </w:rPr>
        <w:t xml:space="preserve">B.  </w:t>
      </w:r>
      <w:r w:rsidRPr="00827314">
        <w:rPr>
          <w:rFonts w:eastAsia="Batang"/>
          <w:sz w:val="20"/>
          <w:u w:val="single"/>
          <w:lang w:eastAsia="ko-KR"/>
        </w:rPr>
        <w:t>Utilización del presupuesto 2012</w:t>
      </w:r>
    </w:p>
    <w:p w:rsidR="00B070BF" w:rsidRPr="00827314" w:rsidRDefault="00B070BF" w:rsidP="00B070BF">
      <w:pPr>
        <w:widowControl w:val="0"/>
        <w:jc w:val="both"/>
        <w:rPr>
          <w:rFonts w:eastAsia="Batang"/>
          <w:sz w:val="20"/>
          <w:lang w:eastAsia="ko-KR"/>
        </w:rPr>
      </w:pPr>
    </w:p>
    <w:p w:rsidR="00B070BF" w:rsidRPr="00827314" w:rsidRDefault="00B070BF" w:rsidP="00B070BF">
      <w:pPr>
        <w:widowControl w:val="0"/>
        <w:numPr>
          <w:ilvl w:val="0"/>
          <w:numId w:val="4"/>
        </w:numPr>
        <w:autoSpaceDE w:val="0"/>
        <w:autoSpaceDN w:val="0"/>
        <w:adjustRightInd w:val="0"/>
        <w:jc w:val="both"/>
        <w:rPr>
          <w:rFonts w:eastAsia="Batang"/>
          <w:sz w:val="20"/>
          <w:lang w:eastAsia="ko-KR"/>
        </w:rPr>
      </w:pPr>
      <w:r w:rsidRPr="00827314">
        <w:rPr>
          <w:rFonts w:eastAsia="Batang"/>
          <w:sz w:val="20"/>
          <w:lang w:eastAsia="ko-KR"/>
        </w:rPr>
        <w:t xml:space="preserve">La utilización del presupuesto se mantiene entre el 40% y el 60% en el primer año del bienio y progresa con normalidad.  La tasa de utilización de los recursos no relativos al personal fue baja a raíz del aplazamiento de la 19ª sesión del SCP de noviembre de 2012 a febrero de 2013, y del aplazamiento de un seminario regional organizado en Sudáfrica sobre las flexibilidades relacionadas con las patentes de noviembre de 2012 a principios de 2013. </w:t>
      </w:r>
    </w:p>
    <w:p w:rsidR="00B070BF" w:rsidRPr="00DB72F8" w:rsidRDefault="00B070BF" w:rsidP="00B070BF">
      <w:pPr>
        <w:pStyle w:val="Heading2"/>
        <w:ind w:left="2835" w:hanging="2835"/>
        <w:rPr>
          <w:b/>
        </w:rPr>
      </w:pPr>
      <w:r w:rsidRPr="00AB16BB">
        <w:rPr>
          <w:sz w:val="20"/>
        </w:rPr>
        <w:br w:type="page"/>
      </w:r>
      <w:bookmarkStart w:id="12" w:name="_Toc359846786"/>
      <w:bookmarkStart w:id="13" w:name="_Toc359949310"/>
      <w:r w:rsidRPr="00DB72F8">
        <w:rPr>
          <w:b/>
        </w:rPr>
        <w:lastRenderedPageBreak/>
        <w:t>PROGRAMA 2</w:t>
      </w:r>
      <w:r w:rsidRPr="00DB72F8">
        <w:rPr>
          <w:b/>
        </w:rPr>
        <w:tab/>
        <w:t>MARCAS, DIBUJOS Y MODELOS INDUSTRIALES E INDICACIONES GEOGRÁFICAS</w:t>
      </w:r>
      <w:bookmarkEnd w:id="12"/>
      <w:bookmarkEnd w:id="13"/>
    </w:p>
    <w:p w:rsidR="00B070BF" w:rsidRPr="00F658B8" w:rsidRDefault="00B070BF" w:rsidP="00B070BF">
      <w:pPr>
        <w:widowControl w:val="0"/>
        <w:rPr>
          <w:sz w:val="20"/>
        </w:rPr>
      </w:pPr>
    </w:p>
    <w:p w:rsidR="00B070BF" w:rsidRPr="00F658B8" w:rsidRDefault="00B070BF" w:rsidP="00B070BF">
      <w:pPr>
        <w:widowControl w:val="0"/>
        <w:rPr>
          <w:sz w:val="20"/>
        </w:rPr>
      </w:pPr>
    </w:p>
    <w:p w:rsidR="00B070BF" w:rsidRPr="00AB16BB" w:rsidRDefault="00B070BF" w:rsidP="00B070BF">
      <w:pPr>
        <w:widowControl w:val="0"/>
        <w:tabs>
          <w:tab w:val="left" w:pos="2268"/>
        </w:tabs>
        <w:rPr>
          <w:b/>
          <w:szCs w:val="22"/>
        </w:rPr>
      </w:pPr>
      <w:r w:rsidRPr="00AB16BB">
        <w:rPr>
          <w:b/>
          <w:szCs w:val="22"/>
        </w:rPr>
        <w:t>Directora del Programa</w:t>
      </w:r>
      <w:r w:rsidRPr="00AB16BB">
        <w:rPr>
          <w:b/>
          <w:szCs w:val="22"/>
        </w:rPr>
        <w:tab/>
        <w:t>Sra. Binying Wang</w:t>
      </w:r>
    </w:p>
    <w:p w:rsidR="00B070BF" w:rsidRPr="00AB16BB" w:rsidRDefault="00B070BF" w:rsidP="00B070BF">
      <w:pPr>
        <w:widowControl w:val="0"/>
        <w:rPr>
          <w:sz w:val="20"/>
        </w:rPr>
      </w:pPr>
    </w:p>
    <w:p w:rsidR="00B070BF" w:rsidRPr="00AB16BB" w:rsidRDefault="00B070BF" w:rsidP="00B070BF">
      <w:pPr>
        <w:widowControl w:val="0"/>
        <w:rPr>
          <w:bCs/>
          <w:sz w:val="20"/>
        </w:rPr>
      </w:pPr>
    </w:p>
    <w:p w:rsidR="00B070BF" w:rsidRPr="00AB16BB" w:rsidRDefault="00B070BF" w:rsidP="00B070BF">
      <w:pPr>
        <w:widowControl w:val="0"/>
        <w:spacing w:line="260" w:lineRule="atLeast"/>
        <w:rPr>
          <w:bCs/>
          <w:sz w:val="20"/>
        </w:rPr>
      </w:pPr>
      <w:r w:rsidRPr="00AB16BB">
        <w:rPr>
          <w:bCs/>
          <w:sz w:val="20"/>
        </w:rPr>
        <w:t>RESEÑA DE LOS AVANCES LOGRADOS EN 2012</w:t>
      </w:r>
    </w:p>
    <w:p w:rsidR="00B070BF" w:rsidRPr="00AB16BB" w:rsidRDefault="00B070BF" w:rsidP="00B070BF">
      <w:pPr>
        <w:widowControl w:val="0"/>
        <w:jc w:val="both"/>
        <w:rPr>
          <w:sz w:val="20"/>
        </w:rPr>
      </w:pPr>
    </w:p>
    <w:p w:rsidR="00B070BF" w:rsidRPr="00AB16BB" w:rsidRDefault="00B070BF" w:rsidP="00B070BF">
      <w:pPr>
        <w:widowControl w:val="0"/>
        <w:numPr>
          <w:ilvl w:val="0"/>
          <w:numId w:val="27"/>
        </w:numPr>
        <w:autoSpaceDE w:val="0"/>
        <w:autoSpaceDN w:val="0"/>
        <w:adjustRightInd w:val="0"/>
        <w:jc w:val="both"/>
        <w:rPr>
          <w:sz w:val="20"/>
        </w:rPr>
      </w:pPr>
      <w:r w:rsidRPr="00AB16BB">
        <w:rPr>
          <w:sz w:val="20"/>
        </w:rPr>
        <w:t>El Comité Permanente sobre el Derecho de Marcas, Diseños Industriales e Indicaciones Geográficas (SCT) obtuvo avances positivos en la labor encaminada a la consecución de un acuerdo internacional relativo a la legislación y práctica en materia de diseño industrial, con la exigencia de la Asamblea General de la OMPI de que agilice su labor con vistas a tomar una decisión en 2013 acerca de la celebración de una conferencia diplomática.  Del mismo modo, el SCT acordó proseguir con su labor en relación con la protección de los nombres de países.  Por otra parte, el SCT celebró una reunión informativa sobre la función y la responsabilidad de los intermediarios de Internet en el ámbito de las marcas, a raíz de la cual decidió no seguir adelante con la labor relativa a este particular.</w:t>
      </w:r>
    </w:p>
    <w:p w:rsidR="00B070BF" w:rsidRPr="00AB16BB" w:rsidRDefault="00B070BF" w:rsidP="00B070BF">
      <w:pPr>
        <w:widowControl w:val="0"/>
        <w:autoSpaceDE w:val="0"/>
        <w:autoSpaceDN w:val="0"/>
        <w:adjustRightInd w:val="0"/>
        <w:jc w:val="both"/>
        <w:rPr>
          <w:sz w:val="20"/>
        </w:rPr>
      </w:pPr>
    </w:p>
    <w:p w:rsidR="00B070BF" w:rsidRPr="00AB16BB" w:rsidRDefault="00B070BF" w:rsidP="00B070BF">
      <w:pPr>
        <w:widowControl w:val="0"/>
        <w:numPr>
          <w:ilvl w:val="0"/>
          <w:numId w:val="27"/>
        </w:numPr>
        <w:autoSpaceDE w:val="0"/>
        <w:autoSpaceDN w:val="0"/>
        <w:adjustRightInd w:val="0"/>
        <w:jc w:val="both"/>
        <w:rPr>
          <w:sz w:val="20"/>
        </w:rPr>
      </w:pPr>
      <w:r w:rsidRPr="00AB16BB">
        <w:rPr>
          <w:sz w:val="20"/>
        </w:rPr>
        <w:t>En cuanto al aumento de la protección de los emblemas de Estado y de los nombres y emblemas de organizaciones intergubernamentales internacionales en virtud del artículo 6</w:t>
      </w:r>
      <w:r w:rsidRPr="00AB16BB">
        <w:rPr>
          <w:i/>
          <w:sz w:val="20"/>
        </w:rPr>
        <w:t>ter</w:t>
      </w:r>
      <w:r w:rsidRPr="00AB16BB">
        <w:rPr>
          <w:sz w:val="20"/>
        </w:rPr>
        <w:t xml:space="preserve"> del Convenio de París, durante el período examinado las comunicaciones y las respuestas a las solicitudes progresaron con absoluta normalidad.  Las discrepancias entre el objetivo de solicitudes que se deben tramitar y el número de solicitudes tramitadas en realidad se deben a que en la fase de planificación se sobrestimó el número de solicitudes.</w:t>
      </w:r>
    </w:p>
    <w:p w:rsidR="00B070BF" w:rsidRPr="00AB16BB" w:rsidRDefault="00B070BF" w:rsidP="00B070BF">
      <w:pPr>
        <w:widowControl w:val="0"/>
        <w:rPr>
          <w:rFonts w:ascii="Times New Roman" w:eastAsia="Times New Roman" w:hAnsi="Times New Roman" w:cs="Times New Roman"/>
          <w:sz w:val="20"/>
          <w:lang w:eastAsia="en-US"/>
        </w:rPr>
      </w:pPr>
    </w:p>
    <w:p w:rsidR="00B070BF" w:rsidRPr="00AB16BB" w:rsidRDefault="00B070BF" w:rsidP="00B070BF">
      <w:pPr>
        <w:widowControl w:val="0"/>
        <w:numPr>
          <w:ilvl w:val="0"/>
          <w:numId w:val="27"/>
        </w:numPr>
        <w:autoSpaceDE w:val="0"/>
        <w:autoSpaceDN w:val="0"/>
        <w:adjustRightInd w:val="0"/>
        <w:jc w:val="both"/>
        <w:rPr>
          <w:sz w:val="20"/>
        </w:rPr>
      </w:pPr>
      <w:r w:rsidRPr="00AB16BB">
        <w:rPr>
          <w:sz w:val="20"/>
        </w:rPr>
        <w:t>En lo que respecta al establecimiento de marcos de P.I. adaptados y equilibrados en el ámbito legislativo, regulador y de política, el programa ha respondido de manera individualizada a 18 solicitudes relativas a la legislación en materia de diseño industrial e indicaciones geográficas.</w:t>
      </w:r>
    </w:p>
    <w:p w:rsidR="00B070BF" w:rsidRPr="00AB16BB" w:rsidRDefault="00B070BF" w:rsidP="00B070BF">
      <w:pPr>
        <w:widowControl w:val="0"/>
        <w:jc w:val="both"/>
        <w:rPr>
          <w:bCs/>
          <w:sz w:val="20"/>
        </w:rPr>
      </w:pPr>
    </w:p>
    <w:p w:rsidR="00B070BF" w:rsidRPr="00AB16BB" w:rsidRDefault="00B070BF" w:rsidP="00B070BF">
      <w:pPr>
        <w:widowControl w:val="0"/>
        <w:jc w:val="both"/>
        <w:rPr>
          <w:bCs/>
          <w:sz w:val="20"/>
        </w:rPr>
      </w:pPr>
    </w:p>
    <w:p w:rsidR="00B070BF" w:rsidRPr="00AB16BB" w:rsidRDefault="00B070BF" w:rsidP="00B070BF">
      <w:pPr>
        <w:widowControl w:val="0"/>
        <w:jc w:val="both"/>
        <w:rPr>
          <w:bCs/>
          <w:sz w:val="20"/>
        </w:rPr>
      </w:pPr>
      <w:r w:rsidRPr="00AB16BB">
        <w:rPr>
          <w:bCs/>
          <w:sz w:val="20"/>
        </w:rPr>
        <w:t>APLICACIÓN DE LA AGENDA PARA EL DESARROLLO</w:t>
      </w:r>
    </w:p>
    <w:p w:rsidR="00B070BF" w:rsidRPr="00AB16BB" w:rsidRDefault="00B070BF" w:rsidP="00B070BF">
      <w:pPr>
        <w:widowControl w:val="0"/>
        <w:autoSpaceDE w:val="0"/>
        <w:autoSpaceDN w:val="0"/>
        <w:adjustRightInd w:val="0"/>
        <w:rPr>
          <w:b/>
          <w:bCs/>
          <w:color w:val="000000"/>
          <w:sz w:val="20"/>
        </w:rPr>
      </w:pPr>
    </w:p>
    <w:p w:rsidR="00B070BF" w:rsidRPr="00AB16BB" w:rsidRDefault="00B070BF" w:rsidP="00B070BF">
      <w:pPr>
        <w:widowControl w:val="0"/>
        <w:numPr>
          <w:ilvl w:val="0"/>
          <w:numId w:val="27"/>
        </w:numPr>
        <w:autoSpaceDE w:val="0"/>
        <w:autoSpaceDN w:val="0"/>
        <w:adjustRightInd w:val="0"/>
        <w:jc w:val="both"/>
        <w:rPr>
          <w:rFonts w:eastAsia="MS Mincho"/>
          <w:bCs/>
          <w:sz w:val="20"/>
          <w:lang w:eastAsia="ja-JP" w:bidi="th-TH"/>
        </w:rPr>
      </w:pPr>
      <w:r w:rsidRPr="00AB16BB">
        <w:rPr>
          <w:rFonts w:eastAsia="MS Mincho"/>
          <w:bCs/>
          <w:sz w:val="20"/>
          <w:lang w:eastAsia="ja-JP" w:bidi="th-TH"/>
        </w:rPr>
        <w:t>El diseño, la planificación y la ejecución de las actividades del programa 2 se basaron en las recomendaciones pertinentes de la A.D. y se guiaron por ellas.  Las actividades normativas del programa dentro del SCT se siguieron caracterizando por ser inclusivas y estar orientadas hacia los miembros (recomendación 15).  Las negociaciones del SCT se basaron en consultas abiertas y equilibradas (recomendaciones 21 y 42).  Las actividades del programa en las esferas de la asistencia técnica, el fortalecimiento de capacidades y la asistencia legislativa estuvieron orientadas a potenciar el desarrollo, obedecieron a la demanda y fueron transparentes (recomendaciones 1 y 13).</w:t>
      </w:r>
    </w:p>
    <w:p w:rsidR="00B070BF" w:rsidRPr="00AB16BB" w:rsidRDefault="00B070BF" w:rsidP="00B070BF">
      <w:pPr>
        <w:widowControl w:val="0"/>
        <w:autoSpaceDE w:val="0"/>
        <w:autoSpaceDN w:val="0"/>
        <w:adjustRightInd w:val="0"/>
        <w:jc w:val="both"/>
        <w:rPr>
          <w:rFonts w:eastAsia="MS Mincho"/>
          <w:bCs/>
          <w:sz w:val="20"/>
          <w:lang w:eastAsia="ja-JP" w:bidi="th-TH"/>
        </w:rPr>
      </w:pPr>
    </w:p>
    <w:p w:rsidR="00B070BF" w:rsidRPr="00AB16BB" w:rsidRDefault="00B070BF" w:rsidP="00B070BF">
      <w:pPr>
        <w:widowControl w:val="0"/>
        <w:numPr>
          <w:ilvl w:val="0"/>
          <w:numId w:val="27"/>
        </w:numPr>
        <w:autoSpaceDE w:val="0"/>
        <w:autoSpaceDN w:val="0"/>
        <w:adjustRightInd w:val="0"/>
        <w:jc w:val="both"/>
        <w:rPr>
          <w:rFonts w:eastAsia="MS Mincho"/>
          <w:bCs/>
          <w:sz w:val="20"/>
          <w:lang w:eastAsia="ja-JP" w:bidi="th-TH"/>
        </w:rPr>
      </w:pPr>
      <w:r w:rsidRPr="00AB16BB">
        <w:rPr>
          <w:rFonts w:eastAsia="MS Mincho"/>
          <w:bCs/>
          <w:sz w:val="20"/>
          <w:lang w:eastAsia="ja-JP" w:bidi="th-TH"/>
        </w:rPr>
        <w:t>Además, en el marco del programa también se brindó asesoramiento al proyecto sobre P.I. y desarrollo de marcas de producto para el fomento de las empresas de los países en desarrollo y los PMA, se gestionó la elaboración de un estudio sobre la apropiación indebida de signos en el contexto del proyecto de la A.D. sobre propiedad intelectual y dominio público y se presentaron las conclusiones ante el CDIP.  El programa estuvo presente asimismo en la evaluación de este último proyecto.</w:t>
      </w:r>
    </w:p>
    <w:p w:rsidR="00B070BF" w:rsidRPr="00AB16BB" w:rsidRDefault="00B070BF" w:rsidP="00B070BF">
      <w:pPr>
        <w:widowControl w:val="0"/>
        <w:rPr>
          <w:rFonts w:eastAsia="MS Mincho"/>
          <w:sz w:val="20"/>
          <w:lang w:eastAsia="ja-JP" w:bidi="th-TH"/>
        </w:rPr>
      </w:pPr>
    </w:p>
    <w:p w:rsidR="00B070BF" w:rsidRPr="00AB16BB" w:rsidRDefault="00B070BF" w:rsidP="00B070BF">
      <w:pPr>
        <w:widowControl w:val="0"/>
        <w:rPr>
          <w:rFonts w:eastAsia="MS Mincho"/>
          <w:sz w:val="20"/>
          <w:lang w:eastAsia="ja-JP" w:bidi="th-TH"/>
        </w:rPr>
      </w:pPr>
    </w:p>
    <w:p w:rsidR="00B070BF" w:rsidRPr="00DB72F8" w:rsidRDefault="00B070BF" w:rsidP="00B070BF">
      <w:pPr>
        <w:widowControl w:val="0"/>
        <w:jc w:val="both"/>
        <w:rPr>
          <w:bCs/>
          <w:sz w:val="20"/>
        </w:rPr>
      </w:pPr>
      <w:r w:rsidRPr="00DB72F8">
        <w:rPr>
          <w:bCs/>
          <w:sz w:val="20"/>
        </w:rPr>
        <w:t>DATOS SOBRE EL RENDIMIENTO</w:t>
      </w:r>
    </w:p>
    <w:p w:rsidR="00B070BF" w:rsidRPr="00B25458" w:rsidRDefault="00B070BF" w:rsidP="00B070BF">
      <w:pPr>
        <w:widowControl w:val="0"/>
        <w:rPr>
          <w:sz w:val="20"/>
        </w:rPr>
      </w:pPr>
    </w:p>
    <w:tbl>
      <w:tblPr>
        <w:tblW w:w="5000" w:type="pct"/>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013"/>
        <w:gridCol w:w="2013"/>
        <w:gridCol w:w="1337"/>
        <w:gridCol w:w="2871"/>
        <w:gridCol w:w="1337"/>
      </w:tblGrid>
      <w:tr w:rsidR="00B070BF" w:rsidRPr="00827314" w:rsidTr="00C33D4A">
        <w:trPr>
          <w:cantSplit/>
        </w:trPr>
        <w:tc>
          <w:tcPr>
            <w:tcW w:w="5000" w:type="pct"/>
            <w:gridSpan w:val="5"/>
            <w:tcBorders>
              <w:top w:val="single" w:sz="4" w:space="0" w:color="auto"/>
              <w:bottom w:val="single" w:sz="4" w:space="0" w:color="auto"/>
            </w:tcBorders>
            <w:shd w:val="clear" w:color="auto" w:fill="CCFFFF"/>
            <w:vAlign w:val="center"/>
          </w:tcPr>
          <w:p w:rsidR="00B070BF" w:rsidRPr="00BF138D" w:rsidRDefault="00B070BF" w:rsidP="00C33D4A">
            <w:pPr>
              <w:widowControl w:val="0"/>
              <w:spacing w:before="120" w:after="120"/>
              <w:ind w:left="1735" w:hanging="1735"/>
              <w:rPr>
                <w:b/>
                <w:bCs/>
                <w:color w:val="993300"/>
                <w:sz w:val="16"/>
                <w:szCs w:val="16"/>
              </w:rPr>
            </w:pPr>
            <w:r w:rsidRPr="00827314">
              <w:rPr>
                <w:b/>
                <w:bCs/>
                <w:sz w:val="16"/>
                <w:szCs w:val="16"/>
              </w:rPr>
              <w:t>Resultado previsto:</w:t>
            </w:r>
            <w:r w:rsidRPr="00827314">
              <w:rPr>
                <w:b/>
                <w:bCs/>
                <w:sz w:val="16"/>
                <w:szCs w:val="16"/>
              </w:rPr>
              <w:tab/>
            </w:r>
            <w:r w:rsidRPr="00827314">
              <w:rPr>
                <w:bCs/>
                <w:sz w:val="16"/>
                <w:szCs w:val="16"/>
              </w:rPr>
              <w:t xml:space="preserve"> Mejor cooperación/mayor consenso entre los Estados miembros en lo que atañe a seguir elaborando marcos normativos y de política equilibrados para el sistema internacional de patentes, marcas, dibujos y modelos industriales, indicaciones geográficas, derechos de autor y derechos conexos CC.TT., ECT y RR.GG.</w:t>
            </w:r>
          </w:p>
        </w:tc>
      </w:tr>
      <w:tr w:rsidR="00B070BF" w:rsidRPr="00827314" w:rsidTr="00C33D4A">
        <w:trPr>
          <w:cantSplit/>
        </w:trPr>
        <w:tc>
          <w:tcPr>
            <w:tcW w:w="874" w:type="pct"/>
            <w:tcBorders>
              <w:top w:val="single" w:sz="4" w:space="0" w:color="auto"/>
            </w:tcBorders>
            <w:shd w:val="clear" w:color="auto" w:fill="auto"/>
            <w:vAlign w:val="center"/>
          </w:tcPr>
          <w:p w:rsidR="00B070BF" w:rsidRPr="00827314" w:rsidRDefault="00B070BF" w:rsidP="00C33D4A">
            <w:pPr>
              <w:widowControl w:val="0"/>
              <w:spacing w:after="120"/>
              <w:rPr>
                <w:sz w:val="16"/>
                <w:szCs w:val="16"/>
              </w:rPr>
            </w:pPr>
            <w:r w:rsidRPr="00827314">
              <w:rPr>
                <w:b/>
                <w:bCs/>
                <w:sz w:val="16"/>
                <w:szCs w:val="16"/>
              </w:rPr>
              <w:t>Indicadores de rendimiento</w:t>
            </w:r>
          </w:p>
        </w:tc>
        <w:tc>
          <w:tcPr>
            <w:tcW w:w="805" w:type="pct"/>
            <w:tcBorders>
              <w:top w:val="single" w:sz="4" w:space="0" w:color="auto"/>
            </w:tcBorders>
            <w:shd w:val="clear" w:color="auto" w:fill="C0C0C0"/>
          </w:tcPr>
          <w:p w:rsidR="00B070BF" w:rsidRPr="00827314" w:rsidRDefault="00B070BF" w:rsidP="00C33D4A">
            <w:pPr>
              <w:widowControl w:val="0"/>
              <w:spacing w:after="120"/>
              <w:rPr>
                <w:b/>
                <w:bCs/>
                <w:sz w:val="16"/>
                <w:szCs w:val="16"/>
              </w:rPr>
            </w:pPr>
            <w:r w:rsidRPr="00827314">
              <w:rPr>
                <w:b/>
                <w:bCs/>
                <w:sz w:val="16"/>
                <w:szCs w:val="16"/>
              </w:rPr>
              <w:t>Referencia (</w:t>
            </w:r>
            <w:proofErr w:type="spellStart"/>
            <w:r w:rsidRPr="00827314">
              <w:rPr>
                <w:b/>
                <w:bCs/>
                <w:sz w:val="16"/>
                <w:szCs w:val="16"/>
              </w:rPr>
              <w:t>Presup</w:t>
            </w:r>
            <w:proofErr w:type="spellEnd"/>
            <w:r w:rsidRPr="00827314">
              <w:rPr>
                <w:b/>
                <w:bCs/>
                <w:sz w:val="16"/>
                <w:szCs w:val="16"/>
              </w:rPr>
              <w:t xml:space="preserve">. por </w:t>
            </w:r>
            <w:proofErr w:type="spellStart"/>
            <w:r w:rsidRPr="00827314">
              <w:rPr>
                <w:b/>
                <w:bCs/>
                <w:sz w:val="16"/>
                <w:szCs w:val="16"/>
              </w:rPr>
              <w:t>prog</w:t>
            </w:r>
            <w:proofErr w:type="spellEnd"/>
            <w:r w:rsidRPr="00827314">
              <w:rPr>
                <w:b/>
                <w:bCs/>
                <w:sz w:val="16"/>
                <w:szCs w:val="16"/>
              </w:rPr>
              <w:t>. 2012/13)</w:t>
            </w:r>
          </w:p>
        </w:tc>
        <w:tc>
          <w:tcPr>
            <w:tcW w:w="916" w:type="pct"/>
            <w:tcBorders>
              <w:top w:val="single" w:sz="4" w:space="0" w:color="auto"/>
            </w:tcBorders>
            <w:shd w:val="clear" w:color="auto" w:fill="auto"/>
            <w:tcMar>
              <w:top w:w="110" w:type="dxa"/>
            </w:tcMar>
            <w:vAlign w:val="center"/>
          </w:tcPr>
          <w:p w:rsidR="00B070BF" w:rsidRPr="00793D61" w:rsidRDefault="00B070BF" w:rsidP="00C33D4A">
            <w:pPr>
              <w:widowControl w:val="0"/>
              <w:spacing w:after="120"/>
              <w:rPr>
                <w:b/>
                <w:color w:val="943634"/>
                <w:sz w:val="16"/>
                <w:szCs w:val="16"/>
              </w:rPr>
            </w:pPr>
            <w:r w:rsidRPr="00BF138D">
              <w:rPr>
                <w:b/>
                <w:color w:val="993300"/>
                <w:sz w:val="16"/>
                <w:szCs w:val="16"/>
              </w:rPr>
              <w:t>Referencia actualizada a finales de 2011</w:t>
            </w:r>
            <w:r w:rsidRPr="00793D61">
              <w:rPr>
                <w:b/>
                <w:color w:val="943634"/>
                <w:sz w:val="16"/>
                <w:szCs w:val="16"/>
              </w:rPr>
              <w:t xml:space="preserve"> </w:t>
            </w:r>
          </w:p>
        </w:tc>
        <w:tc>
          <w:tcPr>
            <w:tcW w:w="1848" w:type="pct"/>
            <w:tcBorders>
              <w:top w:val="single" w:sz="4" w:space="0" w:color="auto"/>
            </w:tcBorders>
            <w:shd w:val="clear" w:color="auto" w:fill="FFFFFF"/>
            <w:tcMar>
              <w:top w:w="110" w:type="dxa"/>
            </w:tcMar>
            <w:vAlign w:val="center"/>
          </w:tcPr>
          <w:p w:rsidR="00B070BF" w:rsidRPr="00827314" w:rsidRDefault="00B070BF" w:rsidP="00C33D4A">
            <w:pPr>
              <w:widowControl w:val="0"/>
              <w:spacing w:after="120"/>
              <w:rPr>
                <w:sz w:val="16"/>
                <w:szCs w:val="16"/>
              </w:rPr>
            </w:pPr>
            <w:r w:rsidRPr="00827314">
              <w:rPr>
                <w:b/>
                <w:bCs/>
                <w:sz w:val="16"/>
                <w:szCs w:val="16"/>
              </w:rPr>
              <w:t>Datos sobre el rendimiento</w:t>
            </w:r>
          </w:p>
        </w:tc>
        <w:tc>
          <w:tcPr>
            <w:tcW w:w="557" w:type="pct"/>
            <w:tcBorders>
              <w:top w:val="single" w:sz="4" w:space="0" w:color="auto"/>
            </w:tcBorders>
            <w:shd w:val="clear" w:color="auto" w:fill="auto"/>
            <w:tcMar>
              <w:top w:w="110" w:type="dxa"/>
            </w:tcMar>
            <w:vAlign w:val="center"/>
          </w:tcPr>
          <w:p w:rsidR="00B070BF" w:rsidRPr="00827314" w:rsidRDefault="00B070BF" w:rsidP="00C33D4A">
            <w:pPr>
              <w:widowControl w:val="0"/>
              <w:spacing w:after="120"/>
              <w:jc w:val="center"/>
              <w:rPr>
                <w:b/>
                <w:bCs/>
                <w:sz w:val="16"/>
                <w:szCs w:val="16"/>
              </w:rPr>
            </w:pPr>
            <w:r w:rsidRPr="00827314">
              <w:rPr>
                <w:b/>
                <w:bCs/>
                <w:sz w:val="16"/>
                <w:szCs w:val="16"/>
              </w:rPr>
              <w:t>Clave de colores</w:t>
            </w:r>
          </w:p>
        </w:tc>
      </w:tr>
      <w:tr w:rsidR="00B070BF" w:rsidRPr="00827314" w:rsidTr="00C33D4A">
        <w:trPr>
          <w:cantSplit/>
        </w:trPr>
        <w:tc>
          <w:tcPr>
            <w:tcW w:w="874" w:type="pct"/>
            <w:shd w:val="clear" w:color="auto" w:fill="auto"/>
          </w:tcPr>
          <w:p w:rsidR="00B070BF" w:rsidRPr="00827314" w:rsidRDefault="00B070BF" w:rsidP="00C33D4A">
            <w:pPr>
              <w:widowControl w:val="0"/>
              <w:rPr>
                <w:sz w:val="16"/>
                <w:szCs w:val="16"/>
              </w:rPr>
            </w:pPr>
            <w:r w:rsidRPr="00827314">
              <w:rPr>
                <w:sz w:val="16"/>
                <w:szCs w:val="16"/>
              </w:rPr>
              <w:lastRenderedPageBreak/>
              <w:t>Acuerdo internacional sobre un marco normativo para los dibujos y modelos industriales.</w:t>
            </w:r>
          </w:p>
        </w:tc>
        <w:tc>
          <w:tcPr>
            <w:tcW w:w="805" w:type="pct"/>
            <w:shd w:val="clear" w:color="auto" w:fill="C0C0C0"/>
          </w:tcPr>
          <w:p w:rsidR="00B070BF" w:rsidRPr="00827314" w:rsidRDefault="00B070BF" w:rsidP="00C33D4A">
            <w:pPr>
              <w:widowControl w:val="0"/>
              <w:rPr>
                <w:sz w:val="16"/>
                <w:szCs w:val="16"/>
              </w:rPr>
            </w:pPr>
            <w:r w:rsidRPr="00827314">
              <w:rPr>
                <w:sz w:val="16"/>
                <w:szCs w:val="16"/>
              </w:rPr>
              <w:t>No existe acuerdo internacional.</w:t>
            </w:r>
          </w:p>
        </w:tc>
        <w:tc>
          <w:tcPr>
            <w:tcW w:w="916" w:type="pct"/>
            <w:shd w:val="clear" w:color="auto" w:fill="auto"/>
            <w:tcMar>
              <w:top w:w="110" w:type="dxa"/>
            </w:tcMar>
          </w:tcPr>
          <w:p w:rsidR="00B070BF" w:rsidRPr="00793D61" w:rsidRDefault="00B070BF" w:rsidP="00C33D4A">
            <w:pPr>
              <w:widowControl w:val="0"/>
              <w:rPr>
                <w:i/>
                <w:color w:val="943634"/>
                <w:sz w:val="16"/>
                <w:szCs w:val="16"/>
              </w:rPr>
            </w:pPr>
          </w:p>
        </w:tc>
        <w:tc>
          <w:tcPr>
            <w:tcW w:w="1848" w:type="pct"/>
            <w:shd w:val="clear" w:color="auto" w:fill="FFFFFF"/>
            <w:tcMar>
              <w:top w:w="110" w:type="dxa"/>
            </w:tcMar>
          </w:tcPr>
          <w:p w:rsidR="00B070BF" w:rsidRPr="00827314" w:rsidRDefault="00B070BF" w:rsidP="00C33D4A">
            <w:pPr>
              <w:widowControl w:val="0"/>
              <w:rPr>
                <w:sz w:val="16"/>
                <w:szCs w:val="16"/>
                <w:lang w:bidi="th-TH"/>
              </w:rPr>
            </w:pPr>
            <w:r w:rsidRPr="00827314">
              <w:rPr>
                <w:sz w:val="16"/>
                <w:szCs w:val="16"/>
                <w:lang w:bidi="th-TH"/>
              </w:rPr>
              <w:t>Decisión de la Asamblea General de la OMOI “se insta al SCT a acelerar resueltamente la labor con el propósito de hacer avanzar sustancialmente las propuestas básicas de un Tratado sobre el Derecho de los Diseños Industriales” (párrafo 231 del documento WO/GA/41/18).</w:t>
            </w:r>
          </w:p>
          <w:p w:rsidR="00B070BF" w:rsidRPr="00827314" w:rsidRDefault="00B070BF" w:rsidP="00C33D4A">
            <w:pPr>
              <w:widowControl w:val="0"/>
              <w:rPr>
                <w:sz w:val="16"/>
                <w:szCs w:val="16"/>
                <w:lang w:bidi="th-TH"/>
              </w:rPr>
            </w:pPr>
          </w:p>
          <w:p w:rsidR="00B070BF" w:rsidRPr="00827314" w:rsidRDefault="00B070BF" w:rsidP="00C33D4A">
            <w:pPr>
              <w:widowControl w:val="0"/>
              <w:rPr>
                <w:sz w:val="16"/>
                <w:szCs w:val="16"/>
                <w:lang w:bidi="th-TH"/>
              </w:rPr>
            </w:pPr>
          </w:p>
          <w:p w:rsidR="00B070BF" w:rsidRPr="00827314" w:rsidRDefault="00B070BF" w:rsidP="00C33D4A">
            <w:pPr>
              <w:widowControl w:val="0"/>
              <w:rPr>
                <w:sz w:val="16"/>
                <w:szCs w:val="16"/>
              </w:rPr>
            </w:pPr>
          </w:p>
        </w:tc>
        <w:tc>
          <w:tcPr>
            <w:tcW w:w="557" w:type="pct"/>
            <w:shd w:val="clear" w:color="auto" w:fill="auto"/>
            <w:tcMar>
              <w:top w:w="110" w:type="dxa"/>
            </w:tcMar>
          </w:tcPr>
          <w:p w:rsidR="00B070BF" w:rsidRPr="00827314" w:rsidRDefault="00B070BF" w:rsidP="00C33D4A">
            <w:pPr>
              <w:widowControl w:val="0"/>
              <w:jc w:val="center"/>
              <w:rPr>
                <w:b/>
                <w:sz w:val="16"/>
                <w:szCs w:val="16"/>
              </w:rPr>
            </w:pPr>
            <w:r w:rsidRPr="009577DE">
              <w:rPr>
                <w:b/>
                <w:color w:val="008000"/>
                <w:sz w:val="16"/>
                <w:szCs w:val="16"/>
              </w:rPr>
              <w:t>Progresa con normalidad</w:t>
            </w:r>
          </w:p>
          <w:p w:rsidR="00B070BF" w:rsidRPr="00827314" w:rsidRDefault="00B070BF" w:rsidP="00C33D4A">
            <w:pPr>
              <w:widowControl w:val="0"/>
              <w:jc w:val="center"/>
              <w:rPr>
                <w:bCs/>
                <w:sz w:val="16"/>
                <w:szCs w:val="16"/>
              </w:rPr>
            </w:pPr>
          </w:p>
          <w:p w:rsidR="00B070BF" w:rsidRPr="00827314" w:rsidRDefault="00B070BF" w:rsidP="00C33D4A">
            <w:pPr>
              <w:widowControl w:val="0"/>
              <w:jc w:val="center"/>
              <w:rPr>
                <w:bCs/>
                <w:sz w:val="16"/>
                <w:szCs w:val="16"/>
              </w:rPr>
            </w:pPr>
          </w:p>
        </w:tc>
      </w:tr>
      <w:tr w:rsidR="00B070BF" w:rsidRPr="00827314" w:rsidTr="00C33D4A">
        <w:trPr>
          <w:cantSplit/>
        </w:trPr>
        <w:tc>
          <w:tcPr>
            <w:tcW w:w="874" w:type="pct"/>
            <w:shd w:val="clear" w:color="auto" w:fill="auto"/>
          </w:tcPr>
          <w:p w:rsidR="00B070BF" w:rsidRPr="00827314" w:rsidRDefault="00B070BF" w:rsidP="00C33D4A">
            <w:pPr>
              <w:widowControl w:val="0"/>
              <w:rPr>
                <w:sz w:val="16"/>
                <w:szCs w:val="16"/>
              </w:rPr>
            </w:pPr>
            <w:r w:rsidRPr="00827314">
              <w:rPr>
                <w:sz w:val="16"/>
                <w:szCs w:val="16"/>
              </w:rPr>
              <w:t>Progresos en pos de un acuerdo relativo a las cuestiones que están en el orden del día del SCT.</w:t>
            </w:r>
          </w:p>
        </w:tc>
        <w:tc>
          <w:tcPr>
            <w:tcW w:w="805" w:type="pct"/>
            <w:shd w:val="clear" w:color="auto" w:fill="C0C0C0"/>
          </w:tcPr>
          <w:p w:rsidR="00B070BF" w:rsidRPr="00827314" w:rsidRDefault="00B070BF" w:rsidP="00C33D4A">
            <w:pPr>
              <w:widowControl w:val="0"/>
              <w:rPr>
                <w:sz w:val="16"/>
                <w:szCs w:val="16"/>
              </w:rPr>
            </w:pPr>
            <w:r w:rsidRPr="00827314">
              <w:rPr>
                <w:sz w:val="16"/>
                <w:szCs w:val="16"/>
              </w:rPr>
              <w:t>Recomendación conjunta sobre las marcas e Internet, de 2001.</w:t>
            </w:r>
          </w:p>
        </w:tc>
        <w:tc>
          <w:tcPr>
            <w:tcW w:w="916" w:type="pct"/>
            <w:shd w:val="clear" w:color="auto" w:fill="auto"/>
            <w:tcMar>
              <w:top w:w="110" w:type="dxa"/>
            </w:tcMar>
          </w:tcPr>
          <w:p w:rsidR="00B070BF" w:rsidRPr="00793D61" w:rsidRDefault="00B070BF" w:rsidP="00C33D4A">
            <w:pPr>
              <w:widowControl w:val="0"/>
              <w:rPr>
                <w:color w:val="943634"/>
                <w:sz w:val="16"/>
                <w:szCs w:val="16"/>
                <w:lang w:bidi="th-TH"/>
              </w:rPr>
            </w:pPr>
            <w:r w:rsidRPr="00793D61">
              <w:rPr>
                <w:color w:val="943634"/>
                <w:sz w:val="16"/>
                <w:szCs w:val="16"/>
                <w:lang w:bidi="th-TH"/>
              </w:rPr>
              <w:t xml:space="preserve">Proyecto de documento de referencia sobre la protección de los nombres de país contra su registro y uso como marcas </w:t>
            </w:r>
          </w:p>
          <w:p w:rsidR="00B070BF" w:rsidRPr="00793D61" w:rsidRDefault="00B070BF" w:rsidP="00C33D4A">
            <w:pPr>
              <w:widowControl w:val="0"/>
              <w:rPr>
                <w:color w:val="943634"/>
                <w:sz w:val="16"/>
                <w:szCs w:val="16"/>
                <w:lang w:bidi="th-TH"/>
              </w:rPr>
            </w:pPr>
          </w:p>
          <w:p w:rsidR="00B070BF" w:rsidRPr="00793D61" w:rsidRDefault="00B070BF" w:rsidP="00C33D4A">
            <w:pPr>
              <w:widowControl w:val="0"/>
              <w:rPr>
                <w:color w:val="943634"/>
                <w:sz w:val="16"/>
                <w:szCs w:val="16"/>
                <w:lang w:bidi="th-TH"/>
              </w:rPr>
            </w:pPr>
            <w:r w:rsidRPr="00793D61">
              <w:rPr>
                <w:color w:val="943634"/>
                <w:sz w:val="16"/>
                <w:szCs w:val="16"/>
                <w:lang w:bidi="th-TH"/>
              </w:rPr>
              <w:t>Acuerdo relativo a la reunión informativa sobre el papel y la responsabilidad de los intermediarios de Internet en el ámbito de las marcas</w:t>
            </w:r>
          </w:p>
          <w:p w:rsidR="00B070BF" w:rsidRPr="00793D61" w:rsidRDefault="00B070BF" w:rsidP="00C33D4A">
            <w:pPr>
              <w:widowControl w:val="0"/>
              <w:rPr>
                <w:color w:val="943634"/>
                <w:sz w:val="16"/>
                <w:szCs w:val="16"/>
                <w:lang w:bidi="th-TH"/>
              </w:rPr>
            </w:pPr>
          </w:p>
        </w:tc>
        <w:tc>
          <w:tcPr>
            <w:tcW w:w="1848" w:type="pct"/>
            <w:shd w:val="clear" w:color="auto" w:fill="FFFFFF"/>
            <w:tcMar>
              <w:top w:w="110" w:type="dxa"/>
            </w:tcMar>
          </w:tcPr>
          <w:p w:rsidR="00B070BF" w:rsidRPr="00827314" w:rsidRDefault="00B070BF" w:rsidP="00C33D4A">
            <w:pPr>
              <w:widowControl w:val="0"/>
              <w:rPr>
                <w:sz w:val="16"/>
                <w:szCs w:val="16"/>
                <w:lang w:bidi="th-TH"/>
              </w:rPr>
            </w:pPr>
            <w:r w:rsidRPr="00827314">
              <w:rPr>
                <w:sz w:val="16"/>
                <w:szCs w:val="16"/>
                <w:lang w:bidi="th-TH"/>
              </w:rPr>
              <w:t>Progreso logrado respecto de la normativa y la práctica en materia de diseños industriales:  proyecto de artículos y proyecto de Reglamento.</w:t>
            </w:r>
          </w:p>
          <w:p w:rsidR="00B070BF" w:rsidRPr="00827314" w:rsidRDefault="00B070BF" w:rsidP="00C33D4A">
            <w:pPr>
              <w:widowControl w:val="0"/>
              <w:rPr>
                <w:sz w:val="16"/>
                <w:szCs w:val="16"/>
                <w:lang w:bidi="th-TH"/>
              </w:rPr>
            </w:pPr>
          </w:p>
          <w:p w:rsidR="00B070BF" w:rsidRPr="00827314" w:rsidRDefault="00B070BF" w:rsidP="00C33D4A">
            <w:pPr>
              <w:widowControl w:val="0"/>
              <w:rPr>
                <w:sz w:val="16"/>
                <w:szCs w:val="16"/>
                <w:lang w:bidi="th-TH"/>
              </w:rPr>
            </w:pPr>
            <w:r w:rsidRPr="00827314">
              <w:rPr>
                <w:sz w:val="16"/>
                <w:szCs w:val="16"/>
                <w:lang w:bidi="th-TH"/>
              </w:rPr>
              <w:t>Continuación de la labor sobre la protección de los nombres de país.</w:t>
            </w:r>
          </w:p>
          <w:p w:rsidR="00B070BF" w:rsidRPr="00827314" w:rsidRDefault="00B070BF" w:rsidP="00C33D4A">
            <w:pPr>
              <w:widowControl w:val="0"/>
              <w:rPr>
                <w:sz w:val="16"/>
                <w:szCs w:val="16"/>
                <w:lang w:bidi="th-TH"/>
              </w:rPr>
            </w:pPr>
          </w:p>
          <w:p w:rsidR="00B070BF" w:rsidRPr="00827314" w:rsidRDefault="00B070BF" w:rsidP="00C33D4A">
            <w:pPr>
              <w:widowControl w:val="0"/>
              <w:rPr>
                <w:sz w:val="16"/>
                <w:szCs w:val="16"/>
                <w:lang w:bidi="th-TH"/>
              </w:rPr>
            </w:pPr>
          </w:p>
          <w:p w:rsidR="00B070BF" w:rsidRPr="00827314" w:rsidRDefault="00B070BF" w:rsidP="00C33D4A">
            <w:pPr>
              <w:widowControl w:val="0"/>
              <w:rPr>
                <w:sz w:val="16"/>
                <w:szCs w:val="16"/>
                <w:lang w:bidi="th-TH"/>
              </w:rPr>
            </w:pPr>
          </w:p>
          <w:p w:rsidR="00B070BF" w:rsidRPr="00827314" w:rsidRDefault="00B070BF" w:rsidP="00C33D4A">
            <w:pPr>
              <w:widowControl w:val="0"/>
              <w:autoSpaceDE w:val="0"/>
              <w:autoSpaceDN w:val="0"/>
              <w:adjustRightInd w:val="0"/>
              <w:rPr>
                <w:sz w:val="16"/>
                <w:szCs w:val="16"/>
              </w:rPr>
            </w:pPr>
            <w:r w:rsidRPr="00827314">
              <w:rPr>
                <w:sz w:val="16"/>
                <w:szCs w:val="16"/>
              </w:rPr>
              <w:t>El SCT celebró una reunión informativa sobre el papel y la responsabilidad de los intermediarios de Internet en el ámbito de las marcas pero posteriormente decidió no proseguir la labor en esa esfera.</w:t>
            </w:r>
          </w:p>
          <w:p w:rsidR="00B070BF" w:rsidRPr="00827314" w:rsidRDefault="00B070BF" w:rsidP="00C33D4A">
            <w:pPr>
              <w:widowControl w:val="0"/>
              <w:rPr>
                <w:sz w:val="16"/>
                <w:szCs w:val="16"/>
              </w:rPr>
            </w:pPr>
          </w:p>
        </w:tc>
        <w:tc>
          <w:tcPr>
            <w:tcW w:w="557" w:type="pct"/>
            <w:shd w:val="clear" w:color="auto" w:fill="auto"/>
            <w:tcMar>
              <w:top w:w="110" w:type="dxa"/>
            </w:tcMar>
          </w:tcPr>
          <w:p w:rsidR="00B070BF" w:rsidRPr="00827314" w:rsidRDefault="00B070BF" w:rsidP="00C33D4A">
            <w:pPr>
              <w:widowControl w:val="0"/>
              <w:jc w:val="center"/>
              <w:rPr>
                <w:b/>
                <w:sz w:val="16"/>
                <w:szCs w:val="16"/>
              </w:rPr>
            </w:pPr>
            <w:r w:rsidRPr="009577DE">
              <w:rPr>
                <w:b/>
                <w:color w:val="008000"/>
                <w:sz w:val="16"/>
                <w:szCs w:val="16"/>
              </w:rPr>
              <w:t>Progresa con normalidad</w:t>
            </w:r>
          </w:p>
          <w:p w:rsidR="00B070BF" w:rsidRPr="00827314" w:rsidRDefault="00B070BF" w:rsidP="00C33D4A">
            <w:pPr>
              <w:widowControl w:val="0"/>
              <w:jc w:val="center"/>
              <w:rPr>
                <w:bCs/>
                <w:sz w:val="16"/>
                <w:szCs w:val="16"/>
              </w:rPr>
            </w:pPr>
            <w:r w:rsidRPr="00827314">
              <w:rPr>
                <w:bCs/>
                <w:sz w:val="16"/>
                <w:szCs w:val="16"/>
              </w:rPr>
              <w:t>(diseños industriales y nombres de país)</w:t>
            </w:r>
          </w:p>
          <w:p w:rsidR="00B070BF" w:rsidRPr="00827314" w:rsidRDefault="00B070BF" w:rsidP="00C33D4A">
            <w:pPr>
              <w:widowControl w:val="0"/>
              <w:jc w:val="center"/>
              <w:rPr>
                <w:bCs/>
                <w:sz w:val="16"/>
                <w:szCs w:val="16"/>
              </w:rPr>
            </w:pPr>
          </w:p>
          <w:p w:rsidR="00B070BF" w:rsidRPr="00827314" w:rsidRDefault="00B070BF" w:rsidP="00C33D4A">
            <w:pPr>
              <w:widowControl w:val="0"/>
              <w:jc w:val="center"/>
              <w:rPr>
                <w:bCs/>
                <w:sz w:val="16"/>
                <w:szCs w:val="16"/>
              </w:rPr>
            </w:pPr>
          </w:p>
          <w:p w:rsidR="00B070BF" w:rsidRPr="00827314" w:rsidRDefault="00B070BF" w:rsidP="00C33D4A">
            <w:pPr>
              <w:widowControl w:val="0"/>
              <w:jc w:val="center"/>
              <w:rPr>
                <w:bCs/>
                <w:sz w:val="16"/>
                <w:szCs w:val="16"/>
              </w:rPr>
            </w:pPr>
          </w:p>
          <w:p w:rsidR="00B070BF" w:rsidRPr="00827314" w:rsidRDefault="00B070BF" w:rsidP="00C33D4A">
            <w:pPr>
              <w:widowControl w:val="0"/>
              <w:jc w:val="center"/>
              <w:rPr>
                <w:b/>
                <w:color w:val="A6A6A6"/>
                <w:sz w:val="16"/>
                <w:szCs w:val="16"/>
              </w:rPr>
            </w:pPr>
            <w:r w:rsidRPr="009577DE">
              <w:rPr>
                <w:b/>
                <w:color w:val="A6A6A6" w:themeColor="background1" w:themeShade="A6"/>
                <w:sz w:val="16"/>
                <w:szCs w:val="16"/>
              </w:rPr>
              <w:t>Interrumpido</w:t>
            </w:r>
          </w:p>
          <w:p w:rsidR="00B070BF" w:rsidRPr="00827314" w:rsidRDefault="00B070BF" w:rsidP="00C33D4A">
            <w:pPr>
              <w:widowControl w:val="0"/>
              <w:jc w:val="center"/>
              <w:rPr>
                <w:bCs/>
                <w:sz w:val="16"/>
                <w:szCs w:val="16"/>
              </w:rPr>
            </w:pPr>
            <w:r w:rsidRPr="00827314">
              <w:rPr>
                <w:bCs/>
                <w:sz w:val="16"/>
                <w:szCs w:val="16"/>
              </w:rPr>
              <w:t>(</w:t>
            </w:r>
            <w:r w:rsidRPr="00827314">
              <w:rPr>
                <w:sz w:val="16"/>
                <w:szCs w:val="16"/>
                <w:lang w:bidi="th-TH"/>
              </w:rPr>
              <w:t>El papel y la responsabilidad de los intermediaros de Internet en el ámbito de las marcas</w:t>
            </w:r>
            <w:r w:rsidRPr="00827314">
              <w:rPr>
                <w:bCs/>
                <w:sz w:val="16"/>
                <w:szCs w:val="16"/>
              </w:rPr>
              <w:t>)</w:t>
            </w:r>
          </w:p>
        </w:tc>
      </w:tr>
      <w:tr w:rsidR="00B070BF" w:rsidRPr="00827314" w:rsidTr="00C33D4A">
        <w:trPr>
          <w:cantSplit/>
        </w:trPr>
        <w:tc>
          <w:tcPr>
            <w:tcW w:w="874" w:type="pct"/>
            <w:shd w:val="clear" w:color="auto" w:fill="auto"/>
          </w:tcPr>
          <w:p w:rsidR="00B070BF" w:rsidRPr="00827314" w:rsidRDefault="00B070BF" w:rsidP="00C33D4A">
            <w:pPr>
              <w:widowControl w:val="0"/>
              <w:rPr>
                <w:sz w:val="16"/>
                <w:szCs w:val="16"/>
              </w:rPr>
            </w:pPr>
            <w:r w:rsidRPr="00827314">
              <w:rPr>
                <w:sz w:val="16"/>
                <w:szCs w:val="16"/>
              </w:rPr>
              <w:t>Número de ratificaciones/adhesiones al Tratado de Singapur.</w:t>
            </w:r>
          </w:p>
        </w:tc>
        <w:tc>
          <w:tcPr>
            <w:tcW w:w="805" w:type="pct"/>
            <w:shd w:val="clear" w:color="auto" w:fill="C0C0C0"/>
          </w:tcPr>
          <w:p w:rsidR="00B070BF" w:rsidRPr="00827314" w:rsidRDefault="00B070BF" w:rsidP="00C33D4A">
            <w:pPr>
              <w:widowControl w:val="0"/>
              <w:rPr>
                <w:sz w:val="16"/>
                <w:szCs w:val="16"/>
              </w:rPr>
            </w:pPr>
            <w:r w:rsidRPr="00827314">
              <w:rPr>
                <w:sz w:val="16"/>
                <w:szCs w:val="16"/>
              </w:rPr>
              <w:t>Número de ratificaciones/adhesiones a finales de 2011.</w:t>
            </w:r>
          </w:p>
        </w:tc>
        <w:tc>
          <w:tcPr>
            <w:tcW w:w="916" w:type="pct"/>
            <w:shd w:val="clear" w:color="auto" w:fill="auto"/>
            <w:tcMar>
              <w:top w:w="110" w:type="dxa"/>
            </w:tcMar>
          </w:tcPr>
          <w:p w:rsidR="00B070BF" w:rsidRPr="00793D61" w:rsidRDefault="00B070BF" w:rsidP="00C33D4A">
            <w:pPr>
              <w:widowControl w:val="0"/>
              <w:rPr>
                <w:color w:val="943634"/>
                <w:sz w:val="16"/>
                <w:szCs w:val="16"/>
                <w:lang w:bidi="th-TH"/>
              </w:rPr>
            </w:pPr>
            <w:r w:rsidRPr="00793D61">
              <w:rPr>
                <w:color w:val="943634"/>
                <w:sz w:val="16"/>
                <w:szCs w:val="16"/>
                <w:lang w:bidi="th-TH"/>
              </w:rPr>
              <w:t>Número total de Partes Contratantes a finales de 2011:  25</w:t>
            </w:r>
          </w:p>
        </w:tc>
        <w:tc>
          <w:tcPr>
            <w:tcW w:w="1848" w:type="pct"/>
            <w:shd w:val="clear" w:color="auto" w:fill="FFFFFF"/>
            <w:tcMar>
              <w:top w:w="110" w:type="dxa"/>
            </w:tcMar>
          </w:tcPr>
          <w:p w:rsidR="00B070BF" w:rsidRPr="00827314" w:rsidRDefault="00B070BF" w:rsidP="00C33D4A">
            <w:pPr>
              <w:widowControl w:val="0"/>
              <w:rPr>
                <w:sz w:val="16"/>
                <w:szCs w:val="16"/>
                <w:lang w:bidi="th-TH"/>
              </w:rPr>
            </w:pPr>
            <w:r w:rsidRPr="00827314">
              <w:rPr>
                <w:sz w:val="16"/>
                <w:szCs w:val="16"/>
                <w:lang w:bidi="th-TH"/>
              </w:rPr>
              <w:t>4 ratificaciones adicionales en 2012 (Reino Unido, Kazajstán, Nueva Zelandia e Islandia).</w:t>
            </w:r>
          </w:p>
          <w:p w:rsidR="00B070BF" w:rsidRPr="00827314" w:rsidRDefault="00B070BF" w:rsidP="00C33D4A">
            <w:pPr>
              <w:widowControl w:val="0"/>
              <w:rPr>
                <w:sz w:val="16"/>
                <w:szCs w:val="16"/>
                <w:lang w:bidi="th-TH"/>
              </w:rPr>
            </w:pPr>
          </w:p>
          <w:p w:rsidR="00B070BF" w:rsidRPr="00827314" w:rsidRDefault="00B070BF" w:rsidP="00C33D4A">
            <w:pPr>
              <w:widowControl w:val="0"/>
              <w:rPr>
                <w:sz w:val="16"/>
                <w:szCs w:val="16"/>
              </w:rPr>
            </w:pPr>
          </w:p>
        </w:tc>
        <w:tc>
          <w:tcPr>
            <w:tcW w:w="557" w:type="pct"/>
            <w:shd w:val="clear" w:color="auto" w:fill="auto"/>
            <w:tcMar>
              <w:top w:w="110" w:type="dxa"/>
            </w:tcMar>
          </w:tcPr>
          <w:p w:rsidR="00B070BF" w:rsidRPr="00827314" w:rsidRDefault="00B070BF" w:rsidP="00C33D4A">
            <w:pPr>
              <w:widowControl w:val="0"/>
              <w:jc w:val="center"/>
              <w:rPr>
                <w:b/>
                <w:sz w:val="16"/>
                <w:szCs w:val="16"/>
              </w:rPr>
            </w:pPr>
            <w:r w:rsidRPr="009577DE">
              <w:rPr>
                <w:b/>
                <w:color w:val="008000"/>
                <w:sz w:val="16"/>
                <w:szCs w:val="16"/>
              </w:rPr>
              <w:t>Progresa con normalidad</w:t>
            </w:r>
          </w:p>
          <w:p w:rsidR="00B070BF" w:rsidRPr="00827314" w:rsidRDefault="00B070BF" w:rsidP="00C33D4A">
            <w:pPr>
              <w:widowControl w:val="0"/>
              <w:jc w:val="center"/>
              <w:rPr>
                <w:b/>
                <w:sz w:val="16"/>
                <w:szCs w:val="16"/>
              </w:rPr>
            </w:pPr>
          </w:p>
        </w:tc>
      </w:tr>
      <w:tr w:rsidR="00B070BF" w:rsidRPr="00827314" w:rsidTr="00C33D4A">
        <w:trPr>
          <w:cantSplit/>
        </w:trPr>
        <w:tc>
          <w:tcPr>
            <w:tcW w:w="874" w:type="pct"/>
            <w:tcBorders>
              <w:bottom w:val="single" w:sz="4" w:space="0" w:color="auto"/>
            </w:tcBorders>
            <w:shd w:val="clear" w:color="auto" w:fill="auto"/>
          </w:tcPr>
          <w:p w:rsidR="00B070BF" w:rsidRPr="00827314" w:rsidRDefault="00B070BF" w:rsidP="00C33D4A">
            <w:pPr>
              <w:widowControl w:val="0"/>
              <w:rPr>
                <w:sz w:val="16"/>
                <w:szCs w:val="16"/>
              </w:rPr>
            </w:pPr>
            <w:r w:rsidRPr="00827314">
              <w:rPr>
                <w:sz w:val="16"/>
                <w:szCs w:val="16"/>
              </w:rPr>
              <w:t xml:space="preserve">Labor iniciada por el SCT sobre las indicaciones geográficas.  </w:t>
            </w:r>
          </w:p>
        </w:tc>
        <w:tc>
          <w:tcPr>
            <w:tcW w:w="805" w:type="pct"/>
            <w:tcBorders>
              <w:bottom w:val="single" w:sz="4" w:space="0" w:color="auto"/>
            </w:tcBorders>
            <w:shd w:val="clear" w:color="auto" w:fill="C0C0C0"/>
          </w:tcPr>
          <w:p w:rsidR="00B070BF" w:rsidRPr="00827314" w:rsidRDefault="00B070BF" w:rsidP="00C33D4A">
            <w:pPr>
              <w:widowControl w:val="0"/>
              <w:rPr>
                <w:sz w:val="16"/>
                <w:szCs w:val="16"/>
              </w:rPr>
            </w:pPr>
            <w:r w:rsidRPr="00827314">
              <w:rPr>
                <w:sz w:val="16"/>
                <w:szCs w:val="16"/>
              </w:rPr>
              <w:t>Situación de la labor del SCT sobre las indicaciones geográficas a finales de 2011.</w:t>
            </w:r>
          </w:p>
        </w:tc>
        <w:tc>
          <w:tcPr>
            <w:tcW w:w="916" w:type="pct"/>
            <w:tcBorders>
              <w:bottom w:val="single" w:sz="4" w:space="0" w:color="auto"/>
            </w:tcBorders>
            <w:shd w:val="clear" w:color="auto" w:fill="auto"/>
            <w:tcMar>
              <w:top w:w="110" w:type="dxa"/>
            </w:tcMar>
          </w:tcPr>
          <w:p w:rsidR="00B070BF" w:rsidRPr="00793D61" w:rsidRDefault="00B070BF" w:rsidP="00C33D4A">
            <w:pPr>
              <w:widowControl w:val="0"/>
              <w:rPr>
                <w:i/>
                <w:color w:val="943634"/>
                <w:sz w:val="16"/>
                <w:szCs w:val="16"/>
              </w:rPr>
            </w:pPr>
            <w:r w:rsidRPr="00793D61">
              <w:rPr>
                <w:color w:val="943634"/>
                <w:sz w:val="16"/>
                <w:szCs w:val="16"/>
                <w:lang w:bidi="th-TH"/>
              </w:rPr>
              <w:t>El SCT no inició labor alguna sobre las indicaciones geográficas en 2011</w:t>
            </w:r>
          </w:p>
        </w:tc>
        <w:tc>
          <w:tcPr>
            <w:tcW w:w="1848" w:type="pct"/>
            <w:tcBorders>
              <w:bottom w:val="single" w:sz="4" w:space="0" w:color="auto"/>
            </w:tcBorders>
            <w:shd w:val="clear" w:color="auto" w:fill="FFFFFF"/>
            <w:tcMar>
              <w:top w:w="110" w:type="dxa"/>
            </w:tcMar>
          </w:tcPr>
          <w:p w:rsidR="00B070BF" w:rsidRPr="00827314" w:rsidRDefault="00B070BF" w:rsidP="00C33D4A">
            <w:pPr>
              <w:widowControl w:val="0"/>
              <w:rPr>
                <w:sz w:val="16"/>
                <w:szCs w:val="16"/>
                <w:lang w:bidi="th-TH"/>
              </w:rPr>
            </w:pPr>
            <w:r w:rsidRPr="00827314">
              <w:rPr>
                <w:sz w:val="16"/>
                <w:szCs w:val="16"/>
                <w:lang w:bidi="th-TH"/>
              </w:rPr>
              <w:t>El SCT no inició labor alguna en relación con las indicaciones geográficas a finales de 2012.</w:t>
            </w:r>
          </w:p>
          <w:p w:rsidR="00B070BF" w:rsidRPr="00827314" w:rsidRDefault="00B070BF" w:rsidP="00C33D4A">
            <w:pPr>
              <w:widowControl w:val="0"/>
              <w:rPr>
                <w:sz w:val="16"/>
                <w:szCs w:val="16"/>
                <w:lang w:bidi="th-TH"/>
              </w:rPr>
            </w:pPr>
          </w:p>
          <w:p w:rsidR="00B070BF" w:rsidRPr="00827314" w:rsidRDefault="00B070BF" w:rsidP="00C33D4A">
            <w:pPr>
              <w:widowControl w:val="0"/>
              <w:rPr>
                <w:sz w:val="16"/>
                <w:szCs w:val="16"/>
              </w:rPr>
            </w:pPr>
          </w:p>
        </w:tc>
        <w:tc>
          <w:tcPr>
            <w:tcW w:w="557" w:type="pct"/>
            <w:tcBorders>
              <w:bottom w:val="single" w:sz="4" w:space="0" w:color="auto"/>
            </w:tcBorders>
            <w:shd w:val="clear" w:color="auto" w:fill="auto"/>
            <w:tcMar>
              <w:top w:w="110" w:type="dxa"/>
            </w:tcMar>
          </w:tcPr>
          <w:p w:rsidR="00B070BF" w:rsidRPr="00827314" w:rsidRDefault="00B070BF" w:rsidP="00C33D4A">
            <w:pPr>
              <w:widowControl w:val="0"/>
              <w:jc w:val="center"/>
              <w:rPr>
                <w:b/>
                <w:sz w:val="16"/>
                <w:szCs w:val="16"/>
              </w:rPr>
            </w:pPr>
            <w:r w:rsidRPr="009577DE">
              <w:rPr>
                <w:b/>
                <w:color w:val="FF0000"/>
                <w:sz w:val="16"/>
                <w:szCs w:val="16"/>
              </w:rPr>
              <w:t>Sin avances significativos</w:t>
            </w:r>
          </w:p>
          <w:p w:rsidR="00B070BF" w:rsidRPr="00827314" w:rsidRDefault="00B070BF" w:rsidP="00C33D4A">
            <w:pPr>
              <w:widowControl w:val="0"/>
              <w:jc w:val="center"/>
              <w:rPr>
                <w:b/>
                <w:sz w:val="16"/>
                <w:szCs w:val="16"/>
              </w:rPr>
            </w:pPr>
          </w:p>
        </w:tc>
      </w:tr>
      <w:tr w:rsidR="00B070BF" w:rsidRPr="00827314" w:rsidTr="00C33D4A">
        <w:trPr>
          <w:cantSplit/>
        </w:trPr>
        <w:tc>
          <w:tcPr>
            <w:tcW w:w="5000" w:type="pct"/>
            <w:gridSpan w:val="5"/>
            <w:tcBorders>
              <w:top w:val="single" w:sz="4" w:space="0" w:color="auto"/>
              <w:bottom w:val="single" w:sz="4" w:space="0" w:color="auto"/>
            </w:tcBorders>
            <w:shd w:val="clear" w:color="auto" w:fill="CCFFFF"/>
            <w:vAlign w:val="center"/>
          </w:tcPr>
          <w:p w:rsidR="00B070BF" w:rsidRPr="00827314" w:rsidRDefault="00B070BF" w:rsidP="00C33D4A">
            <w:pPr>
              <w:widowControl w:val="0"/>
              <w:tabs>
                <w:tab w:val="left" w:pos="1735"/>
              </w:tabs>
              <w:spacing w:before="120" w:after="120"/>
              <w:ind w:left="1735" w:hanging="1701"/>
              <w:rPr>
                <w:b/>
                <w:bCs/>
                <w:sz w:val="16"/>
                <w:szCs w:val="16"/>
              </w:rPr>
            </w:pPr>
            <w:r w:rsidRPr="00827314">
              <w:rPr>
                <w:b/>
                <w:bCs/>
                <w:sz w:val="16"/>
                <w:szCs w:val="16"/>
              </w:rPr>
              <w:t>Resultado previsto:</w:t>
            </w:r>
            <w:r w:rsidRPr="00827314">
              <w:rPr>
                <w:b/>
                <w:bCs/>
                <w:sz w:val="16"/>
                <w:szCs w:val="16"/>
              </w:rPr>
              <w:tab/>
            </w:r>
            <w:r w:rsidRPr="00827314">
              <w:rPr>
                <w:bCs/>
                <w:sz w:val="16"/>
                <w:szCs w:val="16"/>
              </w:rPr>
              <w:t>Aumento de la protección de los emblemas de Estado y de los nombres y emblemas de organizaciones intergubernamentales internacionales.</w:t>
            </w:r>
          </w:p>
        </w:tc>
      </w:tr>
      <w:tr w:rsidR="00B070BF" w:rsidRPr="00827314" w:rsidTr="00C33D4A">
        <w:trPr>
          <w:cantSplit/>
        </w:trPr>
        <w:tc>
          <w:tcPr>
            <w:tcW w:w="874" w:type="pct"/>
            <w:tcBorders>
              <w:top w:val="single" w:sz="4" w:space="0" w:color="auto"/>
            </w:tcBorders>
            <w:shd w:val="clear" w:color="auto" w:fill="auto"/>
            <w:vAlign w:val="center"/>
          </w:tcPr>
          <w:p w:rsidR="00B070BF" w:rsidRPr="00827314" w:rsidRDefault="00B070BF" w:rsidP="00C33D4A">
            <w:pPr>
              <w:widowControl w:val="0"/>
              <w:spacing w:after="120"/>
              <w:rPr>
                <w:sz w:val="16"/>
                <w:szCs w:val="16"/>
              </w:rPr>
            </w:pPr>
            <w:r w:rsidRPr="00827314">
              <w:rPr>
                <w:b/>
                <w:bCs/>
                <w:sz w:val="16"/>
                <w:szCs w:val="16"/>
              </w:rPr>
              <w:t>Indicadores de rendimiento</w:t>
            </w:r>
          </w:p>
        </w:tc>
        <w:tc>
          <w:tcPr>
            <w:tcW w:w="805" w:type="pct"/>
            <w:tcBorders>
              <w:top w:val="single" w:sz="4" w:space="0" w:color="auto"/>
            </w:tcBorders>
            <w:shd w:val="clear" w:color="auto" w:fill="C0C0C0"/>
          </w:tcPr>
          <w:p w:rsidR="00B070BF" w:rsidRPr="00827314" w:rsidRDefault="00B070BF" w:rsidP="00C33D4A">
            <w:pPr>
              <w:widowControl w:val="0"/>
              <w:spacing w:after="120"/>
              <w:rPr>
                <w:b/>
                <w:bCs/>
                <w:sz w:val="16"/>
                <w:szCs w:val="16"/>
              </w:rPr>
            </w:pPr>
            <w:r w:rsidRPr="00827314">
              <w:rPr>
                <w:b/>
                <w:bCs/>
                <w:sz w:val="16"/>
                <w:szCs w:val="16"/>
              </w:rPr>
              <w:t>Referencia (</w:t>
            </w:r>
            <w:proofErr w:type="spellStart"/>
            <w:r w:rsidRPr="00827314">
              <w:rPr>
                <w:b/>
                <w:bCs/>
                <w:sz w:val="16"/>
                <w:szCs w:val="16"/>
              </w:rPr>
              <w:t>Presup</w:t>
            </w:r>
            <w:proofErr w:type="spellEnd"/>
            <w:r w:rsidRPr="00827314">
              <w:rPr>
                <w:b/>
                <w:bCs/>
                <w:sz w:val="16"/>
                <w:szCs w:val="16"/>
              </w:rPr>
              <w:t xml:space="preserve">. por </w:t>
            </w:r>
            <w:proofErr w:type="spellStart"/>
            <w:r w:rsidRPr="00827314">
              <w:rPr>
                <w:b/>
                <w:bCs/>
                <w:sz w:val="16"/>
                <w:szCs w:val="16"/>
              </w:rPr>
              <w:t>prog</w:t>
            </w:r>
            <w:proofErr w:type="spellEnd"/>
            <w:r w:rsidRPr="00827314">
              <w:rPr>
                <w:b/>
                <w:bCs/>
                <w:sz w:val="16"/>
                <w:szCs w:val="16"/>
              </w:rPr>
              <w:t>. 2012/13)</w:t>
            </w:r>
          </w:p>
        </w:tc>
        <w:tc>
          <w:tcPr>
            <w:tcW w:w="916" w:type="pct"/>
            <w:tcBorders>
              <w:top w:val="single" w:sz="4" w:space="0" w:color="auto"/>
            </w:tcBorders>
            <w:shd w:val="clear" w:color="auto" w:fill="auto"/>
            <w:tcMar>
              <w:top w:w="110" w:type="dxa"/>
            </w:tcMar>
            <w:vAlign w:val="center"/>
          </w:tcPr>
          <w:p w:rsidR="00B070BF" w:rsidRPr="00827314" w:rsidRDefault="00B070BF" w:rsidP="00C33D4A">
            <w:pPr>
              <w:widowControl w:val="0"/>
              <w:spacing w:after="120"/>
              <w:rPr>
                <w:b/>
                <w:sz w:val="16"/>
                <w:szCs w:val="16"/>
              </w:rPr>
            </w:pPr>
            <w:r w:rsidRPr="00BF138D">
              <w:rPr>
                <w:b/>
                <w:color w:val="993300"/>
                <w:sz w:val="16"/>
                <w:szCs w:val="16"/>
              </w:rPr>
              <w:t>Referencia actualizada a finales de 2011</w:t>
            </w:r>
            <w:r w:rsidRPr="00827314">
              <w:rPr>
                <w:b/>
                <w:sz w:val="16"/>
                <w:szCs w:val="16"/>
              </w:rPr>
              <w:t xml:space="preserve"> </w:t>
            </w:r>
          </w:p>
        </w:tc>
        <w:tc>
          <w:tcPr>
            <w:tcW w:w="1848" w:type="pct"/>
            <w:tcBorders>
              <w:top w:val="single" w:sz="4" w:space="0" w:color="auto"/>
            </w:tcBorders>
            <w:shd w:val="clear" w:color="auto" w:fill="FFFFFF"/>
            <w:tcMar>
              <w:top w:w="110" w:type="dxa"/>
            </w:tcMar>
            <w:vAlign w:val="center"/>
          </w:tcPr>
          <w:p w:rsidR="00B070BF" w:rsidRPr="00827314" w:rsidRDefault="00B070BF" w:rsidP="00C33D4A">
            <w:pPr>
              <w:widowControl w:val="0"/>
              <w:spacing w:after="120"/>
              <w:rPr>
                <w:sz w:val="16"/>
                <w:szCs w:val="16"/>
              </w:rPr>
            </w:pPr>
            <w:r w:rsidRPr="00827314">
              <w:rPr>
                <w:b/>
                <w:bCs/>
                <w:sz w:val="16"/>
                <w:szCs w:val="16"/>
              </w:rPr>
              <w:t>Datos sobre el rendimiento</w:t>
            </w:r>
          </w:p>
        </w:tc>
        <w:tc>
          <w:tcPr>
            <w:tcW w:w="557" w:type="pct"/>
            <w:tcBorders>
              <w:top w:val="single" w:sz="4" w:space="0" w:color="auto"/>
            </w:tcBorders>
            <w:shd w:val="clear" w:color="auto" w:fill="auto"/>
            <w:tcMar>
              <w:top w:w="110" w:type="dxa"/>
            </w:tcMar>
            <w:vAlign w:val="center"/>
          </w:tcPr>
          <w:p w:rsidR="00B070BF" w:rsidRPr="00827314" w:rsidRDefault="00B070BF" w:rsidP="00C33D4A">
            <w:pPr>
              <w:widowControl w:val="0"/>
              <w:spacing w:after="120"/>
              <w:jc w:val="center"/>
              <w:rPr>
                <w:b/>
                <w:bCs/>
                <w:sz w:val="16"/>
                <w:szCs w:val="16"/>
              </w:rPr>
            </w:pPr>
            <w:r w:rsidRPr="00827314">
              <w:rPr>
                <w:b/>
                <w:bCs/>
                <w:sz w:val="16"/>
                <w:szCs w:val="16"/>
              </w:rPr>
              <w:t>Clave de colores</w:t>
            </w:r>
          </w:p>
        </w:tc>
      </w:tr>
      <w:tr w:rsidR="00B070BF" w:rsidRPr="00827314" w:rsidTr="00C33D4A">
        <w:trPr>
          <w:cantSplit/>
        </w:trPr>
        <w:tc>
          <w:tcPr>
            <w:tcW w:w="874" w:type="pct"/>
            <w:shd w:val="clear" w:color="auto" w:fill="FFFFFF"/>
          </w:tcPr>
          <w:p w:rsidR="00B070BF" w:rsidRPr="00827314" w:rsidRDefault="00B070BF" w:rsidP="00C33D4A">
            <w:pPr>
              <w:widowControl w:val="0"/>
              <w:rPr>
                <w:sz w:val="16"/>
                <w:szCs w:val="16"/>
                <w:lang w:bidi="th-TH"/>
              </w:rPr>
            </w:pPr>
            <w:r w:rsidRPr="00827314">
              <w:rPr>
                <w:sz w:val="16"/>
                <w:szCs w:val="16"/>
              </w:rPr>
              <w:t>Número de solicitudes de comunicaciones en virtud del Artículo 6ter Convenio de París a las que se ha respondido.</w:t>
            </w:r>
          </w:p>
        </w:tc>
        <w:tc>
          <w:tcPr>
            <w:tcW w:w="805" w:type="pct"/>
            <w:shd w:val="clear" w:color="auto" w:fill="C0C0C0"/>
          </w:tcPr>
          <w:p w:rsidR="00B070BF" w:rsidRPr="00827314" w:rsidRDefault="00B070BF" w:rsidP="00C33D4A">
            <w:pPr>
              <w:widowControl w:val="0"/>
              <w:rPr>
                <w:sz w:val="16"/>
                <w:szCs w:val="16"/>
                <w:lang w:bidi="th-TH"/>
              </w:rPr>
            </w:pPr>
            <w:r w:rsidRPr="00827314">
              <w:rPr>
                <w:sz w:val="16"/>
                <w:szCs w:val="16"/>
              </w:rPr>
              <w:t>Número de solicitudes de comunicación recibidas en 2010/11.</w:t>
            </w:r>
          </w:p>
        </w:tc>
        <w:tc>
          <w:tcPr>
            <w:tcW w:w="916" w:type="pct"/>
            <w:shd w:val="clear" w:color="auto" w:fill="auto"/>
            <w:tcMar>
              <w:top w:w="110" w:type="dxa"/>
            </w:tcMar>
          </w:tcPr>
          <w:p w:rsidR="00B070BF" w:rsidRPr="00793D61" w:rsidRDefault="00B070BF" w:rsidP="00C33D4A">
            <w:pPr>
              <w:widowControl w:val="0"/>
              <w:rPr>
                <w:color w:val="943634"/>
                <w:sz w:val="16"/>
                <w:szCs w:val="16"/>
                <w:lang w:bidi="th-TH"/>
              </w:rPr>
            </w:pPr>
            <w:r w:rsidRPr="00793D61">
              <w:rPr>
                <w:color w:val="943634"/>
                <w:sz w:val="16"/>
                <w:szCs w:val="16"/>
                <w:lang w:bidi="th-TH"/>
              </w:rPr>
              <w:t>65 solicitudes recibidas en 2010/11 de las cuales se aceptó la comunicación de 52 de ellas.</w:t>
            </w:r>
          </w:p>
        </w:tc>
        <w:tc>
          <w:tcPr>
            <w:tcW w:w="1848" w:type="pct"/>
            <w:shd w:val="clear" w:color="auto" w:fill="FFFFFF"/>
            <w:tcMar>
              <w:top w:w="110" w:type="dxa"/>
            </w:tcMar>
          </w:tcPr>
          <w:p w:rsidR="00B070BF" w:rsidRPr="00827314" w:rsidRDefault="00B070BF" w:rsidP="00C33D4A">
            <w:pPr>
              <w:widowControl w:val="0"/>
              <w:rPr>
                <w:sz w:val="16"/>
                <w:szCs w:val="16"/>
                <w:lang w:bidi="th-TH"/>
              </w:rPr>
            </w:pPr>
            <w:r w:rsidRPr="00827314">
              <w:rPr>
                <w:sz w:val="16"/>
                <w:szCs w:val="16"/>
                <w:lang w:bidi="th-TH"/>
              </w:rPr>
              <w:t>69 solicitudes de comunicación recibidas de las cuales 12 se publicaron en 2012.</w:t>
            </w:r>
          </w:p>
          <w:p w:rsidR="00B070BF" w:rsidRPr="00827314" w:rsidRDefault="00B070BF" w:rsidP="00C33D4A">
            <w:pPr>
              <w:widowControl w:val="0"/>
              <w:rPr>
                <w:sz w:val="16"/>
                <w:szCs w:val="16"/>
                <w:lang w:bidi="th-TH"/>
              </w:rPr>
            </w:pPr>
          </w:p>
          <w:p w:rsidR="00B070BF" w:rsidRPr="00827314" w:rsidRDefault="00B070BF" w:rsidP="00C33D4A">
            <w:pPr>
              <w:widowControl w:val="0"/>
              <w:rPr>
                <w:sz w:val="16"/>
                <w:szCs w:val="16"/>
                <w:lang w:bidi="th-TH"/>
              </w:rPr>
            </w:pPr>
          </w:p>
        </w:tc>
        <w:tc>
          <w:tcPr>
            <w:tcW w:w="557" w:type="pct"/>
            <w:shd w:val="clear" w:color="auto" w:fill="auto"/>
            <w:tcMar>
              <w:top w:w="110" w:type="dxa"/>
            </w:tcMar>
          </w:tcPr>
          <w:p w:rsidR="00B070BF" w:rsidRPr="00827314" w:rsidRDefault="00B070BF" w:rsidP="00C33D4A">
            <w:pPr>
              <w:widowControl w:val="0"/>
              <w:jc w:val="center"/>
              <w:rPr>
                <w:b/>
                <w:sz w:val="16"/>
                <w:szCs w:val="16"/>
              </w:rPr>
            </w:pPr>
            <w:r w:rsidRPr="009577DE">
              <w:rPr>
                <w:b/>
                <w:color w:val="008000"/>
                <w:sz w:val="16"/>
                <w:szCs w:val="16"/>
              </w:rPr>
              <w:t>Progresa con normalidad</w:t>
            </w:r>
          </w:p>
          <w:p w:rsidR="00B070BF" w:rsidRPr="00827314" w:rsidRDefault="00B070BF" w:rsidP="00C33D4A">
            <w:pPr>
              <w:widowControl w:val="0"/>
              <w:jc w:val="center"/>
              <w:rPr>
                <w:bCs/>
                <w:sz w:val="16"/>
                <w:szCs w:val="16"/>
              </w:rPr>
            </w:pPr>
          </w:p>
        </w:tc>
      </w:tr>
      <w:tr w:rsidR="00B070BF" w:rsidRPr="00827314" w:rsidTr="00C33D4A">
        <w:trPr>
          <w:cantSplit/>
        </w:trPr>
        <w:tc>
          <w:tcPr>
            <w:tcW w:w="874" w:type="pct"/>
            <w:shd w:val="clear" w:color="auto" w:fill="auto"/>
          </w:tcPr>
          <w:p w:rsidR="00B070BF" w:rsidRPr="00827314" w:rsidRDefault="00B070BF" w:rsidP="00C33D4A">
            <w:pPr>
              <w:widowControl w:val="0"/>
              <w:rPr>
                <w:sz w:val="16"/>
                <w:szCs w:val="16"/>
                <w:lang w:bidi="th-TH"/>
              </w:rPr>
            </w:pPr>
            <w:r w:rsidRPr="00827314">
              <w:rPr>
                <w:sz w:val="16"/>
                <w:szCs w:val="16"/>
              </w:rPr>
              <w:t>Número de signos publicados en la base de datos sobre el Artículo 6ter.</w:t>
            </w:r>
          </w:p>
        </w:tc>
        <w:tc>
          <w:tcPr>
            <w:tcW w:w="805" w:type="pct"/>
            <w:shd w:val="clear" w:color="auto" w:fill="B3B3B3"/>
          </w:tcPr>
          <w:p w:rsidR="00B070BF" w:rsidRPr="00827314" w:rsidRDefault="00B070BF" w:rsidP="00C33D4A">
            <w:pPr>
              <w:widowControl w:val="0"/>
              <w:rPr>
                <w:sz w:val="16"/>
                <w:szCs w:val="16"/>
                <w:lang w:bidi="th-TH"/>
              </w:rPr>
            </w:pPr>
            <w:r w:rsidRPr="00827314">
              <w:rPr>
                <w:sz w:val="16"/>
                <w:szCs w:val="16"/>
              </w:rPr>
              <w:t>Número de signos publicados en la base de datos sobre el Artículo 6</w:t>
            </w:r>
            <w:r w:rsidRPr="00827314">
              <w:rPr>
                <w:i/>
                <w:sz w:val="16"/>
                <w:szCs w:val="16"/>
              </w:rPr>
              <w:t>ter</w:t>
            </w:r>
            <w:r w:rsidRPr="00827314">
              <w:rPr>
                <w:sz w:val="16"/>
                <w:szCs w:val="16"/>
              </w:rPr>
              <w:t xml:space="preserve"> en 2010/11.</w:t>
            </w:r>
          </w:p>
        </w:tc>
        <w:tc>
          <w:tcPr>
            <w:tcW w:w="916" w:type="pct"/>
            <w:shd w:val="clear" w:color="auto" w:fill="auto"/>
            <w:tcMar>
              <w:top w:w="110" w:type="dxa"/>
            </w:tcMar>
          </w:tcPr>
          <w:p w:rsidR="00B070BF" w:rsidRPr="00793D61" w:rsidRDefault="00B070BF" w:rsidP="00C33D4A">
            <w:pPr>
              <w:widowControl w:val="0"/>
              <w:rPr>
                <w:color w:val="943634"/>
                <w:sz w:val="16"/>
                <w:szCs w:val="16"/>
                <w:lang w:bidi="th-TH"/>
              </w:rPr>
            </w:pPr>
            <w:r w:rsidRPr="00793D61">
              <w:rPr>
                <w:color w:val="943634"/>
                <w:sz w:val="16"/>
                <w:szCs w:val="16"/>
                <w:lang w:bidi="th-TH"/>
              </w:rPr>
              <w:t>411 signos publicados en la base de datos sobre el Artículo 6</w:t>
            </w:r>
            <w:r w:rsidRPr="00793D61">
              <w:rPr>
                <w:i/>
                <w:color w:val="943634"/>
                <w:sz w:val="16"/>
                <w:szCs w:val="16"/>
                <w:lang w:bidi="th-TH"/>
              </w:rPr>
              <w:t>ter</w:t>
            </w:r>
            <w:r w:rsidRPr="00793D61">
              <w:rPr>
                <w:color w:val="943634"/>
                <w:sz w:val="16"/>
                <w:szCs w:val="16"/>
                <w:lang w:bidi="th-TH"/>
              </w:rPr>
              <w:t xml:space="preserve"> en 2010/11.</w:t>
            </w:r>
          </w:p>
        </w:tc>
        <w:tc>
          <w:tcPr>
            <w:tcW w:w="1848" w:type="pct"/>
            <w:shd w:val="clear" w:color="auto" w:fill="FFFFFF"/>
            <w:tcMar>
              <w:top w:w="110" w:type="dxa"/>
            </w:tcMar>
          </w:tcPr>
          <w:p w:rsidR="00B070BF" w:rsidRPr="00827314" w:rsidRDefault="00B070BF" w:rsidP="00C33D4A">
            <w:pPr>
              <w:widowControl w:val="0"/>
              <w:rPr>
                <w:sz w:val="16"/>
                <w:szCs w:val="16"/>
                <w:lang w:bidi="th-TH"/>
              </w:rPr>
            </w:pPr>
            <w:r w:rsidRPr="00827314">
              <w:rPr>
                <w:sz w:val="16"/>
                <w:szCs w:val="16"/>
                <w:lang w:bidi="th-TH"/>
              </w:rPr>
              <w:t>75 signos individuales adicionales se publicaron en 2012 (486 en total).</w:t>
            </w:r>
          </w:p>
        </w:tc>
        <w:tc>
          <w:tcPr>
            <w:tcW w:w="557" w:type="pct"/>
            <w:shd w:val="clear" w:color="auto" w:fill="auto"/>
          </w:tcPr>
          <w:p w:rsidR="00B070BF" w:rsidRPr="00827314" w:rsidRDefault="00B070BF" w:rsidP="00C33D4A">
            <w:pPr>
              <w:widowControl w:val="0"/>
              <w:jc w:val="center"/>
              <w:rPr>
                <w:b/>
                <w:sz w:val="16"/>
                <w:szCs w:val="16"/>
              </w:rPr>
            </w:pPr>
            <w:r w:rsidRPr="009577DE">
              <w:rPr>
                <w:b/>
                <w:color w:val="008000"/>
                <w:sz w:val="16"/>
                <w:szCs w:val="16"/>
              </w:rPr>
              <w:t>Progresa con normalidad</w:t>
            </w:r>
          </w:p>
          <w:p w:rsidR="00B070BF" w:rsidRPr="00827314" w:rsidRDefault="00B070BF" w:rsidP="00C33D4A">
            <w:pPr>
              <w:widowControl w:val="0"/>
              <w:jc w:val="center"/>
              <w:rPr>
                <w:bCs/>
                <w:sz w:val="16"/>
                <w:szCs w:val="16"/>
              </w:rPr>
            </w:pPr>
          </w:p>
          <w:p w:rsidR="00B070BF" w:rsidRPr="00827314" w:rsidRDefault="00B070BF" w:rsidP="00C33D4A">
            <w:pPr>
              <w:widowControl w:val="0"/>
              <w:jc w:val="center"/>
              <w:rPr>
                <w:bCs/>
                <w:sz w:val="16"/>
                <w:szCs w:val="16"/>
              </w:rPr>
            </w:pPr>
          </w:p>
        </w:tc>
      </w:tr>
      <w:tr w:rsidR="00B070BF" w:rsidRPr="00827314" w:rsidTr="00C33D4A">
        <w:trPr>
          <w:cantSplit/>
        </w:trPr>
        <w:tc>
          <w:tcPr>
            <w:tcW w:w="874" w:type="pct"/>
            <w:shd w:val="clear" w:color="auto" w:fill="auto"/>
          </w:tcPr>
          <w:p w:rsidR="00B070BF" w:rsidRPr="00827314" w:rsidRDefault="00B070BF" w:rsidP="00C33D4A">
            <w:pPr>
              <w:widowControl w:val="0"/>
              <w:rPr>
                <w:sz w:val="16"/>
                <w:szCs w:val="16"/>
                <w:lang w:bidi="th-TH"/>
              </w:rPr>
            </w:pPr>
            <w:r w:rsidRPr="00827314">
              <w:rPr>
                <w:sz w:val="16"/>
                <w:szCs w:val="16"/>
              </w:rPr>
              <w:t>Directrices exhaustivas para la aplicación del Artículo 6</w:t>
            </w:r>
            <w:r w:rsidRPr="00827314">
              <w:rPr>
                <w:i/>
                <w:sz w:val="16"/>
                <w:szCs w:val="16"/>
              </w:rPr>
              <w:t>te</w:t>
            </w:r>
            <w:r w:rsidRPr="00827314">
              <w:rPr>
                <w:sz w:val="16"/>
                <w:szCs w:val="16"/>
              </w:rPr>
              <w:t>r.</w:t>
            </w:r>
          </w:p>
        </w:tc>
        <w:tc>
          <w:tcPr>
            <w:tcW w:w="805" w:type="pct"/>
            <w:shd w:val="clear" w:color="auto" w:fill="B3B3B3"/>
          </w:tcPr>
          <w:p w:rsidR="00B070BF" w:rsidRPr="00827314" w:rsidRDefault="00B070BF" w:rsidP="00C33D4A">
            <w:pPr>
              <w:widowControl w:val="0"/>
              <w:rPr>
                <w:sz w:val="16"/>
                <w:szCs w:val="16"/>
                <w:lang w:bidi="th-TH"/>
              </w:rPr>
            </w:pPr>
            <w:r w:rsidRPr="00827314">
              <w:rPr>
                <w:sz w:val="16"/>
                <w:szCs w:val="16"/>
              </w:rPr>
              <w:t>Directrices de aplicación del Artículo 6</w:t>
            </w:r>
            <w:r w:rsidRPr="00827314">
              <w:rPr>
                <w:i/>
                <w:sz w:val="16"/>
                <w:szCs w:val="16"/>
              </w:rPr>
              <w:t xml:space="preserve">ter </w:t>
            </w:r>
            <w:r w:rsidRPr="00827314">
              <w:rPr>
                <w:sz w:val="16"/>
                <w:szCs w:val="16"/>
              </w:rPr>
              <w:t>1)b) y 3)b) de 1992.</w:t>
            </w:r>
          </w:p>
        </w:tc>
        <w:tc>
          <w:tcPr>
            <w:tcW w:w="916" w:type="pct"/>
            <w:shd w:val="clear" w:color="auto" w:fill="auto"/>
            <w:tcMar>
              <w:top w:w="110" w:type="dxa"/>
            </w:tcMar>
          </w:tcPr>
          <w:p w:rsidR="00B070BF" w:rsidRPr="00793D61" w:rsidRDefault="00B070BF" w:rsidP="00C33D4A">
            <w:pPr>
              <w:widowControl w:val="0"/>
              <w:rPr>
                <w:color w:val="943634"/>
                <w:sz w:val="16"/>
                <w:szCs w:val="16"/>
                <w:lang w:bidi="th-TH"/>
              </w:rPr>
            </w:pPr>
          </w:p>
        </w:tc>
        <w:tc>
          <w:tcPr>
            <w:tcW w:w="1848" w:type="pct"/>
            <w:shd w:val="clear" w:color="auto" w:fill="FFFFFF"/>
            <w:tcMar>
              <w:top w:w="110" w:type="dxa"/>
            </w:tcMar>
          </w:tcPr>
          <w:p w:rsidR="00B070BF" w:rsidRPr="00827314" w:rsidRDefault="00B070BF" w:rsidP="00C33D4A">
            <w:pPr>
              <w:widowControl w:val="0"/>
              <w:rPr>
                <w:sz w:val="16"/>
                <w:szCs w:val="16"/>
                <w:lang w:bidi="th-TH"/>
              </w:rPr>
            </w:pPr>
            <w:r w:rsidRPr="00827314">
              <w:rPr>
                <w:sz w:val="16"/>
                <w:szCs w:val="16"/>
                <w:lang w:bidi="th-TH"/>
              </w:rPr>
              <w:t>Debido al extenso programa de trabajo del SCT y a la ausencia de una propuesta concreta de los Estados miembros, no se llevó a cabo la actividad.</w:t>
            </w:r>
          </w:p>
        </w:tc>
        <w:tc>
          <w:tcPr>
            <w:tcW w:w="557" w:type="pct"/>
            <w:shd w:val="clear" w:color="auto" w:fill="auto"/>
            <w:tcMar>
              <w:top w:w="110" w:type="dxa"/>
            </w:tcMar>
          </w:tcPr>
          <w:p w:rsidR="00B070BF" w:rsidRPr="00827314" w:rsidRDefault="00B070BF" w:rsidP="00C33D4A">
            <w:pPr>
              <w:widowControl w:val="0"/>
              <w:spacing w:after="120"/>
              <w:jc w:val="center"/>
              <w:rPr>
                <w:b/>
                <w:sz w:val="16"/>
                <w:szCs w:val="16"/>
              </w:rPr>
            </w:pPr>
            <w:r w:rsidRPr="009577DE">
              <w:rPr>
                <w:b/>
                <w:color w:val="A6A6A6" w:themeColor="background1" w:themeShade="A6"/>
                <w:sz w:val="16"/>
                <w:szCs w:val="16"/>
              </w:rPr>
              <w:t>Interrumpido</w:t>
            </w:r>
          </w:p>
        </w:tc>
      </w:tr>
      <w:tr w:rsidR="00B070BF" w:rsidRPr="00827314" w:rsidTr="00C33D4A">
        <w:trPr>
          <w:cantSplit/>
        </w:trPr>
        <w:tc>
          <w:tcPr>
            <w:tcW w:w="5000" w:type="pct"/>
            <w:gridSpan w:val="5"/>
            <w:tcBorders>
              <w:top w:val="single" w:sz="4" w:space="0" w:color="auto"/>
              <w:bottom w:val="single" w:sz="4" w:space="0" w:color="auto"/>
            </w:tcBorders>
            <w:shd w:val="clear" w:color="auto" w:fill="CCFFFF"/>
            <w:vAlign w:val="center"/>
          </w:tcPr>
          <w:p w:rsidR="00B070BF" w:rsidRPr="00827314" w:rsidRDefault="00B070BF" w:rsidP="00C33D4A">
            <w:pPr>
              <w:widowControl w:val="0"/>
              <w:tabs>
                <w:tab w:val="left" w:pos="1735"/>
              </w:tabs>
              <w:spacing w:before="120" w:after="120"/>
              <w:ind w:left="1735" w:hanging="1701"/>
              <w:rPr>
                <w:b/>
                <w:bCs/>
                <w:sz w:val="16"/>
                <w:szCs w:val="16"/>
              </w:rPr>
            </w:pPr>
            <w:r>
              <w:rPr>
                <w:b/>
                <w:bCs/>
                <w:sz w:val="16"/>
                <w:szCs w:val="16"/>
              </w:rPr>
              <w:lastRenderedPageBreak/>
              <w:t>Resultado previsto:</w:t>
            </w:r>
            <w:r>
              <w:rPr>
                <w:b/>
                <w:bCs/>
                <w:sz w:val="16"/>
                <w:szCs w:val="16"/>
              </w:rPr>
              <w:tab/>
            </w:r>
            <w:r w:rsidRPr="00827314">
              <w:rPr>
                <w:bCs/>
                <w:sz w:val="16"/>
                <w:szCs w:val="16"/>
              </w:rPr>
              <w:t xml:space="preserve"> Marcos de P.I. adaptados y equilibrados en el ámbito legislativo, regulador y de política.</w:t>
            </w:r>
            <w:r w:rsidRPr="00827314">
              <w:rPr>
                <w:sz w:val="16"/>
                <w:szCs w:val="16"/>
              </w:rPr>
              <w:t xml:space="preserve">  </w:t>
            </w:r>
          </w:p>
        </w:tc>
      </w:tr>
      <w:tr w:rsidR="00B070BF" w:rsidRPr="00827314" w:rsidTr="00C33D4A">
        <w:trPr>
          <w:cantSplit/>
        </w:trPr>
        <w:tc>
          <w:tcPr>
            <w:tcW w:w="874" w:type="pct"/>
            <w:tcBorders>
              <w:top w:val="single" w:sz="4" w:space="0" w:color="auto"/>
            </w:tcBorders>
            <w:shd w:val="clear" w:color="auto" w:fill="auto"/>
            <w:vAlign w:val="center"/>
          </w:tcPr>
          <w:p w:rsidR="00B070BF" w:rsidRPr="00827314" w:rsidRDefault="00B070BF" w:rsidP="00C33D4A">
            <w:pPr>
              <w:widowControl w:val="0"/>
              <w:spacing w:after="120"/>
              <w:rPr>
                <w:sz w:val="16"/>
                <w:szCs w:val="16"/>
              </w:rPr>
            </w:pPr>
            <w:r w:rsidRPr="00827314">
              <w:rPr>
                <w:b/>
                <w:bCs/>
                <w:sz w:val="16"/>
                <w:szCs w:val="16"/>
              </w:rPr>
              <w:t>Indicadores de rendimiento</w:t>
            </w:r>
          </w:p>
        </w:tc>
        <w:tc>
          <w:tcPr>
            <w:tcW w:w="805" w:type="pct"/>
            <w:tcBorders>
              <w:top w:val="single" w:sz="4" w:space="0" w:color="auto"/>
            </w:tcBorders>
            <w:shd w:val="clear" w:color="auto" w:fill="C0C0C0"/>
          </w:tcPr>
          <w:p w:rsidR="00B070BF" w:rsidRPr="00827314" w:rsidRDefault="00B070BF" w:rsidP="00C33D4A">
            <w:pPr>
              <w:widowControl w:val="0"/>
              <w:spacing w:after="120"/>
              <w:rPr>
                <w:b/>
                <w:bCs/>
                <w:sz w:val="16"/>
                <w:szCs w:val="16"/>
              </w:rPr>
            </w:pPr>
            <w:r w:rsidRPr="00827314">
              <w:rPr>
                <w:b/>
                <w:bCs/>
                <w:sz w:val="16"/>
                <w:szCs w:val="16"/>
              </w:rPr>
              <w:t>Referencia (</w:t>
            </w:r>
            <w:proofErr w:type="spellStart"/>
            <w:r w:rsidRPr="00827314">
              <w:rPr>
                <w:b/>
                <w:bCs/>
                <w:sz w:val="16"/>
                <w:szCs w:val="16"/>
              </w:rPr>
              <w:t>Presup</w:t>
            </w:r>
            <w:proofErr w:type="spellEnd"/>
            <w:r w:rsidRPr="00827314">
              <w:rPr>
                <w:b/>
                <w:bCs/>
                <w:sz w:val="16"/>
                <w:szCs w:val="16"/>
              </w:rPr>
              <w:t xml:space="preserve">. por </w:t>
            </w:r>
            <w:proofErr w:type="spellStart"/>
            <w:r w:rsidRPr="00827314">
              <w:rPr>
                <w:b/>
                <w:bCs/>
                <w:sz w:val="16"/>
                <w:szCs w:val="16"/>
              </w:rPr>
              <w:t>prog</w:t>
            </w:r>
            <w:proofErr w:type="spellEnd"/>
            <w:r w:rsidRPr="00827314">
              <w:rPr>
                <w:b/>
                <w:bCs/>
                <w:sz w:val="16"/>
                <w:szCs w:val="16"/>
              </w:rPr>
              <w:t>. 2012/13)</w:t>
            </w:r>
          </w:p>
        </w:tc>
        <w:tc>
          <w:tcPr>
            <w:tcW w:w="916" w:type="pct"/>
            <w:tcBorders>
              <w:top w:val="single" w:sz="4" w:space="0" w:color="auto"/>
            </w:tcBorders>
            <w:shd w:val="clear" w:color="auto" w:fill="auto"/>
            <w:tcMar>
              <w:top w:w="110" w:type="dxa"/>
            </w:tcMar>
            <w:vAlign w:val="center"/>
          </w:tcPr>
          <w:p w:rsidR="00B070BF" w:rsidRPr="00827314" w:rsidRDefault="00B070BF" w:rsidP="00C33D4A">
            <w:pPr>
              <w:widowControl w:val="0"/>
              <w:spacing w:after="120"/>
              <w:rPr>
                <w:b/>
                <w:sz w:val="16"/>
                <w:szCs w:val="16"/>
              </w:rPr>
            </w:pPr>
            <w:r w:rsidRPr="00BF138D">
              <w:rPr>
                <w:b/>
                <w:color w:val="993300"/>
                <w:sz w:val="16"/>
                <w:szCs w:val="16"/>
              </w:rPr>
              <w:t>Referencia actualizada a finales de 2011</w:t>
            </w:r>
            <w:r w:rsidRPr="00827314">
              <w:rPr>
                <w:b/>
                <w:sz w:val="16"/>
                <w:szCs w:val="16"/>
              </w:rPr>
              <w:t xml:space="preserve"> </w:t>
            </w:r>
          </w:p>
        </w:tc>
        <w:tc>
          <w:tcPr>
            <w:tcW w:w="1848" w:type="pct"/>
            <w:tcBorders>
              <w:top w:val="single" w:sz="4" w:space="0" w:color="auto"/>
            </w:tcBorders>
            <w:shd w:val="clear" w:color="auto" w:fill="FFFFFF"/>
            <w:tcMar>
              <w:top w:w="110" w:type="dxa"/>
            </w:tcMar>
            <w:vAlign w:val="center"/>
          </w:tcPr>
          <w:p w:rsidR="00B070BF" w:rsidRPr="00827314" w:rsidRDefault="00B070BF" w:rsidP="00C33D4A">
            <w:pPr>
              <w:widowControl w:val="0"/>
              <w:spacing w:after="120"/>
              <w:rPr>
                <w:sz w:val="16"/>
                <w:szCs w:val="16"/>
              </w:rPr>
            </w:pPr>
            <w:r w:rsidRPr="00827314">
              <w:rPr>
                <w:b/>
                <w:bCs/>
                <w:sz w:val="16"/>
                <w:szCs w:val="16"/>
              </w:rPr>
              <w:t>Datos sobre el rendimiento</w:t>
            </w:r>
          </w:p>
        </w:tc>
        <w:tc>
          <w:tcPr>
            <w:tcW w:w="557" w:type="pct"/>
            <w:tcBorders>
              <w:top w:val="single" w:sz="4" w:space="0" w:color="auto"/>
            </w:tcBorders>
            <w:shd w:val="clear" w:color="auto" w:fill="auto"/>
            <w:tcMar>
              <w:top w:w="110" w:type="dxa"/>
            </w:tcMar>
            <w:vAlign w:val="center"/>
          </w:tcPr>
          <w:p w:rsidR="00B070BF" w:rsidRPr="00827314" w:rsidRDefault="00B070BF" w:rsidP="00C33D4A">
            <w:pPr>
              <w:widowControl w:val="0"/>
              <w:spacing w:after="120"/>
              <w:jc w:val="center"/>
              <w:rPr>
                <w:b/>
                <w:bCs/>
                <w:sz w:val="16"/>
                <w:szCs w:val="16"/>
              </w:rPr>
            </w:pPr>
            <w:r w:rsidRPr="00827314">
              <w:rPr>
                <w:b/>
                <w:bCs/>
                <w:sz w:val="16"/>
                <w:szCs w:val="16"/>
              </w:rPr>
              <w:t>Clave de colores</w:t>
            </w:r>
          </w:p>
        </w:tc>
      </w:tr>
      <w:tr w:rsidR="00B070BF" w:rsidRPr="00827314" w:rsidTr="00C33D4A">
        <w:trPr>
          <w:cantSplit/>
        </w:trPr>
        <w:tc>
          <w:tcPr>
            <w:tcW w:w="874" w:type="pct"/>
            <w:shd w:val="clear" w:color="auto" w:fill="FFFFFF"/>
          </w:tcPr>
          <w:p w:rsidR="00B070BF" w:rsidRPr="00827314" w:rsidRDefault="00B070BF" w:rsidP="00C33D4A">
            <w:pPr>
              <w:widowControl w:val="0"/>
              <w:rPr>
                <w:sz w:val="16"/>
                <w:szCs w:val="16"/>
                <w:lang w:bidi="th-TH"/>
              </w:rPr>
            </w:pPr>
            <w:r w:rsidRPr="00827314">
              <w:rPr>
                <w:sz w:val="16"/>
                <w:szCs w:val="16"/>
              </w:rPr>
              <w:t>Número de Estados miembros que recibieron asesoramiento en materia legislativa en la esfera de las marcas, los dibujos y modelos industriales y las indicaciones geográficas.</w:t>
            </w:r>
          </w:p>
        </w:tc>
        <w:tc>
          <w:tcPr>
            <w:tcW w:w="805" w:type="pct"/>
            <w:shd w:val="clear" w:color="auto" w:fill="C0C0C0"/>
          </w:tcPr>
          <w:p w:rsidR="00B070BF" w:rsidRPr="00827314" w:rsidRDefault="00B070BF" w:rsidP="00C33D4A">
            <w:pPr>
              <w:widowControl w:val="0"/>
              <w:rPr>
                <w:sz w:val="16"/>
                <w:szCs w:val="16"/>
              </w:rPr>
            </w:pPr>
            <w:r w:rsidRPr="00827314">
              <w:rPr>
                <w:sz w:val="16"/>
                <w:szCs w:val="16"/>
              </w:rPr>
              <w:t>19 (2010)</w:t>
            </w:r>
          </w:p>
          <w:p w:rsidR="00B070BF" w:rsidRPr="00827314" w:rsidRDefault="00B070BF" w:rsidP="00C33D4A">
            <w:pPr>
              <w:widowControl w:val="0"/>
              <w:rPr>
                <w:sz w:val="16"/>
                <w:szCs w:val="16"/>
                <w:lang w:bidi="th-TH"/>
              </w:rPr>
            </w:pPr>
            <w:r w:rsidRPr="00827314">
              <w:rPr>
                <w:sz w:val="16"/>
                <w:szCs w:val="16"/>
              </w:rPr>
              <w:t>20 (2011)</w:t>
            </w:r>
          </w:p>
        </w:tc>
        <w:tc>
          <w:tcPr>
            <w:tcW w:w="916" w:type="pct"/>
            <w:shd w:val="clear" w:color="auto" w:fill="auto"/>
            <w:tcMar>
              <w:top w:w="110" w:type="dxa"/>
            </w:tcMar>
          </w:tcPr>
          <w:p w:rsidR="00B070BF" w:rsidRPr="00827314" w:rsidRDefault="00B070BF" w:rsidP="00C33D4A">
            <w:pPr>
              <w:widowControl w:val="0"/>
              <w:rPr>
                <w:sz w:val="16"/>
                <w:szCs w:val="16"/>
                <w:lang w:bidi="th-TH"/>
              </w:rPr>
            </w:pPr>
          </w:p>
        </w:tc>
        <w:tc>
          <w:tcPr>
            <w:tcW w:w="1848" w:type="pct"/>
            <w:shd w:val="clear" w:color="auto" w:fill="FFFFFF"/>
            <w:tcMar>
              <w:top w:w="110" w:type="dxa"/>
            </w:tcMar>
          </w:tcPr>
          <w:p w:rsidR="00B070BF" w:rsidRPr="00827314" w:rsidRDefault="00B070BF" w:rsidP="00C33D4A">
            <w:pPr>
              <w:widowControl w:val="0"/>
              <w:rPr>
                <w:sz w:val="16"/>
                <w:szCs w:val="16"/>
                <w:lang w:bidi="th-TH"/>
              </w:rPr>
            </w:pPr>
            <w:r w:rsidRPr="00827314">
              <w:rPr>
                <w:sz w:val="16"/>
                <w:szCs w:val="16"/>
                <w:lang w:bidi="th-TH"/>
              </w:rPr>
              <w:t>Se proporcionó asesoramiento a 11 Estados miembros sobre 18 proyectos de legislación específicos (África (2);  Países Árabes (1);  Asia y el Pacífico (1);  América Latina y el Caribe (7)).</w:t>
            </w:r>
          </w:p>
          <w:p w:rsidR="00B070BF" w:rsidRPr="00827314" w:rsidRDefault="00B070BF" w:rsidP="00C33D4A">
            <w:pPr>
              <w:widowControl w:val="0"/>
              <w:rPr>
                <w:sz w:val="16"/>
                <w:szCs w:val="16"/>
                <w:lang w:bidi="th-TH"/>
              </w:rPr>
            </w:pPr>
          </w:p>
          <w:p w:rsidR="00B070BF" w:rsidRPr="00827314" w:rsidRDefault="00B070BF" w:rsidP="00C33D4A">
            <w:pPr>
              <w:widowControl w:val="0"/>
              <w:rPr>
                <w:sz w:val="16"/>
                <w:szCs w:val="16"/>
                <w:lang w:bidi="th-TH"/>
              </w:rPr>
            </w:pPr>
          </w:p>
        </w:tc>
        <w:tc>
          <w:tcPr>
            <w:tcW w:w="557" w:type="pct"/>
            <w:shd w:val="clear" w:color="auto" w:fill="auto"/>
            <w:tcMar>
              <w:top w:w="110" w:type="dxa"/>
            </w:tcMar>
          </w:tcPr>
          <w:p w:rsidR="00B070BF" w:rsidRPr="00827314" w:rsidRDefault="00B070BF" w:rsidP="00C33D4A">
            <w:pPr>
              <w:widowControl w:val="0"/>
              <w:jc w:val="center"/>
              <w:rPr>
                <w:b/>
                <w:sz w:val="16"/>
                <w:szCs w:val="16"/>
              </w:rPr>
            </w:pPr>
            <w:r w:rsidRPr="009577DE">
              <w:rPr>
                <w:b/>
                <w:color w:val="008000"/>
                <w:sz w:val="16"/>
                <w:szCs w:val="16"/>
              </w:rPr>
              <w:t>Progresa con normalidad</w:t>
            </w:r>
          </w:p>
          <w:p w:rsidR="00B070BF" w:rsidRPr="00827314" w:rsidRDefault="00B070BF" w:rsidP="00C33D4A">
            <w:pPr>
              <w:widowControl w:val="0"/>
              <w:jc w:val="center"/>
              <w:rPr>
                <w:bCs/>
                <w:sz w:val="16"/>
                <w:szCs w:val="16"/>
              </w:rPr>
            </w:pPr>
          </w:p>
          <w:p w:rsidR="00B070BF" w:rsidRPr="00827314" w:rsidRDefault="00B070BF" w:rsidP="00C33D4A">
            <w:pPr>
              <w:widowControl w:val="0"/>
              <w:jc w:val="center"/>
              <w:rPr>
                <w:bCs/>
                <w:sz w:val="16"/>
                <w:szCs w:val="16"/>
              </w:rPr>
            </w:pPr>
          </w:p>
        </w:tc>
      </w:tr>
      <w:tr w:rsidR="00B070BF" w:rsidRPr="00827314" w:rsidTr="00C33D4A">
        <w:trPr>
          <w:cantSplit/>
        </w:trPr>
        <w:tc>
          <w:tcPr>
            <w:tcW w:w="874" w:type="pct"/>
            <w:shd w:val="clear" w:color="auto" w:fill="auto"/>
          </w:tcPr>
          <w:p w:rsidR="00B070BF" w:rsidRPr="00827314" w:rsidRDefault="00B070BF" w:rsidP="00C33D4A">
            <w:pPr>
              <w:widowControl w:val="0"/>
              <w:rPr>
                <w:sz w:val="16"/>
                <w:szCs w:val="16"/>
                <w:lang w:bidi="th-TH"/>
              </w:rPr>
            </w:pPr>
            <w:r w:rsidRPr="00827314">
              <w:rPr>
                <w:sz w:val="16"/>
                <w:szCs w:val="16"/>
              </w:rPr>
              <w:t>Número de países que presentaron comentarios positivos sobre la utilidad del asesoramiento proporcionado en materia legislativa en la esfera de las marcas, los dibujos y modelos industriales y las indicaciones geográficas.</w:t>
            </w:r>
          </w:p>
        </w:tc>
        <w:tc>
          <w:tcPr>
            <w:tcW w:w="805" w:type="pct"/>
            <w:shd w:val="clear" w:color="auto" w:fill="B3B3B3"/>
          </w:tcPr>
          <w:p w:rsidR="00B070BF" w:rsidRPr="00827314" w:rsidRDefault="00B070BF" w:rsidP="00C33D4A">
            <w:pPr>
              <w:widowControl w:val="0"/>
              <w:rPr>
                <w:sz w:val="16"/>
                <w:szCs w:val="16"/>
                <w:lang w:bidi="th-TH"/>
              </w:rPr>
            </w:pPr>
            <w:r w:rsidRPr="00827314">
              <w:rPr>
                <w:sz w:val="16"/>
                <w:szCs w:val="16"/>
              </w:rPr>
              <w:t>No se dispone de datos.</w:t>
            </w:r>
          </w:p>
        </w:tc>
        <w:tc>
          <w:tcPr>
            <w:tcW w:w="916" w:type="pct"/>
            <w:shd w:val="clear" w:color="auto" w:fill="auto"/>
            <w:tcMar>
              <w:top w:w="110" w:type="dxa"/>
            </w:tcMar>
          </w:tcPr>
          <w:p w:rsidR="00B070BF" w:rsidRPr="00827314" w:rsidRDefault="00B070BF" w:rsidP="00C33D4A">
            <w:pPr>
              <w:widowControl w:val="0"/>
              <w:rPr>
                <w:sz w:val="16"/>
                <w:szCs w:val="16"/>
                <w:lang w:bidi="th-TH"/>
              </w:rPr>
            </w:pPr>
          </w:p>
        </w:tc>
        <w:tc>
          <w:tcPr>
            <w:tcW w:w="1848" w:type="pct"/>
            <w:shd w:val="clear" w:color="auto" w:fill="FFFFFF"/>
            <w:tcMar>
              <w:top w:w="110" w:type="dxa"/>
            </w:tcMar>
          </w:tcPr>
          <w:p w:rsidR="00B070BF" w:rsidRPr="00827314" w:rsidRDefault="00B070BF" w:rsidP="00C33D4A">
            <w:pPr>
              <w:widowControl w:val="0"/>
              <w:rPr>
                <w:sz w:val="16"/>
                <w:szCs w:val="16"/>
                <w:lang w:bidi="th-TH"/>
              </w:rPr>
            </w:pPr>
            <w:r w:rsidRPr="00827314">
              <w:rPr>
                <w:sz w:val="16"/>
                <w:szCs w:val="16"/>
                <w:lang w:bidi="th-TH"/>
              </w:rPr>
              <w:t>Comentarios positivos recibidos de tres países (de los tres encuestados).</w:t>
            </w:r>
          </w:p>
        </w:tc>
        <w:tc>
          <w:tcPr>
            <w:tcW w:w="557" w:type="pct"/>
            <w:shd w:val="clear" w:color="auto" w:fill="auto"/>
          </w:tcPr>
          <w:p w:rsidR="00B070BF" w:rsidRPr="00827314" w:rsidRDefault="00B070BF" w:rsidP="00C33D4A">
            <w:pPr>
              <w:widowControl w:val="0"/>
              <w:jc w:val="center"/>
              <w:rPr>
                <w:b/>
                <w:bCs/>
                <w:sz w:val="16"/>
                <w:szCs w:val="16"/>
              </w:rPr>
            </w:pPr>
            <w:r w:rsidRPr="009577DE">
              <w:rPr>
                <w:b/>
                <w:bCs/>
                <w:color w:val="008000"/>
                <w:sz w:val="16"/>
                <w:szCs w:val="16"/>
              </w:rPr>
              <w:t>Progresa con normalidad</w:t>
            </w:r>
          </w:p>
          <w:p w:rsidR="00B070BF" w:rsidRPr="00827314" w:rsidRDefault="00B070BF" w:rsidP="00C33D4A">
            <w:pPr>
              <w:widowControl w:val="0"/>
              <w:jc w:val="center"/>
              <w:rPr>
                <w:bCs/>
                <w:sz w:val="16"/>
                <w:szCs w:val="16"/>
              </w:rPr>
            </w:pPr>
          </w:p>
          <w:p w:rsidR="00B070BF" w:rsidRPr="00827314" w:rsidRDefault="00B070BF" w:rsidP="00C33D4A">
            <w:pPr>
              <w:widowControl w:val="0"/>
              <w:jc w:val="center"/>
              <w:rPr>
                <w:bCs/>
                <w:sz w:val="16"/>
                <w:szCs w:val="16"/>
              </w:rPr>
            </w:pPr>
          </w:p>
        </w:tc>
      </w:tr>
    </w:tbl>
    <w:p w:rsidR="00B070BF" w:rsidRDefault="00B070BF" w:rsidP="00B070BF">
      <w:pPr>
        <w:widowControl w:val="0"/>
        <w:rPr>
          <w:sz w:val="20"/>
        </w:rPr>
      </w:pPr>
    </w:p>
    <w:p w:rsidR="00B070BF" w:rsidRPr="00AB16BB" w:rsidRDefault="00B070BF" w:rsidP="00B070BF">
      <w:pPr>
        <w:widowControl w:val="0"/>
        <w:rPr>
          <w:sz w:val="20"/>
        </w:rPr>
      </w:pPr>
    </w:p>
    <w:p w:rsidR="00B070BF" w:rsidRPr="00827314" w:rsidRDefault="00B070BF" w:rsidP="00B070BF">
      <w:pPr>
        <w:widowControl w:val="0"/>
        <w:rPr>
          <w:sz w:val="20"/>
        </w:rPr>
      </w:pPr>
      <w:r w:rsidRPr="00827314">
        <w:rPr>
          <w:sz w:val="20"/>
        </w:rPr>
        <w:t>PRESUPUESTO Y GASTOS REALES</w:t>
      </w:r>
    </w:p>
    <w:p w:rsidR="00B070BF" w:rsidRPr="0028075A" w:rsidRDefault="00B070BF" w:rsidP="00B070BF">
      <w:pPr>
        <w:widowControl w:val="0"/>
        <w:rPr>
          <w:sz w:val="20"/>
        </w:rPr>
      </w:pPr>
    </w:p>
    <w:p w:rsidR="00B070BF" w:rsidRPr="0028075A" w:rsidRDefault="00B070BF" w:rsidP="00B070BF">
      <w:pPr>
        <w:widowControl w:val="0"/>
        <w:jc w:val="center"/>
        <w:rPr>
          <w:sz w:val="20"/>
        </w:rPr>
      </w:pPr>
      <w:r w:rsidRPr="0028075A">
        <w:rPr>
          <w:sz w:val="20"/>
        </w:rPr>
        <w:t>Presupuesto y gastos reales (por resultado)</w:t>
      </w:r>
    </w:p>
    <w:p w:rsidR="00B070BF" w:rsidRPr="00827314" w:rsidRDefault="00B070BF" w:rsidP="00B070BF">
      <w:pPr>
        <w:widowControl w:val="0"/>
        <w:jc w:val="center"/>
        <w:rPr>
          <w:szCs w:val="22"/>
        </w:rPr>
      </w:pPr>
      <w:r w:rsidRPr="0028075A">
        <w:rPr>
          <w:i/>
          <w:iCs/>
          <w:sz w:val="20"/>
        </w:rPr>
        <w:t>(en miles de francos suizos)</w:t>
      </w:r>
      <w:r w:rsidRPr="0028075A">
        <w:rPr>
          <w:i/>
          <w:iCs/>
          <w:sz w:val="20"/>
        </w:rPr>
        <w:br/>
      </w:r>
      <w:r w:rsidRPr="0028075A">
        <w:rPr>
          <w:i/>
          <w:iCs/>
          <w:sz w:val="20"/>
        </w:rPr>
        <w:br/>
      </w:r>
      <w:r>
        <w:rPr>
          <w:noProof/>
          <w:lang w:val="en-US" w:eastAsia="en-US"/>
        </w:rPr>
        <w:drawing>
          <wp:inline distT="0" distB="0" distL="0" distR="0" wp14:anchorId="0BCDED57" wp14:editId="7616D2EE">
            <wp:extent cx="5902325" cy="2197100"/>
            <wp:effectExtent l="0" t="0" r="3175" b="0"/>
            <wp:docPr id="191" name="Picture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02325" cy="2197100"/>
                    </a:xfrm>
                    <a:prstGeom prst="rect">
                      <a:avLst/>
                    </a:prstGeom>
                    <a:noFill/>
                    <a:ln>
                      <a:noFill/>
                    </a:ln>
                  </pic:spPr>
                </pic:pic>
              </a:graphicData>
            </a:graphic>
          </wp:inline>
        </w:drawing>
      </w:r>
    </w:p>
    <w:p w:rsidR="00B070BF" w:rsidRDefault="00B070BF" w:rsidP="00B070BF">
      <w:pPr>
        <w:widowControl w:val="0"/>
        <w:rPr>
          <w:sz w:val="20"/>
        </w:rPr>
      </w:pPr>
    </w:p>
    <w:p w:rsidR="00B070BF" w:rsidRDefault="00B070BF" w:rsidP="00B070BF">
      <w:pPr>
        <w:rPr>
          <w:sz w:val="20"/>
        </w:rPr>
      </w:pPr>
      <w:r>
        <w:rPr>
          <w:sz w:val="20"/>
        </w:rPr>
        <w:br w:type="page"/>
      </w:r>
    </w:p>
    <w:p w:rsidR="00B070BF" w:rsidRPr="0028075A" w:rsidRDefault="00B070BF" w:rsidP="00B070BF">
      <w:pPr>
        <w:widowControl w:val="0"/>
        <w:rPr>
          <w:sz w:val="20"/>
        </w:rPr>
      </w:pPr>
    </w:p>
    <w:p w:rsidR="00B070BF" w:rsidRPr="0028075A" w:rsidRDefault="00B070BF" w:rsidP="00B070BF">
      <w:pPr>
        <w:widowControl w:val="0"/>
        <w:jc w:val="center"/>
        <w:rPr>
          <w:sz w:val="20"/>
        </w:rPr>
      </w:pPr>
      <w:r w:rsidRPr="0028075A">
        <w:rPr>
          <w:sz w:val="20"/>
        </w:rPr>
        <w:t>Presupuesto y gastos reales (de personal y no relativos al personal)</w:t>
      </w:r>
    </w:p>
    <w:p w:rsidR="00B070BF" w:rsidRPr="00827314" w:rsidRDefault="00B070BF" w:rsidP="00B070BF">
      <w:pPr>
        <w:widowControl w:val="0"/>
        <w:jc w:val="center"/>
        <w:rPr>
          <w:sz w:val="20"/>
        </w:rPr>
      </w:pPr>
      <w:r w:rsidRPr="0028075A">
        <w:rPr>
          <w:i/>
          <w:sz w:val="20"/>
        </w:rPr>
        <w:t>(en miles de francos suizos)</w:t>
      </w:r>
      <w:r w:rsidRPr="0028075A">
        <w:rPr>
          <w:sz w:val="20"/>
        </w:rPr>
        <w:br/>
      </w:r>
      <w:r w:rsidRPr="0028075A">
        <w:rPr>
          <w:sz w:val="20"/>
        </w:rPr>
        <w:br/>
      </w:r>
      <w:r>
        <w:rPr>
          <w:noProof/>
          <w:lang w:val="en-US" w:eastAsia="en-US"/>
        </w:rPr>
        <w:drawing>
          <wp:inline distT="0" distB="0" distL="0" distR="0" wp14:anchorId="64A6FABB" wp14:editId="74EDC4F4">
            <wp:extent cx="5902325" cy="1187450"/>
            <wp:effectExtent l="0" t="0" r="3175" b="0"/>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02325" cy="1187450"/>
                    </a:xfrm>
                    <a:prstGeom prst="rect">
                      <a:avLst/>
                    </a:prstGeom>
                    <a:noFill/>
                    <a:ln>
                      <a:noFill/>
                    </a:ln>
                  </pic:spPr>
                </pic:pic>
              </a:graphicData>
            </a:graphic>
          </wp:inline>
        </w:drawing>
      </w:r>
    </w:p>
    <w:p w:rsidR="00B070BF" w:rsidRPr="00DB72F8" w:rsidRDefault="00B070BF" w:rsidP="00B070BF">
      <w:pPr>
        <w:widowControl w:val="0"/>
        <w:rPr>
          <w:sz w:val="20"/>
        </w:rPr>
      </w:pPr>
    </w:p>
    <w:p w:rsidR="00B070BF" w:rsidRPr="00DB72F8" w:rsidRDefault="00B070BF" w:rsidP="00B070BF">
      <w:pPr>
        <w:widowControl w:val="0"/>
        <w:autoSpaceDE w:val="0"/>
        <w:autoSpaceDN w:val="0"/>
        <w:adjustRightInd w:val="0"/>
        <w:rPr>
          <w:sz w:val="16"/>
          <w:szCs w:val="16"/>
        </w:rPr>
      </w:pPr>
      <w:r w:rsidRPr="00DB72F8">
        <w:rPr>
          <w:sz w:val="16"/>
          <w:szCs w:val="16"/>
        </w:rPr>
        <w:t>NOTAS:</w:t>
      </w:r>
    </w:p>
    <w:p w:rsidR="00B070BF" w:rsidRPr="00827314" w:rsidRDefault="00B070BF" w:rsidP="00B070BF">
      <w:pPr>
        <w:widowControl w:val="0"/>
        <w:autoSpaceDE w:val="0"/>
        <w:autoSpaceDN w:val="0"/>
        <w:adjustRightInd w:val="0"/>
        <w:rPr>
          <w:sz w:val="16"/>
          <w:szCs w:val="16"/>
        </w:rPr>
      </w:pPr>
    </w:p>
    <w:p w:rsidR="00B070BF" w:rsidRPr="00827314" w:rsidRDefault="00B070BF" w:rsidP="00B070BF">
      <w:pPr>
        <w:widowControl w:val="0"/>
        <w:autoSpaceDE w:val="0"/>
        <w:autoSpaceDN w:val="0"/>
        <w:adjustRightInd w:val="0"/>
        <w:rPr>
          <w:sz w:val="16"/>
          <w:szCs w:val="16"/>
        </w:rPr>
      </w:pPr>
      <w:r w:rsidRPr="00827314">
        <w:rPr>
          <w:sz w:val="16"/>
          <w:szCs w:val="16"/>
        </w:rPr>
        <w:t>1) El presupuesto después de las transferencias refleja el presupuesto de los programas ajustado después de las transferencias efectuadas en 2012/13 en virtud del artículo 5.5 del Reglamento Financiero.</w:t>
      </w:r>
    </w:p>
    <w:p w:rsidR="00B070BF" w:rsidRPr="00827314" w:rsidRDefault="00B070BF" w:rsidP="00B070BF">
      <w:pPr>
        <w:widowControl w:val="0"/>
        <w:autoSpaceDE w:val="0"/>
        <w:autoSpaceDN w:val="0"/>
        <w:adjustRightInd w:val="0"/>
        <w:rPr>
          <w:sz w:val="16"/>
          <w:szCs w:val="16"/>
        </w:rPr>
      </w:pPr>
    </w:p>
    <w:p w:rsidR="00B070BF" w:rsidRPr="00827314" w:rsidRDefault="00B070BF" w:rsidP="00B070BF">
      <w:pPr>
        <w:widowControl w:val="0"/>
        <w:autoSpaceDE w:val="0"/>
        <w:autoSpaceDN w:val="0"/>
        <w:adjustRightInd w:val="0"/>
        <w:rPr>
          <w:sz w:val="16"/>
          <w:szCs w:val="16"/>
        </w:rPr>
      </w:pPr>
      <w:r w:rsidRPr="00827314">
        <w:rPr>
          <w:sz w:val="16"/>
          <w:szCs w:val="16"/>
        </w:rPr>
        <w:t xml:space="preserve">2) La asignación para el personal del presupuesto de 2012/13 después de las transferencias representa los gastos reales efectuados hasta el 31 de marzo de 2013 y los importes presupuestados para los nueve meses restantes de 2013, sobre la base de costos estándar. </w:t>
      </w:r>
    </w:p>
    <w:p w:rsidR="00B070BF" w:rsidRPr="00827314" w:rsidRDefault="00B070BF" w:rsidP="00B070BF">
      <w:pPr>
        <w:widowControl w:val="0"/>
        <w:autoSpaceDE w:val="0"/>
        <w:autoSpaceDN w:val="0"/>
        <w:adjustRightInd w:val="0"/>
        <w:rPr>
          <w:sz w:val="16"/>
          <w:szCs w:val="16"/>
        </w:rPr>
      </w:pPr>
    </w:p>
    <w:p w:rsidR="00B070BF" w:rsidRPr="00827314" w:rsidRDefault="00B070BF" w:rsidP="00B070BF">
      <w:pPr>
        <w:widowControl w:val="0"/>
        <w:autoSpaceDE w:val="0"/>
        <w:autoSpaceDN w:val="0"/>
        <w:adjustRightInd w:val="0"/>
        <w:rPr>
          <w:sz w:val="16"/>
          <w:szCs w:val="16"/>
        </w:rPr>
      </w:pPr>
      <w:r w:rsidRPr="00827314">
        <w:rPr>
          <w:sz w:val="16"/>
          <w:szCs w:val="16"/>
        </w:rPr>
        <w:t>3) La asignación no relativa al personal del presupuesto de 2012/13 después de las transferencias refleja los ajustes a la baja efectuados para aumentar la eficacia en función de los costos, de conformidad con el compromiso de la Organización de reducir gastos por un importe de 10,2 millones de francos suizos en el bienio 2012/13.</w:t>
      </w:r>
    </w:p>
    <w:p w:rsidR="00B070BF" w:rsidRPr="00827314" w:rsidRDefault="00B070BF" w:rsidP="00B070BF">
      <w:pPr>
        <w:widowControl w:val="0"/>
        <w:rPr>
          <w:sz w:val="20"/>
        </w:rPr>
      </w:pPr>
    </w:p>
    <w:p w:rsidR="00B070BF" w:rsidRPr="00827314" w:rsidRDefault="00B070BF" w:rsidP="00B070BF">
      <w:pPr>
        <w:widowControl w:val="0"/>
        <w:rPr>
          <w:sz w:val="20"/>
        </w:rPr>
      </w:pPr>
    </w:p>
    <w:p w:rsidR="00B070BF" w:rsidRPr="00827314" w:rsidRDefault="00B070BF" w:rsidP="00B070BF">
      <w:pPr>
        <w:widowControl w:val="0"/>
        <w:rPr>
          <w:sz w:val="20"/>
          <w:u w:val="single"/>
        </w:rPr>
      </w:pPr>
      <w:r>
        <w:rPr>
          <w:sz w:val="20"/>
        </w:rPr>
        <w:t xml:space="preserve">A.  </w:t>
      </w:r>
      <w:r w:rsidRPr="00827314">
        <w:rPr>
          <w:sz w:val="20"/>
          <w:u w:val="single"/>
        </w:rPr>
        <w:t>Presupuesto 2012/13 después de las transferencias</w:t>
      </w:r>
    </w:p>
    <w:p w:rsidR="00B070BF" w:rsidRPr="00827314" w:rsidRDefault="00B070BF" w:rsidP="00B070BF">
      <w:pPr>
        <w:widowControl w:val="0"/>
        <w:autoSpaceDE w:val="0"/>
        <w:autoSpaceDN w:val="0"/>
        <w:adjustRightInd w:val="0"/>
        <w:jc w:val="both"/>
        <w:rPr>
          <w:sz w:val="20"/>
        </w:rPr>
      </w:pPr>
    </w:p>
    <w:p w:rsidR="00B070BF" w:rsidRPr="00827314" w:rsidRDefault="00B070BF" w:rsidP="00B070BF">
      <w:pPr>
        <w:widowControl w:val="0"/>
        <w:numPr>
          <w:ilvl w:val="0"/>
          <w:numId w:val="27"/>
        </w:numPr>
        <w:autoSpaceDE w:val="0"/>
        <w:autoSpaceDN w:val="0"/>
        <w:adjustRightInd w:val="0"/>
        <w:jc w:val="both"/>
        <w:rPr>
          <w:sz w:val="20"/>
        </w:rPr>
      </w:pPr>
      <w:r w:rsidRPr="00827314">
        <w:rPr>
          <w:sz w:val="20"/>
        </w:rPr>
        <w:t xml:space="preserve">La disminución de recursos relativos al resultado I.1 (Elaboración de marcos normativos internacionales equilibrados para la P.I.) se debe a la transferencia de recursos inicialmente presupuestados en el marco del programa 3 para la organización de una posible conferencia diplomática para la adopción de un tratado sobre el derecho de los diseños con el fin de celebrar la conferencia diplomática sobre el Tratado de Beijing para la protección de las Interpretaciones y Ejecuciones Audiovisuales. </w:t>
      </w:r>
    </w:p>
    <w:p w:rsidR="00B070BF" w:rsidRPr="00827314" w:rsidRDefault="00B070BF" w:rsidP="00B070BF">
      <w:pPr>
        <w:widowControl w:val="0"/>
        <w:jc w:val="both"/>
        <w:rPr>
          <w:rFonts w:eastAsia="Batang"/>
          <w:sz w:val="20"/>
          <w:lang w:eastAsia="ko-KR"/>
        </w:rPr>
      </w:pPr>
    </w:p>
    <w:p w:rsidR="00B070BF" w:rsidRPr="00827314" w:rsidRDefault="00B070BF" w:rsidP="00B070BF">
      <w:pPr>
        <w:widowControl w:val="0"/>
        <w:numPr>
          <w:ilvl w:val="0"/>
          <w:numId w:val="27"/>
        </w:numPr>
        <w:autoSpaceDE w:val="0"/>
        <w:autoSpaceDN w:val="0"/>
        <w:adjustRightInd w:val="0"/>
        <w:jc w:val="both"/>
        <w:rPr>
          <w:sz w:val="20"/>
        </w:rPr>
      </w:pPr>
      <w:r w:rsidRPr="00827314">
        <w:rPr>
          <w:sz w:val="20"/>
        </w:rPr>
        <w:t>El aumento de los recursos asignados al resultado I.2 (Aumento de la protección de los emblemas de Estado) se debe principalmente a la asignación de recursos adicionales de personal a ese resultado.</w:t>
      </w:r>
    </w:p>
    <w:p w:rsidR="00B070BF" w:rsidRPr="00827314" w:rsidRDefault="00B070BF" w:rsidP="00B070BF">
      <w:pPr>
        <w:widowControl w:val="0"/>
        <w:jc w:val="both"/>
        <w:rPr>
          <w:rFonts w:eastAsia="Batang"/>
          <w:sz w:val="20"/>
          <w:lang w:eastAsia="ko-KR"/>
        </w:rPr>
      </w:pPr>
    </w:p>
    <w:p w:rsidR="00B070BF" w:rsidRPr="00827314" w:rsidRDefault="00B070BF" w:rsidP="00B070BF">
      <w:pPr>
        <w:widowControl w:val="0"/>
        <w:jc w:val="both"/>
        <w:rPr>
          <w:rFonts w:eastAsia="Batang"/>
          <w:sz w:val="20"/>
          <w:u w:val="single"/>
          <w:lang w:eastAsia="ko-KR"/>
        </w:rPr>
      </w:pPr>
      <w:r w:rsidRPr="00827314">
        <w:rPr>
          <w:rFonts w:eastAsia="Batang"/>
          <w:sz w:val="20"/>
          <w:lang w:eastAsia="ko-KR"/>
        </w:rPr>
        <w:t>B.</w:t>
      </w:r>
      <w:r>
        <w:rPr>
          <w:rFonts w:eastAsia="Batang"/>
          <w:sz w:val="20"/>
          <w:lang w:eastAsia="ko-KR"/>
        </w:rPr>
        <w:t xml:space="preserve"> </w:t>
      </w:r>
      <w:r w:rsidRPr="00827314">
        <w:rPr>
          <w:rFonts w:eastAsia="Batang"/>
          <w:sz w:val="20"/>
          <w:lang w:eastAsia="ko-KR"/>
        </w:rPr>
        <w:t xml:space="preserve"> </w:t>
      </w:r>
      <w:r w:rsidRPr="00827314">
        <w:rPr>
          <w:rFonts w:eastAsia="Batang"/>
          <w:sz w:val="20"/>
          <w:u w:val="single"/>
          <w:lang w:eastAsia="ko-KR"/>
        </w:rPr>
        <w:t>Utilización del presupuesto 2012</w:t>
      </w:r>
    </w:p>
    <w:p w:rsidR="00B070BF" w:rsidRPr="00827314" w:rsidRDefault="00B070BF" w:rsidP="00B070BF">
      <w:pPr>
        <w:widowControl w:val="0"/>
        <w:jc w:val="both"/>
        <w:rPr>
          <w:rFonts w:eastAsia="Batang"/>
          <w:sz w:val="20"/>
          <w:lang w:eastAsia="ko-KR"/>
        </w:rPr>
      </w:pPr>
    </w:p>
    <w:p w:rsidR="00B070BF" w:rsidRDefault="00B070BF" w:rsidP="00B070BF">
      <w:pPr>
        <w:widowControl w:val="0"/>
        <w:numPr>
          <w:ilvl w:val="0"/>
          <w:numId w:val="27"/>
        </w:numPr>
        <w:autoSpaceDE w:val="0"/>
        <w:autoSpaceDN w:val="0"/>
        <w:adjustRightInd w:val="0"/>
        <w:jc w:val="both"/>
        <w:rPr>
          <w:sz w:val="20"/>
        </w:rPr>
      </w:pPr>
      <w:r w:rsidRPr="00827314">
        <w:rPr>
          <w:sz w:val="20"/>
        </w:rPr>
        <w:t>La utilización del presupuesto se mantiene entre el 40% y el 60% en el primer año del bienio y progresa con normalidad.</w:t>
      </w:r>
    </w:p>
    <w:p w:rsidR="00B070BF" w:rsidRPr="00827314" w:rsidRDefault="00B070BF" w:rsidP="00B070BF">
      <w:pPr>
        <w:widowControl w:val="0"/>
        <w:autoSpaceDE w:val="0"/>
        <w:autoSpaceDN w:val="0"/>
        <w:adjustRightInd w:val="0"/>
        <w:jc w:val="both"/>
        <w:rPr>
          <w:sz w:val="20"/>
        </w:rPr>
      </w:pPr>
    </w:p>
    <w:p w:rsidR="00B070BF" w:rsidRPr="00B25458" w:rsidRDefault="00B070BF" w:rsidP="00B070BF">
      <w:pPr>
        <w:pStyle w:val="Heading2"/>
        <w:tabs>
          <w:tab w:val="left" w:pos="2835"/>
        </w:tabs>
        <w:rPr>
          <w:b/>
        </w:rPr>
      </w:pPr>
      <w:r w:rsidRPr="00AB16BB">
        <w:rPr>
          <w:sz w:val="16"/>
          <w:szCs w:val="16"/>
        </w:rPr>
        <w:br w:type="page"/>
      </w:r>
      <w:bookmarkStart w:id="14" w:name="_Toc359846787"/>
      <w:bookmarkStart w:id="15" w:name="_Toc359949311"/>
      <w:r w:rsidRPr="00B25458">
        <w:rPr>
          <w:b/>
        </w:rPr>
        <w:lastRenderedPageBreak/>
        <w:t>PROGRAMA 3</w:t>
      </w:r>
      <w:r w:rsidRPr="00B25458">
        <w:rPr>
          <w:b/>
        </w:rPr>
        <w:tab/>
        <w:t>DERECHO DE AUTOR Y DERECHOS CONEXOS</w:t>
      </w:r>
      <w:bookmarkEnd w:id="14"/>
      <w:bookmarkEnd w:id="15"/>
    </w:p>
    <w:p w:rsidR="00B070BF" w:rsidRPr="00B25458" w:rsidRDefault="00B070BF" w:rsidP="00B070BF">
      <w:pPr>
        <w:widowControl w:val="0"/>
        <w:tabs>
          <w:tab w:val="left" w:pos="2268"/>
        </w:tabs>
        <w:rPr>
          <w:b/>
          <w:sz w:val="20"/>
        </w:rPr>
      </w:pPr>
    </w:p>
    <w:p w:rsidR="00B070BF" w:rsidRPr="00AB16BB" w:rsidRDefault="00B070BF" w:rsidP="00B070BF">
      <w:pPr>
        <w:widowControl w:val="0"/>
        <w:rPr>
          <w:sz w:val="18"/>
          <w:szCs w:val="18"/>
        </w:rPr>
      </w:pPr>
    </w:p>
    <w:p w:rsidR="00B070BF" w:rsidRPr="00AB16BB" w:rsidRDefault="00B070BF" w:rsidP="00B070BF">
      <w:pPr>
        <w:widowControl w:val="0"/>
        <w:tabs>
          <w:tab w:val="left" w:pos="2268"/>
        </w:tabs>
        <w:rPr>
          <w:b/>
          <w:bCs/>
          <w:szCs w:val="22"/>
        </w:rPr>
      </w:pPr>
      <w:r w:rsidRPr="00AB16BB">
        <w:rPr>
          <w:b/>
          <w:szCs w:val="22"/>
        </w:rPr>
        <w:t>Director del Programa</w:t>
      </w:r>
      <w:r w:rsidRPr="00AB16BB">
        <w:rPr>
          <w:b/>
          <w:szCs w:val="22"/>
        </w:rPr>
        <w:tab/>
        <w:t xml:space="preserve">Sr. </w:t>
      </w:r>
      <w:r>
        <w:rPr>
          <w:b/>
          <w:szCs w:val="22"/>
        </w:rPr>
        <w:t xml:space="preserve">T. </w:t>
      </w:r>
      <w:r w:rsidRPr="00AB16BB">
        <w:rPr>
          <w:b/>
          <w:szCs w:val="22"/>
        </w:rPr>
        <w:t>Clarke</w:t>
      </w:r>
    </w:p>
    <w:p w:rsidR="00B070BF" w:rsidRPr="00AB16BB" w:rsidRDefault="00B070BF" w:rsidP="00B070BF">
      <w:pPr>
        <w:widowControl w:val="0"/>
        <w:tabs>
          <w:tab w:val="left" w:pos="2268"/>
        </w:tabs>
        <w:rPr>
          <w:b/>
          <w:sz w:val="20"/>
        </w:rPr>
      </w:pPr>
    </w:p>
    <w:p w:rsidR="00B070BF" w:rsidRPr="00AB16BB" w:rsidRDefault="00B070BF" w:rsidP="00B070BF">
      <w:pPr>
        <w:widowControl w:val="0"/>
        <w:rPr>
          <w:bCs/>
          <w:sz w:val="20"/>
        </w:rPr>
      </w:pPr>
    </w:p>
    <w:p w:rsidR="00B070BF" w:rsidRPr="00AB16BB" w:rsidRDefault="00B070BF" w:rsidP="00B070BF">
      <w:pPr>
        <w:widowControl w:val="0"/>
        <w:spacing w:line="260" w:lineRule="atLeast"/>
        <w:rPr>
          <w:bCs/>
          <w:sz w:val="20"/>
        </w:rPr>
      </w:pPr>
      <w:r w:rsidRPr="00AB16BB">
        <w:rPr>
          <w:bCs/>
          <w:sz w:val="20"/>
        </w:rPr>
        <w:t>RESEÑA DE LOS AVANCES LOGRADOS EN 2012</w:t>
      </w:r>
    </w:p>
    <w:p w:rsidR="00B070BF" w:rsidRPr="00AB16BB" w:rsidRDefault="00B070BF" w:rsidP="00B070BF">
      <w:pPr>
        <w:widowControl w:val="0"/>
        <w:jc w:val="both"/>
        <w:rPr>
          <w:sz w:val="20"/>
        </w:rPr>
      </w:pPr>
    </w:p>
    <w:p w:rsidR="00B070BF" w:rsidRPr="00AB16BB" w:rsidRDefault="00B070BF" w:rsidP="00B070BF">
      <w:pPr>
        <w:widowControl w:val="0"/>
        <w:numPr>
          <w:ilvl w:val="0"/>
          <w:numId w:val="23"/>
        </w:numPr>
        <w:jc w:val="both"/>
        <w:rPr>
          <w:bCs/>
          <w:sz w:val="20"/>
        </w:rPr>
      </w:pPr>
      <w:r w:rsidRPr="00AB16BB">
        <w:rPr>
          <w:bCs/>
          <w:sz w:val="20"/>
        </w:rPr>
        <w:t>La labor desarrollada durante el año 2012 en el marco de este programa se centró fundamentalmente en permitir el avance de la labor normativa del Comité Permanente de Derecho de Autor y Derechos Conexos (SCCR), fortalecer el desarrollo de infraestructura en el ámbito del derecho de autor y mejorar la capacidad institucional y humana de los países en desarrollo y los PMA para que puedan aprovechar las ventajas culturales y económicas que ofrece el sistema de derecho de autor.  Se han obtenido avances significativos en todos estos ámbitos.</w:t>
      </w:r>
    </w:p>
    <w:p w:rsidR="00B070BF" w:rsidRPr="00AB16BB" w:rsidRDefault="00B070BF" w:rsidP="00B070BF">
      <w:pPr>
        <w:widowControl w:val="0"/>
        <w:jc w:val="both"/>
        <w:rPr>
          <w:b/>
          <w:bCs/>
          <w:sz w:val="20"/>
        </w:rPr>
      </w:pPr>
    </w:p>
    <w:p w:rsidR="00B070BF" w:rsidRPr="00AB16BB" w:rsidRDefault="00B070BF" w:rsidP="00B070BF">
      <w:pPr>
        <w:widowControl w:val="0"/>
        <w:jc w:val="both"/>
        <w:rPr>
          <w:bCs/>
          <w:sz w:val="20"/>
          <w:u w:val="single"/>
        </w:rPr>
      </w:pPr>
      <w:r w:rsidRPr="00AB16BB">
        <w:rPr>
          <w:bCs/>
          <w:sz w:val="20"/>
          <w:u w:val="single"/>
        </w:rPr>
        <w:t>Labor normativa y de política</w:t>
      </w:r>
    </w:p>
    <w:p w:rsidR="00B070BF" w:rsidRPr="00AB16BB" w:rsidRDefault="00B070BF" w:rsidP="00B070BF">
      <w:pPr>
        <w:widowControl w:val="0"/>
        <w:jc w:val="both"/>
        <w:rPr>
          <w:bCs/>
          <w:sz w:val="20"/>
        </w:rPr>
      </w:pPr>
    </w:p>
    <w:p w:rsidR="00B070BF" w:rsidRPr="00AB16BB" w:rsidRDefault="00B070BF" w:rsidP="00B070BF">
      <w:pPr>
        <w:widowControl w:val="0"/>
        <w:numPr>
          <w:ilvl w:val="0"/>
          <w:numId w:val="23"/>
        </w:numPr>
        <w:jc w:val="both"/>
        <w:rPr>
          <w:sz w:val="20"/>
        </w:rPr>
      </w:pPr>
      <w:r w:rsidRPr="00AB16BB">
        <w:rPr>
          <w:bCs/>
          <w:sz w:val="20"/>
        </w:rPr>
        <w:t>El logro más importante cosechado en materia normativa a lo largo del año 2012 fue la adopción del Tratado de Beijing para la protección de las interpretaciones y ejecuciones audiovisuales.  El Tratado se adoptó en el marco de la conferencia diplomática celebrada al efecto en Beijing (China) del 20 al 26 de junio de 2012.</w:t>
      </w:r>
    </w:p>
    <w:p w:rsidR="00B070BF" w:rsidRPr="00AB16BB" w:rsidRDefault="00B070BF" w:rsidP="00B070BF">
      <w:pPr>
        <w:widowControl w:val="0"/>
        <w:jc w:val="both"/>
        <w:rPr>
          <w:sz w:val="20"/>
        </w:rPr>
      </w:pPr>
    </w:p>
    <w:p w:rsidR="00B070BF" w:rsidRPr="00AB16BB" w:rsidRDefault="00B070BF" w:rsidP="00B070BF">
      <w:pPr>
        <w:widowControl w:val="0"/>
        <w:numPr>
          <w:ilvl w:val="0"/>
          <w:numId w:val="23"/>
        </w:numPr>
        <w:jc w:val="both"/>
        <w:rPr>
          <w:sz w:val="20"/>
        </w:rPr>
      </w:pPr>
      <w:r w:rsidRPr="00AB16BB">
        <w:rPr>
          <w:sz w:val="20"/>
        </w:rPr>
        <w:t>Por otra parte, se consiguió avanzar también en relación con otros puntos del orden del día del SCCR gracias a la aprobación en el marco del período extraordinario de sesiones de la Asamblea General celebrado en diciembre de 2012, de la propuesta de celebrar una conferencia diplomática en 2013 con el fin de concluir un tratado que facilite a las personas con discapacidad visual y las personas con dificultad para acceder al texto impreso el acceso a las obras publicadas.  El SCCR adoptó asimismo y presentó en la Asamblea General de 2012 un plan de trabajo actualizado en relación con otra propuesta de tratado y algunos otros aspectos relativos a las limitaciones y excepciones:  un tratado sobre los organismos de radiodifusión, y limitaciones y excepciones para las bibliotecas y los archivos, las instituciones docentes y de investigación y las personas con otras discapacidades.</w:t>
      </w:r>
    </w:p>
    <w:p w:rsidR="00B070BF" w:rsidRPr="00AB16BB" w:rsidRDefault="00B070BF" w:rsidP="00B070BF">
      <w:pPr>
        <w:widowControl w:val="0"/>
        <w:jc w:val="both"/>
        <w:rPr>
          <w:sz w:val="20"/>
        </w:rPr>
      </w:pPr>
    </w:p>
    <w:p w:rsidR="00B070BF" w:rsidRPr="00AB16BB" w:rsidRDefault="00B070BF" w:rsidP="00B070BF">
      <w:pPr>
        <w:widowControl w:val="0"/>
        <w:numPr>
          <w:ilvl w:val="0"/>
          <w:numId w:val="23"/>
        </w:numPr>
        <w:jc w:val="both"/>
        <w:rPr>
          <w:sz w:val="20"/>
        </w:rPr>
      </w:pPr>
      <w:r w:rsidRPr="00AB16BB">
        <w:rPr>
          <w:sz w:val="20"/>
        </w:rPr>
        <w:t>En 2012 se prestó asesoramiento en materia legislativa en derecho de autor y derechos conexos a nueve Estados miembros.  Se produjo un aumento de las solicitudes de asesoramiento, en parte debido al interés de algunos Estados miembros por ratificar el Tratado de Beijing.</w:t>
      </w:r>
    </w:p>
    <w:p w:rsidR="00B070BF" w:rsidRPr="00AB16BB" w:rsidRDefault="00B070BF" w:rsidP="00B070BF">
      <w:pPr>
        <w:widowControl w:val="0"/>
        <w:jc w:val="both"/>
        <w:rPr>
          <w:sz w:val="20"/>
        </w:rPr>
      </w:pPr>
    </w:p>
    <w:p w:rsidR="00B070BF" w:rsidRPr="00AB16BB" w:rsidRDefault="00B070BF" w:rsidP="00B070BF">
      <w:pPr>
        <w:widowControl w:val="0"/>
        <w:numPr>
          <w:ilvl w:val="0"/>
          <w:numId w:val="23"/>
        </w:numPr>
        <w:jc w:val="both"/>
        <w:rPr>
          <w:sz w:val="20"/>
        </w:rPr>
      </w:pPr>
      <w:r w:rsidRPr="00AB16BB">
        <w:rPr>
          <w:sz w:val="20"/>
        </w:rPr>
        <w:t xml:space="preserve">Además, se han obtenido asimismo avances positivos en relación con varios proyectos destinados a potenciar el papel que desempeña la OMPI en el ámbito del derecho de autor en el entorno digital.  En el marco del programa se realizaron dos estudios con el objetivo de encontrar puntos de convergencia en la forma en que se aborda la responsabilidad de los intermediarios de Internet en las distintas jurisdicciones.  Los organismos multilaterales involucrados han acordado modificar las licencias </w:t>
      </w:r>
      <w:proofErr w:type="spellStart"/>
      <w:r w:rsidRPr="00AB16BB">
        <w:rPr>
          <w:i/>
          <w:sz w:val="20"/>
        </w:rPr>
        <w:t>Creative</w:t>
      </w:r>
      <w:proofErr w:type="spellEnd"/>
      <w:r w:rsidRPr="00AB16BB">
        <w:rPr>
          <w:i/>
          <w:sz w:val="20"/>
        </w:rPr>
        <w:t xml:space="preserve"> </w:t>
      </w:r>
      <w:proofErr w:type="spellStart"/>
      <w:r w:rsidRPr="00AB16BB">
        <w:rPr>
          <w:i/>
          <w:sz w:val="20"/>
        </w:rPr>
        <w:t>Commons</w:t>
      </w:r>
      <w:proofErr w:type="spellEnd"/>
      <w:r w:rsidRPr="00AB16BB">
        <w:rPr>
          <w:sz w:val="20"/>
        </w:rPr>
        <w:t xml:space="preserve"> con el fin de flexibilizar la concesión de licencias respecto de sus materiales y, al mismo tiempo, se ha completado la labor en materia de contratos audiovisuales.  Por otra parte, la OMPI continúa dialogando con el sector musical a fin de facilitar la coordinación de las distintas iniciativas del sector.</w:t>
      </w:r>
    </w:p>
    <w:p w:rsidR="00B070BF" w:rsidRPr="00AB16BB" w:rsidRDefault="00B070BF" w:rsidP="00B070BF">
      <w:pPr>
        <w:widowControl w:val="0"/>
        <w:rPr>
          <w:b/>
          <w:bCs/>
          <w:sz w:val="20"/>
        </w:rPr>
      </w:pPr>
    </w:p>
    <w:p w:rsidR="00B070BF" w:rsidRPr="00AB16BB" w:rsidRDefault="00B070BF" w:rsidP="00B070BF">
      <w:pPr>
        <w:widowControl w:val="0"/>
        <w:jc w:val="both"/>
        <w:rPr>
          <w:bCs/>
          <w:sz w:val="20"/>
          <w:u w:val="single"/>
        </w:rPr>
      </w:pPr>
      <w:r w:rsidRPr="00AB16BB">
        <w:rPr>
          <w:bCs/>
          <w:sz w:val="20"/>
          <w:u w:val="single"/>
        </w:rPr>
        <w:t>Infraestructura en el ámbito del derecho de autor</w:t>
      </w:r>
    </w:p>
    <w:p w:rsidR="00B070BF" w:rsidRPr="00AB16BB" w:rsidRDefault="00B070BF" w:rsidP="00B070BF">
      <w:pPr>
        <w:widowControl w:val="0"/>
        <w:jc w:val="both"/>
        <w:rPr>
          <w:bCs/>
          <w:sz w:val="20"/>
        </w:rPr>
      </w:pPr>
    </w:p>
    <w:p w:rsidR="00B070BF" w:rsidRPr="00AB16BB" w:rsidRDefault="00B070BF" w:rsidP="00B070BF">
      <w:pPr>
        <w:widowControl w:val="0"/>
        <w:numPr>
          <w:ilvl w:val="0"/>
          <w:numId w:val="23"/>
        </w:numPr>
        <w:jc w:val="both"/>
        <w:rPr>
          <w:sz w:val="20"/>
        </w:rPr>
      </w:pPr>
      <w:r w:rsidRPr="00AB16BB">
        <w:rPr>
          <w:sz w:val="20"/>
        </w:rPr>
        <w:t>Durante el año se consiguió avanzar en todas las iniciativas y proyectos relacionados la infraestructura en el ámbito del derecho de autor.</w:t>
      </w:r>
    </w:p>
    <w:p w:rsidR="00B070BF" w:rsidRPr="00AB16BB" w:rsidRDefault="00B070BF" w:rsidP="00B070BF">
      <w:pPr>
        <w:widowControl w:val="0"/>
        <w:jc w:val="both"/>
        <w:rPr>
          <w:sz w:val="20"/>
        </w:rPr>
      </w:pPr>
    </w:p>
    <w:p w:rsidR="00B070BF" w:rsidRPr="00AB16BB" w:rsidRDefault="00B070BF" w:rsidP="00B070BF">
      <w:pPr>
        <w:widowControl w:val="0"/>
        <w:numPr>
          <w:ilvl w:val="0"/>
          <w:numId w:val="23"/>
        </w:numPr>
        <w:jc w:val="both"/>
        <w:rPr>
          <w:sz w:val="20"/>
        </w:rPr>
      </w:pPr>
      <w:r w:rsidRPr="00AB16BB">
        <w:rPr>
          <w:sz w:val="20"/>
        </w:rPr>
        <w:t xml:space="preserve">Se finalizó la fase piloto del proyecto </w:t>
      </w:r>
      <w:proofErr w:type="spellStart"/>
      <w:r w:rsidRPr="00AB16BB">
        <w:rPr>
          <w:i/>
          <w:sz w:val="20"/>
        </w:rPr>
        <w:t>Trusted</w:t>
      </w:r>
      <w:proofErr w:type="spellEnd"/>
      <w:r w:rsidRPr="00AB16BB">
        <w:rPr>
          <w:i/>
          <w:sz w:val="20"/>
        </w:rPr>
        <w:t xml:space="preserve"> </w:t>
      </w:r>
      <w:proofErr w:type="spellStart"/>
      <w:r w:rsidRPr="00AB16BB">
        <w:rPr>
          <w:i/>
          <w:sz w:val="20"/>
        </w:rPr>
        <w:t>Intermediary</w:t>
      </w:r>
      <w:proofErr w:type="spellEnd"/>
      <w:r w:rsidRPr="00AB16BB">
        <w:rPr>
          <w:i/>
          <w:sz w:val="20"/>
        </w:rPr>
        <w:t xml:space="preserve"> Global </w:t>
      </w:r>
      <w:proofErr w:type="spellStart"/>
      <w:r w:rsidRPr="00AB16BB">
        <w:rPr>
          <w:i/>
          <w:sz w:val="20"/>
        </w:rPr>
        <w:t>Accessible</w:t>
      </w:r>
      <w:proofErr w:type="spellEnd"/>
      <w:r w:rsidRPr="00AB16BB">
        <w:rPr>
          <w:i/>
          <w:sz w:val="20"/>
        </w:rPr>
        <w:t xml:space="preserve"> </w:t>
      </w:r>
      <w:proofErr w:type="spellStart"/>
      <w:r w:rsidRPr="00AB16BB">
        <w:rPr>
          <w:i/>
          <w:sz w:val="20"/>
        </w:rPr>
        <w:t>Resources</w:t>
      </w:r>
      <w:proofErr w:type="spellEnd"/>
      <w:r w:rsidRPr="00AB16BB">
        <w:rPr>
          <w:sz w:val="20"/>
        </w:rPr>
        <w:t xml:space="preserve"> (TIGAR).  En el marco de este proyecto se permite a determinados intermediarios de confianza seleccionados (bibliotecas nacionales y demás instituciones que atienden las necesidades de lectura de las personas con discapacidad visual) descargar libros en formatos accesibles mediante la infraestructura de TIC de la OMPI.  A finales de 2012 se habían descargado ya más de 450 libros.  Resulta especialmente alentador el creciente apoyo obtenido por parte de partes interesadas de gran relevancia dentro del sector privado.</w:t>
      </w:r>
    </w:p>
    <w:p w:rsidR="00B070BF" w:rsidRDefault="00B070BF" w:rsidP="00B070BF">
      <w:pPr>
        <w:rPr>
          <w:sz w:val="20"/>
        </w:rPr>
      </w:pPr>
      <w:r>
        <w:rPr>
          <w:sz w:val="20"/>
        </w:rPr>
        <w:br w:type="page"/>
      </w:r>
    </w:p>
    <w:p w:rsidR="00B070BF" w:rsidRPr="00AB16BB" w:rsidRDefault="00B070BF" w:rsidP="00B070BF">
      <w:pPr>
        <w:widowControl w:val="0"/>
        <w:jc w:val="both"/>
        <w:rPr>
          <w:sz w:val="20"/>
        </w:rPr>
      </w:pPr>
    </w:p>
    <w:p w:rsidR="00B070BF" w:rsidRPr="00AB16BB" w:rsidRDefault="00B070BF" w:rsidP="00B070BF">
      <w:pPr>
        <w:widowControl w:val="0"/>
        <w:numPr>
          <w:ilvl w:val="0"/>
          <w:numId w:val="23"/>
        </w:numPr>
        <w:jc w:val="both"/>
        <w:rPr>
          <w:iCs/>
          <w:sz w:val="20"/>
          <w:lang w:bidi="en-US"/>
        </w:rPr>
      </w:pPr>
      <w:r w:rsidRPr="00AB16BB">
        <w:rPr>
          <w:sz w:val="20"/>
        </w:rPr>
        <w:t xml:space="preserve">Otra iniciativa relacionada es el proyecto de marco tecnológico habilitante, en el que participan dos órganos de normalización, el </w:t>
      </w:r>
      <w:r w:rsidRPr="00AB16BB">
        <w:rPr>
          <w:i/>
          <w:sz w:val="20"/>
        </w:rPr>
        <w:t xml:space="preserve">DAISY </w:t>
      </w:r>
      <w:proofErr w:type="spellStart"/>
      <w:r w:rsidRPr="00AB16BB">
        <w:rPr>
          <w:i/>
          <w:sz w:val="20"/>
        </w:rPr>
        <w:t>Consortium</w:t>
      </w:r>
      <w:proofErr w:type="spellEnd"/>
      <w:r w:rsidRPr="00AB16BB">
        <w:rPr>
          <w:sz w:val="20"/>
        </w:rPr>
        <w:t xml:space="preserve"> y </w:t>
      </w:r>
      <w:proofErr w:type="spellStart"/>
      <w:r w:rsidRPr="00AB16BB">
        <w:rPr>
          <w:sz w:val="20"/>
        </w:rPr>
        <w:t>EDItEUR</w:t>
      </w:r>
      <w:proofErr w:type="spellEnd"/>
      <w:r w:rsidRPr="00AB16BB">
        <w:rPr>
          <w:sz w:val="20"/>
        </w:rPr>
        <w:t>.  El objetivo del mismo es que los procesos editoriales convencionales evolucionen y permitan ofrecer publicaciones digitales que sean plenamente accesibles para las personas con discapacidad visual.</w:t>
      </w:r>
    </w:p>
    <w:p w:rsidR="00B070BF" w:rsidRPr="00AB16BB" w:rsidRDefault="00B070BF" w:rsidP="00B070BF">
      <w:pPr>
        <w:widowControl w:val="0"/>
        <w:jc w:val="both"/>
        <w:rPr>
          <w:iCs/>
          <w:sz w:val="20"/>
          <w:lang w:bidi="en-US"/>
        </w:rPr>
      </w:pPr>
    </w:p>
    <w:p w:rsidR="00B070BF" w:rsidRPr="00AB16BB" w:rsidRDefault="00B070BF" w:rsidP="00B070BF">
      <w:pPr>
        <w:widowControl w:val="0"/>
        <w:numPr>
          <w:ilvl w:val="0"/>
          <w:numId w:val="23"/>
        </w:numPr>
        <w:jc w:val="both"/>
        <w:rPr>
          <w:sz w:val="20"/>
        </w:rPr>
      </w:pPr>
      <w:r w:rsidRPr="00AB16BB">
        <w:rPr>
          <w:sz w:val="20"/>
        </w:rPr>
        <w:t>En el transcurso del año se produjo la remodelación del Grupo de Trabajo encargado del fortalecimiento de las capacidades.  Su objetivo sigue siendo hacer llegar los beneficios del TIGAR y del marco tecnológico habilitante a los países en desarrollo y los PMA.</w:t>
      </w:r>
    </w:p>
    <w:p w:rsidR="00B070BF" w:rsidRPr="00AB16BB" w:rsidRDefault="00B070BF" w:rsidP="00B070BF">
      <w:pPr>
        <w:widowControl w:val="0"/>
        <w:ind w:firstLine="60"/>
        <w:rPr>
          <w:sz w:val="20"/>
        </w:rPr>
      </w:pPr>
    </w:p>
    <w:p w:rsidR="00B070BF" w:rsidRPr="00AB16BB" w:rsidRDefault="00B070BF" w:rsidP="00B070BF">
      <w:pPr>
        <w:widowControl w:val="0"/>
        <w:numPr>
          <w:ilvl w:val="0"/>
          <w:numId w:val="23"/>
        </w:numPr>
        <w:jc w:val="both"/>
        <w:rPr>
          <w:sz w:val="20"/>
        </w:rPr>
      </w:pPr>
      <w:r w:rsidRPr="00AB16BB">
        <w:rPr>
          <w:sz w:val="20"/>
        </w:rPr>
        <w:t>La utilización del programa informático de gestión de datos para los organismos de gestión colectiva (WIPOCOS) ha superado las previsiones y se ha retrasado la puesta en marcha de una versión ampliada del mismo.  Por otra parte, se han cumplido los objetivos en lo que respecta a la utilización de la aplicación de la OMPI de gestión del derecho de autor (GDA), que emplean los Estados miembros para el registro voluntario de obras creativas.</w:t>
      </w:r>
    </w:p>
    <w:p w:rsidR="00B070BF" w:rsidRPr="00AB16BB" w:rsidRDefault="00B070BF" w:rsidP="00B070BF">
      <w:pPr>
        <w:widowControl w:val="0"/>
        <w:jc w:val="both"/>
        <w:rPr>
          <w:sz w:val="20"/>
        </w:rPr>
      </w:pPr>
    </w:p>
    <w:p w:rsidR="00B070BF" w:rsidRPr="00AB16BB" w:rsidRDefault="00B070BF" w:rsidP="00B070BF">
      <w:pPr>
        <w:widowControl w:val="0"/>
        <w:numPr>
          <w:ilvl w:val="0"/>
          <w:numId w:val="23"/>
        </w:numPr>
        <w:jc w:val="both"/>
        <w:rPr>
          <w:sz w:val="20"/>
        </w:rPr>
      </w:pPr>
      <w:r w:rsidRPr="00AB16BB">
        <w:rPr>
          <w:sz w:val="20"/>
        </w:rPr>
        <w:t>El interés por la aplaudida iniciativa encaminada a reforzar la transparencia, la rendición de cuentas y la buena gobernanza de los organismos de gestión colectiva (TAG), va en aumento.  Además, en el marco del programa se han seguido realizando estudios a fin de evaluar la incidencia económica que tienen las industrias creativas.</w:t>
      </w:r>
    </w:p>
    <w:p w:rsidR="00B070BF" w:rsidRPr="00AB16BB" w:rsidRDefault="00B070BF" w:rsidP="00B070BF">
      <w:pPr>
        <w:widowControl w:val="0"/>
        <w:contextualSpacing/>
        <w:rPr>
          <w:rFonts w:eastAsia="Times New Roman"/>
          <w:sz w:val="20"/>
          <w:lang w:eastAsia="en-US"/>
        </w:rPr>
      </w:pPr>
    </w:p>
    <w:p w:rsidR="00B070BF" w:rsidRPr="00AB16BB" w:rsidRDefault="00B070BF" w:rsidP="00B070BF">
      <w:pPr>
        <w:widowControl w:val="0"/>
        <w:jc w:val="both"/>
        <w:rPr>
          <w:bCs/>
          <w:sz w:val="20"/>
          <w:u w:val="single"/>
        </w:rPr>
      </w:pPr>
      <w:r w:rsidRPr="00AB16BB">
        <w:rPr>
          <w:bCs/>
          <w:sz w:val="20"/>
          <w:u w:val="single"/>
        </w:rPr>
        <w:t>Asistencia técnica a los países en desarrollo y los PMA</w:t>
      </w:r>
    </w:p>
    <w:p w:rsidR="00B070BF" w:rsidRPr="00AB16BB" w:rsidRDefault="00B070BF" w:rsidP="00B070BF">
      <w:pPr>
        <w:widowControl w:val="0"/>
        <w:jc w:val="both"/>
        <w:rPr>
          <w:bCs/>
          <w:sz w:val="20"/>
        </w:rPr>
      </w:pPr>
    </w:p>
    <w:p w:rsidR="00B070BF" w:rsidRPr="00AB16BB" w:rsidRDefault="00B070BF" w:rsidP="00B070BF">
      <w:pPr>
        <w:widowControl w:val="0"/>
        <w:numPr>
          <w:ilvl w:val="0"/>
          <w:numId w:val="23"/>
        </w:numPr>
        <w:jc w:val="both"/>
        <w:rPr>
          <w:sz w:val="20"/>
        </w:rPr>
      </w:pPr>
      <w:r w:rsidRPr="00AB16BB">
        <w:rPr>
          <w:bCs/>
          <w:sz w:val="20"/>
        </w:rPr>
        <w:t>Los programas</w:t>
      </w:r>
      <w:r w:rsidRPr="00AB16BB">
        <w:rPr>
          <w:sz w:val="20"/>
        </w:rPr>
        <w:t xml:space="preserve"> ejecutados durante 2012 en el ámbito de la asistencia técnica y el fortalecimiento de las capacidades en materia de derecho de autor y derechos conexos se guiaron por las políticas y estrategias sobre desarrollo de la P.I. identificadas por los Estados miembros solicitantes.  Las actividades se concibieron en respuesta a las solicitudes y las necesidades de asistencia de los países en desarrollo y los PMA, en especial en lo que respecta al fortalecimiento y mejora de </w:t>
      </w:r>
      <w:r w:rsidRPr="00AB16BB">
        <w:rPr>
          <w:bCs/>
          <w:sz w:val="20"/>
        </w:rPr>
        <w:t>la capacidad institucional y humana.</w:t>
      </w:r>
    </w:p>
    <w:p w:rsidR="00B070BF" w:rsidRPr="00AB16BB" w:rsidRDefault="00B070BF" w:rsidP="00B070BF">
      <w:pPr>
        <w:widowControl w:val="0"/>
        <w:jc w:val="both"/>
        <w:rPr>
          <w:sz w:val="20"/>
        </w:rPr>
      </w:pPr>
    </w:p>
    <w:p w:rsidR="00B070BF" w:rsidRPr="00AB16BB" w:rsidRDefault="00B070BF" w:rsidP="00B070BF">
      <w:pPr>
        <w:widowControl w:val="0"/>
        <w:numPr>
          <w:ilvl w:val="0"/>
          <w:numId w:val="23"/>
        </w:numPr>
        <w:jc w:val="both"/>
        <w:rPr>
          <w:sz w:val="20"/>
        </w:rPr>
      </w:pPr>
      <w:r w:rsidRPr="00AB16BB">
        <w:rPr>
          <w:sz w:val="20"/>
        </w:rPr>
        <w:t>En este contexto, se organizaron un total de 49 programas y proyectos a nivel nacional, regional e interregional que contaron con la participación de más de 1.400 funcionarios, profesionales del derecho de autor y representantes de las organizaciones interesadas, provenientes de 96 países en desarrollo y PMA y de una OIG regional.  La información y los conocimientos que se intercambiaron en estos eventos contribuyeron a mejorar la capacidad institucional y humana de las oficinas de derecho de autor y demás organizaciones relacionadas.  El objetivo en la mayoría de los casos era también sensibilizar acerca de la relevancia y la importancia que tiene el derecho de autor desde el punto de vista económico y cultural.  Más del 80% de los participantes consideraron que estos programas de formación resultaron pertinentes y útiles.</w:t>
      </w:r>
    </w:p>
    <w:p w:rsidR="00B070BF" w:rsidRPr="00AB16BB" w:rsidRDefault="00B070BF" w:rsidP="00B070BF">
      <w:pPr>
        <w:widowControl w:val="0"/>
        <w:jc w:val="both"/>
        <w:rPr>
          <w:bCs/>
          <w:sz w:val="20"/>
        </w:rPr>
      </w:pPr>
    </w:p>
    <w:p w:rsidR="00B070BF" w:rsidRPr="00AB16BB" w:rsidRDefault="00B070BF" w:rsidP="00B070BF">
      <w:pPr>
        <w:widowControl w:val="0"/>
        <w:jc w:val="both"/>
        <w:rPr>
          <w:sz w:val="20"/>
        </w:rPr>
      </w:pPr>
    </w:p>
    <w:p w:rsidR="00B070BF" w:rsidRPr="00AB16BB" w:rsidRDefault="00B070BF" w:rsidP="00B070BF">
      <w:pPr>
        <w:widowControl w:val="0"/>
        <w:jc w:val="both"/>
        <w:rPr>
          <w:bCs/>
          <w:sz w:val="20"/>
        </w:rPr>
      </w:pPr>
      <w:r w:rsidRPr="00AB16BB">
        <w:rPr>
          <w:bCs/>
          <w:sz w:val="20"/>
        </w:rPr>
        <w:t>APLICACIÓN DE LA AGENDA PARA EL DESARROLLO</w:t>
      </w:r>
    </w:p>
    <w:p w:rsidR="00B070BF" w:rsidRPr="00AB16BB" w:rsidRDefault="00B070BF" w:rsidP="00B070BF">
      <w:pPr>
        <w:widowControl w:val="0"/>
        <w:rPr>
          <w:color w:val="000000"/>
          <w:sz w:val="20"/>
        </w:rPr>
      </w:pPr>
    </w:p>
    <w:p w:rsidR="00B070BF" w:rsidRPr="00AB16BB" w:rsidRDefault="00B070BF" w:rsidP="00B070BF">
      <w:pPr>
        <w:widowControl w:val="0"/>
        <w:numPr>
          <w:ilvl w:val="0"/>
          <w:numId w:val="23"/>
        </w:numPr>
        <w:jc w:val="both"/>
        <w:rPr>
          <w:bCs/>
          <w:color w:val="000000"/>
          <w:sz w:val="20"/>
        </w:rPr>
      </w:pPr>
      <w:r w:rsidRPr="00AB16BB">
        <w:rPr>
          <w:bCs/>
          <w:sz w:val="20"/>
        </w:rPr>
        <w:t>El diseño, la planificación y la ejecución de las actividades del programa 3 se basaron en las recomendaciones pertinentes de la A.D. y se guiaron por ellas.</w:t>
      </w:r>
      <w:r w:rsidRPr="00AB16BB">
        <w:rPr>
          <w:bCs/>
          <w:color w:val="008000"/>
          <w:sz w:val="20"/>
        </w:rPr>
        <w:t xml:space="preserve"> </w:t>
      </w:r>
      <w:r w:rsidRPr="00AB16BB">
        <w:rPr>
          <w:bCs/>
          <w:color w:val="FF00FF"/>
          <w:sz w:val="20"/>
        </w:rPr>
        <w:t xml:space="preserve"> </w:t>
      </w:r>
      <w:r w:rsidRPr="00AB16BB">
        <w:rPr>
          <w:bCs/>
          <w:sz w:val="20"/>
        </w:rPr>
        <w:t>Las actividades normativas del programa dentro del SCCR se siguieron caracterizando por ser inclusivas y estar orientadas hacia los miembros (recomendación 15), considerar debidamente los límites, la función y el alcance del “dominio público” (recomendaciones 16 y 20) y tener en cuenta las flexibilidades de los acuerdos internacionales sobre P.I. (recomendación 17).</w:t>
      </w:r>
      <w:r w:rsidRPr="00AB16BB">
        <w:rPr>
          <w:bCs/>
          <w:color w:val="000000"/>
          <w:sz w:val="20"/>
        </w:rPr>
        <w:t>  Además, la asistencia legislativa que se prestó a los Estados miembros estuvo orientada a potenciar el desarrollo, fue equilibrada y se adaptó a las solicitudes específicas de cada Estado miembro, de acuerdo con los principios de la A.D. (</w:t>
      </w:r>
      <w:r w:rsidRPr="00AB16BB">
        <w:rPr>
          <w:bCs/>
          <w:sz w:val="20"/>
        </w:rPr>
        <w:t>recomendación</w:t>
      </w:r>
      <w:r w:rsidRPr="00AB16BB">
        <w:rPr>
          <w:bCs/>
          <w:color w:val="000000"/>
          <w:sz w:val="20"/>
        </w:rPr>
        <w:t xml:space="preserve"> 13), y teniendo en cuenta las flexibilidades aplicables a los países según sus distintos niveles de desarrollo (</w:t>
      </w:r>
      <w:r w:rsidRPr="00AB16BB">
        <w:rPr>
          <w:bCs/>
          <w:sz w:val="20"/>
        </w:rPr>
        <w:t>recomendaciones</w:t>
      </w:r>
      <w:r>
        <w:rPr>
          <w:bCs/>
          <w:color w:val="000000"/>
          <w:sz w:val="20"/>
        </w:rPr>
        <w:t xml:space="preserve"> 14 y </w:t>
      </w:r>
      <w:r w:rsidRPr="00AB16BB">
        <w:rPr>
          <w:bCs/>
          <w:color w:val="000000"/>
          <w:sz w:val="20"/>
        </w:rPr>
        <w:t>17).</w:t>
      </w:r>
    </w:p>
    <w:p w:rsidR="00B070BF" w:rsidRPr="00AB16BB" w:rsidRDefault="00B070BF" w:rsidP="00B070BF">
      <w:pPr>
        <w:widowControl w:val="0"/>
        <w:jc w:val="both"/>
        <w:rPr>
          <w:bCs/>
          <w:color w:val="000000"/>
          <w:sz w:val="20"/>
        </w:rPr>
      </w:pPr>
    </w:p>
    <w:p w:rsidR="00B070BF" w:rsidRPr="00AB16BB" w:rsidRDefault="00B070BF" w:rsidP="00B070BF">
      <w:pPr>
        <w:widowControl w:val="0"/>
        <w:numPr>
          <w:ilvl w:val="0"/>
          <w:numId w:val="23"/>
        </w:numPr>
        <w:jc w:val="both"/>
        <w:rPr>
          <w:bCs/>
          <w:sz w:val="20"/>
        </w:rPr>
      </w:pPr>
      <w:r w:rsidRPr="00AB16BB">
        <w:rPr>
          <w:bCs/>
          <w:sz w:val="20"/>
        </w:rPr>
        <w:t>Las negociaciones del SCCR se basaron en consultas abiertas y equilibradas (recomendaciones 21 y 42) y contribuyeron a los objetivos de desarrollo de las Naciones Unidas (recomendación 22).  Las actividades del programa en las esferas de la asistencia técnica, el fortalecimiento de capacidades y la asistencia legislativa estuvieron orientadas a potenciar el desarrollo, obedecieron a la demanda y fueron transparentes (recomendaciones 1 y 13).</w:t>
      </w:r>
    </w:p>
    <w:p w:rsidR="00B070BF" w:rsidRDefault="00B070BF" w:rsidP="00B070BF">
      <w:pPr>
        <w:rPr>
          <w:bCs/>
          <w:color w:val="000000"/>
          <w:sz w:val="20"/>
        </w:rPr>
      </w:pPr>
      <w:r>
        <w:rPr>
          <w:bCs/>
          <w:color w:val="000000"/>
          <w:sz w:val="20"/>
        </w:rPr>
        <w:br w:type="page"/>
      </w:r>
    </w:p>
    <w:p w:rsidR="00B070BF" w:rsidRPr="00AB16BB" w:rsidRDefault="00B070BF" w:rsidP="00B070BF">
      <w:pPr>
        <w:widowControl w:val="0"/>
        <w:jc w:val="both"/>
        <w:rPr>
          <w:bCs/>
          <w:color w:val="000000"/>
          <w:sz w:val="20"/>
        </w:rPr>
      </w:pPr>
    </w:p>
    <w:p w:rsidR="00B070BF" w:rsidRPr="00AB16BB" w:rsidRDefault="00B070BF" w:rsidP="00B070BF">
      <w:pPr>
        <w:widowControl w:val="0"/>
        <w:numPr>
          <w:ilvl w:val="0"/>
          <w:numId w:val="23"/>
        </w:numPr>
        <w:jc w:val="both"/>
        <w:rPr>
          <w:bCs/>
          <w:color w:val="000000"/>
          <w:sz w:val="20"/>
        </w:rPr>
      </w:pPr>
      <w:r w:rsidRPr="00AB16BB">
        <w:rPr>
          <w:bCs/>
          <w:color w:val="000000"/>
          <w:sz w:val="20"/>
        </w:rPr>
        <w:t>Igualmente, en el marco del programa se han realizado actividades relacionadas con la ejecución de los siguientes proyectos de la A.D.:</w:t>
      </w:r>
    </w:p>
    <w:p w:rsidR="00B070BF" w:rsidRPr="00AB16BB" w:rsidRDefault="00B070BF" w:rsidP="00B070BF">
      <w:pPr>
        <w:widowControl w:val="0"/>
        <w:jc w:val="both"/>
        <w:rPr>
          <w:bCs/>
          <w:color w:val="000000"/>
          <w:sz w:val="20"/>
        </w:rPr>
      </w:pPr>
    </w:p>
    <w:p w:rsidR="00B070BF" w:rsidRPr="00AB16BB" w:rsidRDefault="00B070BF" w:rsidP="00B070BF">
      <w:pPr>
        <w:widowControl w:val="0"/>
        <w:numPr>
          <w:ilvl w:val="0"/>
          <w:numId w:val="22"/>
        </w:numPr>
        <w:tabs>
          <w:tab w:val="clear" w:pos="851"/>
          <w:tab w:val="num" w:pos="1134"/>
        </w:tabs>
        <w:ind w:left="1134" w:hanging="567"/>
        <w:jc w:val="both"/>
        <w:rPr>
          <w:bCs/>
          <w:color w:val="000000"/>
          <w:sz w:val="20"/>
        </w:rPr>
      </w:pPr>
      <w:r w:rsidRPr="00AB16BB">
        <w:rPr>
          <w:bCs/>
          <w:color w:val="000000"/>
          <w:sz w:val="20"/>
        </w:rPr>
        <w:t>Reorientación del proyecto “Fortalecer la capacidad de las instituciones nacionales de P.I. públicas y privadas para administrar, supervisar y fomentar el funcionamiento de las industrias culturales, además de mejorar el rendimiento e intensificar la red de organizaciones de gestión colectiva del derecho de autor”, ampliando el alcance del mismo para crear instituciones de P.I. más eficaces y para alentar un equilibrio adecuado entre la protección de la P.I. y el interés público, aprobada en la décima sesión del CDIP.</w:t>
      </w:r>
    </w:p>
    <w:p w:rsidR="00B070BF" w:rsidRPr="00AB16BB" w:rsidRDefault="00B070BF" w:rsidP="00B070BF">
      <w:pPr>
        <w:widowControl w:val="0"/>
        <w:jc w:val="both"/>
        <w:rPr>
          <w:bCs/>
          <w:color w:val="000000"/>
          <w:sz w:val="20"/>
        </w:rPr>
      </w:pPr>
    </w:p>
    <w:p w:rsidR="00B070BF" w:rsidRPr="00AB16BB" w:rsidRDefault="00B070BF" w:rsidP="00B070BF">
      <w:pPr>
        <w:widowControl w:val="0"/>
        <w:numPr>
          <w:ilvl w:val="0"/>
          <w:numId w:val="22"/>
        </w:numPr>
        <w:tabs>
          <w:tab w:val="clear" w:pos="851"/>
          <w:tab w:val="num" w:pos="1134"/>
        </w:tabs>
        <w:ind w:left="1134" w:hanging="567"/>
        <w:jc w:val="both"/>
        <w:rPr>
          <w:bCs/>
          <w:color w:val="000000"/>
          <w:sz w:val="20"/>
        </w:rPr>
      </w:pPr>
      <w:r w:rsidRPr="00AB16BB">
        <w:rPr>
          <w:bCs/>
          <w:color w:val="000000"/>
          <w:sz w:val="20"/>
        </w:rPr>
        <w:t>Evaluación del proyecto sobre propiedad intelectual y dominio público y seguimiento del mismo en forma de un estudio titulado “Posibles hipótesis y opciones en relación con las recomendaciones 1.c, 1.f y 2.a del estudio exploratorio sobre el derecho de autor y los derechos conexos y el dominio público”.  Además se elaboró el mandato de un estudio comparado sobre la renuncia al derecho de autor.</w:t>
      </w:r>
    </w:p>
    <w:p w:rsidR="00B070BF" w:rsidRPr="00AB16BB" w:rsidRDefault="00B070BF" w:rsidP="00B070BF">
      <w:pPr>
        <w:widowControl w:val="0"/>
        <w:rPr>
          <w:bCs/>
          <w:color w:val="000000"/>
          <w:sz w:val="20"/>
        </w:rPr>
      </w:pPr>
    </w:p>
    <w:p w:rsidR="00B070BF" w:rsidRPr="00AB16BB" w:rsidRDefault="00B070BF" w:rsidP="00B070BF">
      <w:pPr>
        <w:widowControl w:val="0"/>
        <w:numPr>
          <w:ilvl w:val="0"/>
          <w:numId w:val="22"/>
        </w:numPr>
        <w:tabs>
          <w:tab w:val="clear" w:pos="851"/>
          <w:tab w:val="num" w:pos="1134"/>
        </w:tabs>
        <w:ind w:left="1134" w:hanging="567"/>
        <w:jc w:val="both"/>
        <w:rPr>
          <w:bCs/>
          <w:color w:val="000000"/>
          <w:sz w:val="20"/>
        </w:rPr>
      </w:pPr>
      <w:r w:rsidRPr="00AB16BB">
        <w:rPr>
          <w:bCs/>
          <w:color w:val="000000"/>
          <w:sz w:val="20"/>
        </w:rPr>
        <w:t>Finalización y evaluación del proyecto “La P.I., las tecnologías de la información y la comunicación (TIC), la brecha digital y el acceso a los conocimientos”.  En el marco de este proyecto, un grupo de expertos externos preparó un estudio sobre la utilización del derecho de autor para promover el acceso a la información y al contenido creativo, que se presentó en la novena sesión del CDIP.</w:t>
      </w:r>
    </w:p>
    <w:p w:rsidR="00B070BF" w:rsidRPr="00AB16BB" w:rsidRDefault="00B070BF" w:rsidP="00B070BF">
      <w:pPr>
        <w:widowControl w:val="0"/>
        <w:rPr>
          <w:bCs/>
          <w:color w:val="000000"/>
          <w:sz w:val="20"/>
        </w:rPr>
      </w:pPr>
    </w:p>
    <w:p w:rsidR="00B070BF" w:rsidRPr="00AB16BB" w:rsidRDefault="00B070BF" w:rsidP="00B070BF">
      <w:pPr>
        <w:widowControl w:val="0"/>
        <w:numPr>
          <w:ilvl w:val="0"/>
          <w:numId w:val="22"/>
        </w:numPr>
        <w:tabs>
          <w:tab w:val="clear" w:pos="851"/>
          <w:tab w:val="num" w:pos="1134"/>
        </w:tabs>
        <w:ind w:left="1134" w:hanging="567"/>
        <w:jc w:val="both"/>
        <w:rPr>
          <w:bCs/>
          <w:color w:val="000000"/>
          <w:sz w:val="20"/>
        </w:rPr>
      </w:pPr>
      <w:r w:rsidRPr="00AB16BB">
        <w:rPr>
          <w:bCs/>
          <w:color w:val="000000"/>
          <w:sz w:val="20"/>
        </w:rPr>
        <w:t>Revisión y finalización del proyecto “Fortalecimiento y desarrollo del sector audiovisual en Burkina Faso y en determinados países de África”, presentado por la Delegación de Burkina Faso y aprobado en la novena sesión del CDIP.</w:t>
      </w:r>
    </w:p>
    <w:p w:rsidR="00B070BF" w:rsidRPr="00AB16BB" w:rsidRDefault="00B070BF" w:rsidP="00B070BF">
      <w:pPr>
        <w:widowControl w:val="0"/>
        <w:jc w:val="both"/>
        <w:rPr>
          <w:rFonts w:eastAsia="MS Mincho"/>
          <w:sz w:val="20"/>
          <w:lang w:eastAsia="ja-JP" w:bidi="th-TH"/>
        </w:rPr>
      </w:pPr>
    </w:p>
    <w:p w:rsidR="00B070BF" w:rsidRPr="00AB16BB" w:rsidRDefault="00B070BF" w:rsidP="00B070BF">
      <w:pPr>
        <w:widowControl w:val="0"/>
        <w:rPr>
          <w:rFonts w:eastAsia="MS Mincho"/>
          <w:sz w:val="20"/>
          <w:lang w:eastAsia="ja-JP" w:bidi="th-TH"/>
        </w:rPr>
      </w:pPr>
    </w:p>
    <w:p w:rsidR="00B070BF" w:rsidRDefault="00B070BF" w:rsidP="00B070BF">
      <w:pPr>
        <w:widowControl w:val="0"/>
        <w:rPr>
          <w:rFonts w:eastAsia="MS Mincho"/>
          <w:sz w:val="20"/>
          <w:lang w:eastAsia="ja-JP" w:bidi="th-TH"/>
        </w:rPr>
      </w:pPr>
      <w:r w:rsidRPr="00BA445E">
        <w:rPr>
          <w:rFonts w:eastAsia="MS Mincho"/>
          <w:sz w:val="20"/>
          <w:lang w:eastAsia="ja-JP" w:bidi="th-TH"/>
        </w:rPr>
        <w:t>DATOS SOBRE EL RENDIMIENTO</w:t>
      </w:r>
    </w:p>
    <w:p w:rsidR="00B070BF" w:rsidRPr="00BA445E" w:rsidRDefault="00B070BF" w:rsidP="00B070BF">
      <w:pPr>
        <w:widowControl w:val="0"/>
        <w:rPr>
          <w:rFonts w:eastAsia="MS Mincho"/>
          <w:sz w:val="20"/>
          <w:lang w:eastAsia="ja-JP" w:bidi="th-TH"/>
        </w:rPr>
      </w:pPr>
    </w:p>
    <w:tbl>
      <w:tblPr>
        <w:tblW w:w="5000" w:type="pct"/>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994"/>
        <w:gridCol w:w="1423"/>
        <w:gridCol w:w="1709"/>
        <w:gridCol w:w="142"/>
        <w:gridCol w:w="140"/>
        <w:gridCol w:w="3084"/>
        <w:gridCol w:w="1079"/>
      </w:tblGrid>
      <w:tr w:rsidR="00B070BF" w:rsidRPr="00CE1DAE" w:rsidTr="00C33D4A">
        <w:trPr>
          <w:cantSplit/>
        </w:trPr>
        <w:tc>
          <w:tcPr>
            <w:tcW w:w="5000" w:type="pct"/>
            <w:gridSpan w:val="7"/>
            <w:tcBorders>
              <w:top w:val="single" w:sz="4" w:space="0" w:color="auto"/>
              <w:bottom w:val="single" w:sz="4" w:space="0" w:color="auto"/>
            </w:tcBorders>
            <w:shd w:val="clear" w:color="auto" w:fill="CCFFFF"/>
            <w:vAlign w:val="center"/>
          </w:tcPr>
          <w:p w:rsidR="00B070BF" w:rsidRPr="00CE1DAE" w:rsidRDefault="00B070BF" w:rsidP="00C33D4A">
            <w:pPr>
              <w:widowControl w:val="0"/>
              <w:tabs>
                <w:tab w:val="left" w:pos="1735"/>
              </w:tabs>
              <w:spacing w:before="120" w:after="120"/>
              <w:ind w:left="1735" w:hanging="1735"/>
              <w:rPr>
                <w:b/>
                <w:bCs/>
                <w:sz w:val="16"/>
                <w:szCs w:val="16"/>
              </w:rPr>
            </w:pPr>
            <w:r w:rsidRPr="00CE1DAE">
              <w:rPr>
                <w:b/>
                <w:bCs/>
                <w:sz w:val="16"/>
                <w:szCs w:val="16"/>
              </w:rPr>
              <w:t>Resultado previsto:</w:t>
            </w:r>
            <w:r w:rsidRPr="00CE1DAE">
              <w:rPr>
                <w:b/>
                <w:bCs/>
                <w:sz w:val="16"/>
                <w:szCs w:val="16"/>
              </w:rPr>
              <w:tab/>
            </w:r>
            <w:r w:rsidRPr="00CE1DAE">
              <w:rPr>
                <w:bCs/>
                <w:sz w:val="16"/>
                <w:szCs w:val="16"/>
              </w:rPr>
              <w:t xml:space="preserve"> Mejor cooperación/mayor consenso entre los Estados miembros en lo que atañe a seguir elaborando marcos normativos y de política equilibrados para el sistema internacional de patentes, marcas, dibujos y modelos industriales, indicaciones geográficas, derechos de autor y derechos conexos CC.TT., ECT y RR.GG.</w:t>
            </w:r>
          </w:p>
        </w:tc>
      </w:tr>
      <w:tr w:rsidR="00B070BF" w:rsidRPr="00CE1DAE" w:rsidTr="00C33D4A">
        <w:trPr>
          <w:cantSplit/>
        </w:trPr>
        <w:tc>
          <w:tcPr>
            <w:tcW w:w="1043" w:type="pct"/>
            <w:tcBorders>
              <w:top w:val="single" w:sz="4" w:space="0" w:color="auto"/>
            </w:tcBorders>
            <w:shd w:val="clear" w:color="auto" w:fill="auto"/>
            <w:vAlign w:val="center"/>
          </w:tcPr>
          <w:p w:rsidR="00B070BF" w:rsidRPr="00CE1DAE" w:rsidRDefault="00B070BF" w:rsidP="00C33D4A">
            <w:pPr>
              <w:widowControl w:val="0"/>
              <w:spacing w:after="120"/>
              <w:rPr>
                <w:sz w:val="16"/>
                <w:szCs w:val="16"/>
              </w:rPr>
            </w:pPr>
            <w:r w:rsidRPr="00CE1DAE">
              <w:rPr>
                <w:b/>
                <w:bCs/>
                <w:sz w:val="16"/>
                <w:szCs w:val="16"/>
              </w:rPr>
              <w:t>Indicadores de rendimiento</w:t>
            </w:r>
          </w:p>
        </w:tc>
        <w:tc>
          <w:tcPr>
            <w:tcW w:w="745" w:type="pct"/>
            <w:tcBorders>
              <w:top w:val="single" w:sz="4" w:space="0" w:color="auto"/>
            </w:tcBorders>
            <w:shd w:val="clear" w:color="auto" w:fill="C0C0C0"/>
          </w:tcPr>
          <w:p w:rsidR="00B070BF" w:rsidRPr="00CE1DAE" w:rsidRDefault="00B070BF" w:rsidP="00C33D4A">
            <w:pPr>
              <w:widowControl w:val="0"/>
              <w:spacing w:after="120"/>
              <w:rPr>
                <w:b/>
                <w:bCs/>
                <w:sz w:val="16"/>
                <w:szCs w:val="16"/>
              </w:rPr>
            </w:pPr>
            <w:r w:rsidRPr="00CE1DAE">
              <w:rPr>
                <w:b/>
                <w:bCs/>
                <w:sz w:val="16"/>
                <w:szCs w:val="16"/>
              </w:rPr>
              <w:t>Referencia (</w:t>
            </w:r>
            <w:proofErr w:type="spellStart"/>
            <w:r w:rsidRPr="00CE1DAE">
              <w:rPr>
                <w:b/>
                <w:bCs/>
                <w:sz w:val="16"/>
                <w:szCs w:val="16"/>
              </w:rPr>
              <w:t>Presup</w:t>
            </w:r>
            <w:proofErr w:type="spellEnd"/>
            <w:r w:rsidRPr="00CE1DAE">
              <w:rPr>
                <w:b/>
                <w:bCs/>
                <w:sz w:val="16"/>
                <w:szCs w:val="16"/>
              </w:rPr>
              <w:t xml:space="preserve">. por </w:t>
            </w:r>
            <w:proofErr w:type="spellStart"/>
            <w:r w:rsidRPr="00CE1DAE">
              <w:rPr>
                <w:b/>
                <w:bCs/>
                <w:sz w:val="16"/>
                <w:szCs w:val="16"/>
              </w:rPr>
              <w:t>prog</w:t>
            </w:r>
            <w:proofErr w:type="spellEnd"/>
            <w:r w:rsidRPr="00CE1DAE">
              <w:rPr>
                <w:b/>
                <w:bCs/>
                <w:sz w:val="16"/>
                <w:szCs w:val="16"/>
              </w:rPr>
              <w:t>. 2012/13)</w:t>
            </w:r>
          </w:p>
        </w:tc>
        <w:tc>
          <w:tcPr>
            <w:tcW w:w="894" w:type="pct"/>
            <w:tcBorders>
              <w:top w:val="single" w:sz="4" w:space="0" w:color="auto"/>
            </w:tcBorders>
            <w:shd w:val="clear" w:color="auto" w:fill="auto"/>
            <w:tcMar>
              <w:top w:w="110" w:type="dxa"/>
            </w:tcMar>
            <w:vAlign w:val="center"/>
          </w:tcPr>
          <w:p w:rsidR="00B070BF" w:rsidRPr="00CE1DAE" w:rsidRDefault="00B070BF" w:rsidP="00C33D4A">
            <w:pPr>
              <w:widowControl w:val="0"/>
              <w:spacing w:after="120"/>
              <w:rPr>
                <w:b/>
                <w:sz w:val="16"/>
                <w:szCs w:val="16"/>
              </w:rPr>
            </w:pPr>
            <w:r w:rsidRPr="00BF138D">
              <w:rPr>
                <w:b/>
                <w:color w:val="993300"/>
                <w:sz w:val="16"/>
                <w:szCs w:val="16"/>
              </w:rPr>
              <w:t>Referencia actualizada a finales de 2011</w:t>
            </w:r>
            <w:r w:rsidRPr="00CE1DAE">
              <w:rPr>
                <w:b/>
                <w:sz w:val="16"/>
                <w:szCs w:val="16"/>
              </w:rPr>
              <w:t xml:space="preserve"> </w:t>
            </w:r>
          </w:p>
        </w:tc>
        <w:tc>
          <w:tcPr>
            <w:tcW w:w="1761" w:type="pct"/>
            <w:gridSpan w:val="3"/>
            <w:tcBorders>
              <w:top w:val="single" w:sz="4" w:space="0" w:color="auto"/>
            </w:tcBorders>
            <w:shd w:val="clear" w:color="auto" w:fill="FFFFFF"/>
            <w:tcMar>
              <w:top w:w="110" w:type="dxa"/>
            </w:tcMar>
            <w:vAlign w:val="center"/>
          </w:tcPr>
          <w:p w:rsidR="00B070BF" w:rsidRPr="00CE1DAE" w:rsidRDefault="00B070BF" w:rsidP="00C33D4A">
            <w:pPr>
              <w:widowControl w:val="0"/>
              <w:spacing w:after="120"/>
              <w:rPr>
                <w:sz w:val="16"/>
                <w:szCs w:val="16"/>
              </w:rPr>
            </w:pPr>
            <w:r w:rsidRPr="00CE1DAE">
              <w:rPr>
                <w:b/>
                <w:bCs/>
                <w:sz w:val="16"/>
                <w:szCs w:val="16"/>
              </w:rPr>
              <w:t>Datos sobre el rendimiento</w:t>
            </w:r>
          </w:p>
        </w:tc>
        <w:tc>
          <w:tcPr>
            <w:tcW w:w="557" w:type="pct"/>
            <w:tcBorders>
              <w:top w:val="single" w:sz="4" w:space="0" w:color="auto"/>
            </w:tcBorders>
            <w:shd w:val="clear" w:color="auto" w:fill="auto"/>
            <w:tcMar>
              <w:top w:w="110" w:type="dxa"/>
            </w:tcMar>
            <w:vAlign w:val="center"/>
          </w:tcPr>
          <w:p w:rsidR="00B070BF" w:rsidRPr="00CE1DAE" w:rsidRDefault="00B070BF" w:rsidP="00C33D4A">
            <w:pPr>
              <w:widowControl w:val="0"/>
              <w:spacing w:after="120"/>
              <w:jc w:val="center"/>
              <w:rPr>
                <w:b/>
                <w:bCs/>
                <w:sz w:val="16"/>
                <w:szCs w:val="16"/>
              </w:rPr>
            </w:pPr>
            <w:r w:rsidRPr="00CE1DAE">
              <w:rPr>
                <w:b/>
                <w:bCs/>
                <w:sz w:val="16"/>
                <w:szCs w:val="16"/>
              </w:rPr>
              <w:t>Clave de colores</w:t>
            </w:r>
          </w:p>
        </w:tc>
      </w:tr>
      <w:tr w:rsidR="00B070BF" w:rsidRPr="00CE1DAE" w:rsidTr="00C33D4A">
        <w:trPr>
          <w:cantSplit/>
          <w:trHeight w:val="1691"/>
        </w:trPr>
        <w:tc>
          <w:tcPr>
            <w:tcW w:w="1043" w:type="pct"/>
            <w:shd w:val="clear" w:color="auto" w:fill="auto"/>
          </w:tcPr>
          <w:p w:rsidR="00B070BF" w:rsidRPr="00CE1DAE" w:rsidRDefault="00B070BF" w:rsidP="00C33D4A">
            <w:pPr>
              <w:widowControl w:val="0"/>
              <w:rPr>
                <w:sz w:val="16"/>
                <w:szCs w:val="16"/>
                <w:lang w:bidi="th-TH"/>
              </w:rPr>
            </w:pPr>
            <w:r w:rsidRPr="00CE1DAE">
              <w:rPr>
                <w:sz w:val="16"/>
                <w:szCs w:val="16"/>
                <w:lang w:bidi="th-TH"/>
              </w:rPr>
              <w:t>Conclusiones de los Estados miembros en cada sesión del SCCR</w:t>
            </w:r>
          </w:p>
          <w:p w:rsidR="00B070BF" w:rsidRPr="00CE1DAE" w:rsidRDefault="00B070BF" w:rsidP="00C33D4A">
            <w:pPr>
              <w:widowControl w:val="0"/>
              <w:rPr>
                <w:sz w:val="16"/>
                <w:szCs w:val="16"/>
              </w:rPr>
            </w:pPr>
          </w:p>
        </w:tc>
        <w:tc>
          <w:tcPr>
            <w:tcW w:w="745" w:type="pct"/>
            <w:shd w:val="clear" w:color="auto" w:fill="C0C0C0"/>
          </w:tcPr>
          <w:p w:rsidR="00B070BF" w:rsidRPr="00CE1DAE" w:rsidRDefault="00B070BF" w:rsidP="00C33D4A">
            <w:pPr>
              <w:widowControl w:val="0"/>
              <w:rPr>
                <w:sz w:val="16"/>
                <w:szCs w:val="16"/>
                <w:lang w:bidi="th-TH"/>
              </w:rPr>
            </w:pPr>
            <w:r w:rsidRPr="00CE1DAE">
              <w:rPr>
                <w:sz w:val="16"/>
                <w:szCs w:val="16"/>
                <w:lang w:bidi="th-TH"/>
              </w:rPr>
              <w:t>Conclusiones alcanzadas en las sesiones del SCCR durante el bienio 2010/11 (3)  (marzo de 2011)</w:t>
            </w:r>
          </w:p>
          <w:p w:rsidR="00B070BF" w:rsidRPr="00CE1DAE" w:rsidRDefault="00B070BF" w:rsidP="00C33D4A">
            <w:pPr>
              <w:widowControl w:val="0"/>
              <w:rPr>
                <w:sz w:val="16"/>
                <w:szCs w:val="16"/>
              </w:rPr>
            </w:pPr>
          </w:p>
        </w:tc>
        <w:tc>
          <w:tcPr>
            <w:tcW w:w="894" w:type="pct"/>
            <w:shd w:val="clear" w:color="auto" w:fill="auto"/>
            <w:tcMar>
              <w:top w:w="110" w:type="dxa"/>
            </w:tcMar>
          </w:tcPr>
          <w:p w:rsidR="00B070BF" w:rsidRPr="00CE1DAE" w:rsidRDefault="00B070BF" w:rsidP="00C33D4A">
            <w:pPr>
              <w:widowControl w:val="0"/>
              <w:rPr>
                <w:color w:val="943634"/>
                <w:sz w:val="16"/>
                <w:szCs w:val="16"/>
                <w:lang w:bidi="th-TH"/>
              </w:rPr>
            </w:pPr>
            <w:r w:rsidRPr="00CE1DAE">
              <w:rPr>
                <w:color w:val="943634"/>
                <w:sz w:val="16"/>
                <w:szCs w:val="16"/>
                <w:lang w:bidi="th-TH"/>
              </w:rPr>
              <w:t xml:space="preserve">Conclusiones alcanzadas en las sesiones del SCCR </w:t>
            </w:r>
          </w:p>
          <w:p w:rsidR="00B070BF" w:rsidRPr="00CE1DAE" w:rsidRDefault="00B070BF" w:rsidP="00C33D4A">
            <w:pPr>
              <w:widowControl w:val="0"/>
              <w:rPr>
                <w:color w:val="943634"/>
                <w:sz w:val="16"/>
                <w:szCs w:val="16"/>
                <w:lang w:bidi="th-TH"/>
              </w:rPr>
            </w:pPr>
          </w:p>
          <w:p w:rsidR="00B070BF" w:rsidRPr="00CE1DAE" w:rsidRDefault="00B070BF" w:rsidP="00C33D4A">
            <w:pPr>
              <w:widowControl w:val="0"/>
              <w:rPr>
                <w:color w:val="943634"/>
                <w:sz w:val="16"/>
                <w:szCs w:val="16"/>
                <w:lang w:bidi="th-TH"/>
              </w:rPr>
            </w:pPr>
          </w:p>
          <w:p w:rsidR="00B070BF" w:rsidRPr="00CE1DAE" w:rsidRDefault="00B070BF" w:rsidP="00C33D4A">
            <w:pPr>
              <w:widowControl w:val="0"/>
              <w:rPr>
                <w:color w:val="943634"/>
                <w:sz w:val="16"/>
                <w:szCs w:val="16"/>
                <w:lang w:bidi="th-TH"/>
              </w:rPr>
            </w:pPr>
          </w:p>
          <w:p w:rsidR="00B070BF" w:rsidRPr="00CE1DAE" w:rsidRDefault="00B070BF" w:rsidP="00C33D4A">
            <w:pPr>
              <w:widowControl w:val="0"/>
              <w:rPr>
                <w:color w:val="943634"/>
                <w:sz w:val="16"/>
                <w:szCs w:val="16"/>
                <w:lang w:bidi="th-TH"/>
              </w:rPr>
            </w:pPr>
          </w:p>
          <w:p w:rsidR="00B070BF" w:rsidRPr="00CE1DAE" w:rsidRDefault="00B070BF" w:rsidP="00C33D4A">
            <w:pPr>
              <w:widowControl w:val="0"/>
              <w:rPr>
                <w:color w:val="943634"/>
                <w:sz w:val="16"/>
                <w:szCs w:val="16"/>
                <w:lang w:bidi="th-TH"/>
              </w:rPr>
            </w:pPr>
          </w:p>
          <w:p w:rsidR="00B070BF" w:rsidRPr="00CE1DAE" w:rsidRDefault="00B070BF" w:rsidP="00C33D4A">
            <w:pPr>
              <w:widowControl w:val="0"/>
              <w:rPr>
                <w:color w:val="943634"/>
                <w:sz w:val="16"/>
                <w:szCs w:val="16"/>
                <w:lang w:bidi="th-TH"/>
              </w:rPr>
            </w:pPr>
          </w:p>
        </w:tc>
        <w:tc>
          <w:tcPr>
            <w:tcW w:w="1761" w:type="pct"/>
            <w:gridSpan w:val="3"/>
            <w:shd w:val="clear" w:color="auto" w:fill="FFFFFF"/>
            <w:tcMar>
              <w:top w:w="110" w:type="dxa"/>
            </w:tcMar>
          </w:tcPr>
          <w:p w:rsidR="00B070BF" w:rsidRPr="00CE1DAE" w:rsidRDefault="00B070BF" w:rsidP="00C33D4A">
            <w:pPr>
              <w:widowControl w:val="0"/>
              <w:rPr>
                <w:sz w:val="16"/>
                <w:szCs w:val="16"/>
                <w:lang w:bidi="th-TH"/>
              </w:rPr>
            </w:pPr>
            <w:r w:rsidRPr="00CE1DAE">
              <w:rPr>
                <w:sz w:val="16"/>
                <w:szCs w:val="16"/>
                <w:lang w:bidi="th-TH"/>
              </w:rPr>
              <w:t>En ambas sesiones del SCCR</w:t>
            </w:r>
            <w:r w:rsidRPr="00CE1DAE">
              <w:rPr>
                <w:sz w:val="16"/>
                <w:szCs w:val="16"/>
                <w:vertAlign w:val="superscript"/>
                <w:lang w:bidi="th-TH"/>
              </w:rPr>
              <w:footnoteReference w:id="4"/>
            </w:r>
            <w:r w:rsidRPr="00CE1DAE">
              <w:rPr>
                <w:sz w:val="16"/>
                <w:szCs w:val="16"/>
                <w:vertAlign w:val="superscript"/>
                <w:lang w:bidi="th-TH"/>
              </w:rPr>
              <w:t xml:space="preserve"> </w:t>
            </w:r>
            <w:r w:rsidRPr="00CE1DAE">
              <w:rPr>
                <w:sz w:val="16"/>
                <w:szCs w:val="16"/>
                <w:lang w:bidi="th-TH"/>
              </w:rPr>
              <w:t xml:space="preserve">los Estados miembros acordaron proseguir la labor relativa a todos los aspectos sustantivos del orden del día, en particular, respecto a las limitaciones y excepciones para las personas con discapacidad visual y personas con dificultades para acceder al texto impreso;  la protección de los organismos de radiodifusión;  las limitaciones y excepciones para las bibliotecas y archivos;  y las limitaciones y excepciones en favor de las instituciones educativas y de investigación. </w:t>
            </w:r>
          </w:p>
        </w:tc>
        <w:tc>
          <w:tcPr>
            <w:tcW w:w="557" w:type="pct"/>
            <w:shd w:val="clear" w:color="auto" w:fill="auto"/>
            <w:tcMar>
              <w:top w:w="110" w:type="dxa"/>
            </w:tcMar>
          </w:tcPr>
          <w:p w:rsidR="00B070BF" w:rsidRPr="00CE1DAE" w:rsidRDefault="00B070BF" w:rsidP="00C33D4A">
            <w:pPr>
              <w:widowControl w:val="0"/>
              <w:jc w:val="center"/>
              <w:rPr>
                <w:b/>
                <w:bCs/>
                <w:sz w:val="16"/>
                <w:szCs w:val="16"/>
              </w:rPr>
            </w:pPr>
            <w:r w:rsidRPr="009577DE">
              <w:rPr>
                <w:b/>
                <w:bCs/>
                <w:color w:val="008000"/>
                <w:sz w:val="16"/>
                <w:szCs w:val="16"/>
              </w:rPr>
              <w:t>Progresa con normalidad</w:t>
            </w:r>
          </w:p>
          <w:p w:rsidR="00B070BF" w:rsidRPr="00CE1DAE" w:rsidRDefault="00B070BF" w:rsidP="00C33D4A">
            <w:pPr>
              <w:widowControl w:val="0"/>
              <w:jc w:val="center"/>
              <w:rPr>
                <w:bCs/>
                <w:sz w:val="16"/>
                <w:szCs w:val="16"/>
              </w:rPr>
            </w:pPr>
          </w:p>
          <w:p w:rsidR="00B070BF" w:rsidRPr="00CE1DAE" w:rsidRDefault="00B070BF" w:rsidP="00C33D4A">
            <w:pPr>
              <w:widowControl w:val="0"/>
              <w:jc w:val="center"/>
              <w:rPr>
                <w:bCs/>
                <w:sz w:val="16"/>
                <w:szCs w:val="16"/>
              </w:rPr>
            </w:pPr>
          </w:p>
          <w:p w:rsidR="00B070BF" w:rsidRPr="00CE1DAE" w:rsidRDefault="00B070BF" w:rsidP="00C33D4A">
            <w:pPr>
              <w:widowControl w:val="0"/>
              <w:jc w:val="center"/>
              <w:rPr>
                <w:bCs/>
                <w:sz w:val="16"/>
                <w:szCs w:val="16"/>
              </w:rPr>
            </w:pPr>
          </w:p>
        </w:tc>
      </w:tr>
      <w:tr w:rsidR="00B070BF" w:rsidRPr="00CE1DAE" w:rsidTr="00C33D4A">
        <w:trPr>
          <w:cantSplit/>
        </w:trPr>
        <w:tc>
          <w:tcPr>
            <w:tcW w:w="1043" w:type="pct"/>
            <w:tcBorders>
              <w:bottom w:val="single" w:sz="4" w:space="0" w:color="auto"/>
            </w:tcBorders>
            <w:shd w:val="clear" w:color="auto" w:fill="auto"/>
          </w:tcPr>
          <w:p w:rsidR="00B070BF" w:rsidRPr="00CE1DAE" w:rsidRDefault="00B070BF" w:rsidP="00C33D4A">
            <w:pPr>
              <w:widowControl w:val="0"/>
              <w:rPr>
                <w:sz w:val="16"/>
                <w:szCs w:val="16"/>
              </w:rPr>
            </w:pPr>
            <w:r w:rsidRPr="00CE1DAE">
              <w:rPr>
                <w:sz w:val="16"/>
                <w:szCs w:val="16"/>
                <w:lang w:bidi="th-TH"/>
              </w:rPr>
              <w:t>Progresos en pos de un acuerdo relativo a las cuestiones que están en el orden del día del SCCR.</w:t>
            </w:r>
          </w:p>
        </w:tc>
        <w:tc>
          <w:tcPr>
            <w:tcW w:w="745" w:type="pct"/>
            <w:tcBorders>
              <w:bottom w:val="single" w:sz="4" w:space="0" w:color="auto"/>
            </w:tcBorders>
            <w:shd w:val="clear" w:color="auto" w:fill="C0C0C0"/>
          </w:tcPr>
          <w:p w:rsidR="00B070BF" w:rsidRPr="00CE1DAE" w:rsidRDefault="00B070BF" w:rsidP="00C33D4A">
            <w:pPr>
              <w:widowControl w:val="0"/>
              <w:rPr>
                <w:sz w:val="16"/>
                <w:szCs w:val="16"/>
              </w:rPr>
            </w:pPr>
            <w:r w:rsidRPr="00CE1DAE">
              <w:rPr>
                <w:sz w:val="16"/>
                <w:szCs w:val="16"/>
                <w:lang w:bidi="th-TH"/>
              </w:rPr>
              <w:t>WCT, WPPT (1996), Convención de Roma (1961) (marzo de 2011)</w:t>
            </w:r>
          </w:p>
        </w:tc>
        <w:tc>
          <w:tcPr>
            <w:tcW w:w="894" w:type="pct"/>
            <w:tcBorders>
              <w:bottom w:val="single" w:sz="4" w:space="0" w:color="auto"/>
            </w:tcBorders>
            <w:shd w:val="clear" w:color="auto" w:fill="auto"/>
            <w:tcMar>
              <w:top w:w="110" w:type="dxa"/>
            </w:tcMar>
          </w:tcPr>
          <w:p w:rsidR="00B070BF" w:rsidRPr="00CE1DAE" w:rsidRDefault="00B070BF" w:rsidP="00C33D4A">
            <w:pPr>
              <w:widowControl w:val="0"/>
              <w:rPr>
                <w:color w:val="943634"/>
                <w:sz w:val="16"/>
                <w:szCs w:val="16"/>
                <w:lang w:bidi="th-TH"/>
              </w:rPr>
            </w:pPr>
            <w:r w:rsidRPr="00CE1DAE">
              <w:rPr>
                <w:color w:val="943634"/>
                <w:sz w:val="16"/>
                <w:szCs w:val="16"/>
                <w:lang w:bidi="th-TH"/>
              </w:rPr>
              <w:t xml:space="preserve">Progresos logrados respecto al orden del día del SCCR </w:t>
            </w:r>
          </w:p>
          <w:p w:rsidR="00B070BF" w:rsidRPr="00CE1DAE" w:rsidRDefault="00B070BF" w:rsidP="00C33D4A">
            <w:pPr>
              <w:widowControl w:val="0"/>
              <w:rPr>
                <w:color w:val="943634"/>
                <w:sz w:val="16"/>
                <w:szCs w:val="16"/>
                <w:lang w:bidi="th-TH"/>
              </w:rPr>
            </w:pPr>
          </w:p>
          <w:p w:rsidR="00B070BF" w:rsidRPr="00CE1DAE" w:rsidRDefault="00B070BF" w:rsidP="00C33D4A">
            <w:pPr>
              <w:widowControl w:val="0"/>
              <w:rPr>
                <w:color w:val="943634"/>
                <w:sz w:val="16"/>
                <w:szCs w:val="16"/>
                <w:lang w:bidi="th-TH"/>
              </w:rPr>
            </w:pPr>
          </w:p>
        </w:tc>
        <w:tc>
          <w:tcPr>
            <w:tcW w:w="1761" w:type="pct"/>
            <w:gridSpan w:val="3"/>
            <w:tcBorders>
              <w:bottom w:val="single" w:sz="4" w:space="0" w:color="auto"/>
            </w:tcBorders>
            <w:shd w:val="clear" w:color="auto" w:fill="FFFFFF"/>
            <w:tcMar>
              <w:top w:w="110" w:type="dxa"/>
            </w:tcMar>
          </w:tcPr>
          <w:p w:rsidR="00B070BF" w:rsidRPr="00CE1DAE" w:rsidRDefault="00B070BF" w:rsidP="00C33D4A">
            <w:pPr>
              <w:widowControl w:val="0"/>
              <w:rPr>
                <w:sz w:val="16"/>
                <w:szCs w:val="16"/>
              </w:rPr>
            </w:pPr>
            <w:r w:rsidRPr="00CE1DAE">
              <w:rPr>
                <w:sz w:val="16"/>
                <w:szCs w:val="16"/>
              </w:rPr>
              <w:t>Se adoptó el texto del Tratado de Beijing en junio de 2012.  Se tomó la decisión de convocar una conferencia diplomática en Marrakech en diciembre de 2012.  Los progresos están en sintonía con el plan de trabajo del SCCR sobre todos los puntos que figuran en el orden del día.</w:t>
            </w:r>
          </w:p>
          <w:p w:rsidR="00B070BF" w:rsidRPr="00CE1DAE" w:rsidRDefault="00B070BF" w:rsidP="00C33D4A">
            <w:pPr>
              <w:widowControl w:val="0"/>
              <w:rPr>
                <w:sz w:val="16"/>
                <w:szCs w:val="16"/>
              </w:rPr>
            </w:pPr>
          </w:p>
        </w:tc>
        <w:tc>
          <w:tcPr>
            <w:tcW w:w="557" w:type="pct"/>
            <w:tcBorders>
              <w:bottom w:val="single" w:sz="4" w:space="0" w:color="auto"/>
            </w:tcBorders>
            <w:shd w:val="clear" w:color="auto" w:fill="auto"/>
            <w:tcMar>
              <w:top w:w="110" w:type="dxa"/>
            </w:tcMar>
          </w:tcPr>
          <w:p w:rsidR="00B070BF" w:rsidRPr="00CE1DAE" w:rsidRDefault="00B070BF" w:rsidP="00C33D4A">
            <w:pPr>
              <w:widowControl w:val="0"/>
              <w:jc w:val="center"/>
              <w:rPr>
                <w:b/>
                <w:bCs/>
                <w:sz w:val="16"/>
                <w:szCs w:val="16"/>
              </w:rPr>
            </w:pPr>
            <w:r w:rsidRPr="009577DE">
              <w:rPr>
                <w:b/>
                <w:bCs/>
                <w:color w:val="008000"/>
                <w:sz w:val="16"/>
                <w:szCs w:val="16"/>
              </w:rPr>
              <w:t>Progresa con normalidad</w:t>
            </w:r>
          </w:p>
          <w:p w:rsidR="00B070BF" w:rsidRPr="00CE1DAE" w:rsidRDefault="00B070BF" w:rsidP="00C33D4A">
            <w:pPr>
              <w:widowControl w:val="0"/>
              <w:jc w:val="center"/>
              <w:rPr>
                <w:bCs/>
                <w:sz w:val="16"/>
                <w:szCs w:val="16"/>
              </w:rPr>
            </w:pPr>
          </w:p>
          <w:p w:rsidR="00B070BF" w:rsidRPr="00CE1DAE" w:rsidRDefault="00B070BF" w:rsidP="00C33D4A">
            <w:pPr>
              <w:widowControl w:val="0"/>
              <w:jc w:val="center"/>
              <w:rPr>
                <w:bCs/>
                <w:sz w:val="16"/>
                <w:szCs w:val="16"/>
              </w:rPr>
            </w:pPr>
          </w:p>
          <w:p w:rsidR="00B070BF" w:rsidRPr="00CE1DAE" w:rsidRDefault="00B070BF" w:rsidP="00C33D4A">
            <w:pPr>
              <w:widowControl w:val="0"/>
              <w:jc w:val="center"/>
              <w:rPr>
                <w:bCs/>
                <w:sz w:val="16"/>
                <w:szCs w:val="16"/>
              </w:rPr>
            </w:pPr>
          </w:p>
        </w:tc>
      </w:tr>
      <w:tr w:rsidR="00B070BF" w:rsidRPr="00CE1DAE" w:rsidTr="00C33D4A">
        <w:trPr>
          <w:cantSplit/>
        </w:trPr>
        <w:tc>
          <w:tcPr>
            <w:tcW w:w="5000" w:type="pct"/>
            <w:gridSpan w:val="7"/>
            <w:tcBorders>
              <w:top w:val="single" w:sz="4" w:space="0" w:color="auto"/>
              <w:bottom w:val="single" w:sz="4" w:space="0" w:color="auto"/>
            </w:tcBorders>
            <w:shd w:val="clear" w:color="auto" w:fill="CCFFFF"/>
            <w:vAlign w:val="center"/>
          </w:tcPr>
          <w:p w:rsidR="00B070BF" w:rsidRPr="00CE1DAE" w:rsidRDefault="00B070BF" w:rsidP="00C33D4A">
            <w:pPr>
              <w:keepNext/>
              <w:widowControl w:val="0"/>
              <w:tabs>
                <w:tab w:val="left" w:pos="1735"/>
              </w:tabs>
              <w:spacing w:before="120" w:after="120"/>
              <w:ind w:left="1735" w:hanging="1735"/>
              <w:rPr>
                <w:b/>
                <w:bCs/>
                <w:sz w:val="16"/>
                <w:szCs w:val="16"/>
              </w:rPr>
            </w:pPr>
            <w:r w:rsidRPr="00CE1DAE">
              <w:rPr>
                <w:b/>
                <w:bCs/>
                <w:sz w:val="16"/>
                <w:szCs w:val="16"/>
              </w:rPr>
              <w:lastRenderedPageBreak/>
              <w:t>Resultado previsto:</w:t>
            </w:r>
            <w:r w:rsidRPr="00CE1DAE">
              <w:rPr>
                <w:b/>
                <w:bCs/>
                <w:sz w:val="16"/>
                <w:szCs w:val="16"/>
              </w:rPr>
              <w:tab/>
            </w:r>
            <w:r w:rsidRPr="00CE1DAE">
              <w:rPr>
                <w:bCs/>
                <w:sz w:val="16"/>
                <w:szCs w:val="16"/>
              </w:rPr>
              <w:t xml:space="preserve"> Decisión fundamentada sobre cuestiones de derecho de autor.</w:t>
            </w:r>
          </w:p>
        </w:tc>
      </w:tr>
      <w:tr w:rsidR="00B070BF" w:rsidRPr="00CE1DAE" w:rsidTr="00C33D4A">
        <w:trPr>
          <w:cantSplit/>
        </w:trPr>
        <w:tc>
          <w:tcPr>
            <w:tcW w:w="1043" w:type="pct"/>
            <w:tcBorders>
              <w:top w:val="single" w:sz="4" w:space="0" w:color="auto"/>
            </w:tcBorders>
            <w:shd w:val="clear" w:color="auto" w:fill="auto"/>
            <w:vAlign w:val="center"/>
          </w:tcPr>
          <w:p w:rsidR="00B070BF" w:rsidRPr="00CE1DAE" w:rsidRDefault="00B070BF" w:rsidP="00C33D4A">
            <w:pPr>
              <w:widowControl w:val="0"/>
              <w:spacing w:after="120"/>
              <w:rPr>
                <w:sz w:val="16"/>
                <w:szCs w:val="16"/>
              </w:rPr>
            </w:pPr>
            <w:r w:rsidRPr="00CE1DAE">
              <w:rPr>
                <w:b/>
                <w:bCs/>
                <w:sz w:val="16"/>
                <w:szCs w:val="16"/>
              </w:rPr>
              <w:t>Indicadores de rendimiento</w:t>
            </w:r>
          </w:p>
        </w:tc>
        <w:tc>
          <w:tcPr>
            <w:tcW w:w="745" w:type="pct"/>
            <w:tcBorders>
              <w:top w:val="single" w:sz="4" w:space="0" w:color="auto"/>
            </w:tcBorders>
            <w:shd w:val="clear" w:color="auto" w:fill="C0C0C0"/>
          </w:tcPr>
          <w:p w:rsidR="00B070BF" w:rsidRPr="00CE1DAE" w:rsidRDefault="00B070BF" w:rsidP="00C33D4A">
            <w:pPr>
              <w:widowControl w:val="0"/>
              <w:spacing w:after="120"/>
              <w:rPr>
                <w:b/>
                <w:bCs/>
                <w:sz w:val="16"/>
                <w:szCs w:val="16"/>
              </w:rPr>
            </w:pPr>
            <w:r w:rsidRPr="00CE1DAE">
              <w:rPr>
                <w:b/>
                <w:bCs/>
                <w:sz w:val="16"/>
                <w:szCs w:val="16"/>
              </w:rPr>
              <w:t>Referencia (</w:t>
            </w:r>
            <w:proofErr w:type="spellStart"/>
            <w:r w:rsidRPr="00CE1DAE">
              <w:rPr>
                <w:b/>
                <w:bCs/>
                <w:sz w:val="16"/>
                <w:szCs w:val="16"/>
              </w:rPr>
              <w:t>Presup</w:t>
            </w:r>
            <w:proofErr w:type="spellEnd"/>
            <w:r w:rsidRPr="00CE1DAE">
              <w:rPr>
                <w:b/>
                <w:bCs/>
                <w:sz w:val="16"/>
                <w:szCs w:val="16"/>
              </w:rPr>
              <w:t xml:space="preserve">. por </w:t>
            </w:r>
            <w:proofErr w:type="spellStart"/>
            <w:r w:rsidRPr="00CE1DAE">
              <w:rPr>
                <w:b/>
                <w:bCs/>
                <w:sz w:val="16"/>
                <w:szCs w:val="16"/>
              </w:rPr>
              <w:t>prog</w:t>
            </w:r>
            <w:proofErr w:type="spellEnd"/>
            <w:r w:rsidRPr="00CE1DAE">
              <w:rPr>
                <w:b/>
                <w:bCs/>
                <w:sz w:val="16"/>
                <w:szCs w:val="16"/>
              </w:rPr>
              <w:t>. 2012/13)</w:t>
            </w:r>
          </w:p>
        </w:tc>
        <w:tc>
          <w:tcPr>
            <w:tcW w:w="894" w:type="pct"/>
            <w:tcBorders>
              <w:top w:val="single" w:sz="4" w:space="0" w:color="auto"/>
            </w:tcBorders>
            <w:shd w:val="clear" w:color="auto" w:fill="auto"/>
            <w:tcMar>
              <w:top w:w="110" w:type="dxa"/>
            </w:tcMar>
            <w:vAlign w:val="center"/>
          </w:tcPr>
          <w:p w:rsidR="00B070BF" w:rsidRPr="00CE1DAE" w:rsidRDefault="00B070BF" w:rsidP="00C33D4A">
            <w:pPr>
              <w:widowControl w:val="0"/>
              <w:spacing w:after="120"/>
              <w:rPr>
                <w:b/>
                <w:sz w:val="16"/>
                <w:szCs w:val="16"/>
              </w:rPr>
            </w:pPr>
            <w:r w:rsidRPr="00BF138D">
              <w:rPr>
                <w:b/>
                <w:color w:val="993300"/>
                <w:sz w:val="16"/>
                <w:szCs w:val="16"/>
              </w:rPr>
              <w:t>Referencia actualizada a finales de 2011</w:t>
            </w:r>
            <w:r w:rsidRPr="00CE1DAE">
              <w:rPr>
                <w:b/>
                <w:sz w:val="16"/>
                <w:szCs w:val="16"/>
              </w:rPr>
              <w:t xml:space="preserve"> </w:t>
            </w:r>
          </w:p>
        </w:tc>
        <w:tc>
          <w:tcPr>
            <w:tcW w:w="1761" w:type="pct"/>
            <w:gridSpan w:val="3"/>
            <w:tcBorders>
              <w:top w:val="single" w:sz="4" w:space="0" w:color="auto"/>
            </w:tcBorders>
            <w:shd w:val="clear" w:color="auto" w:fill="FFFFFF"/>
            <w:tcMar>
              <w:top w:w="110" w:type="dxa"/>
            </w:tcMar>
            <w:vAlign w:val="center"/>
          </w:tcPr>
          <w:p w:rsidR="00B070BF" w:rsidRPr="00CE1DAE" w:rsidRDefault="00B070BF" w:rsidP="00C33D4A">
            <w:pPr>
              <w:widowControl w:val="0"/>
              <w:spacing w:after="120"/>
              <w:rPr>
                <w:sz w:val="16"/>
                <w:szCs w:val="16"/>
              </w:rPr>
            </w:pPr>
            <w:r w:rsidRPr="00CE1DAE">
              <w:rPr>
                <w:b/>
                <w:bCs/>
                <w:sz w:val="16"/>
                <w:szCs w:val="16"/>
              </w:rPr>
              <w:t>Datos sobre el rendimiento</w:t>
            </w:r>
          </w:p>
        </w:tc>
        <w:tc>
          <w:tcPr>
            <w:tcW w:w="557" w:type="pct"/>
            <w:tcBorders>
              <w:top w:val="single" w:sz="4" w:space="0" w:color="auto"/>
            </w:tcBorders>
            <w:shd w:val="clear" w:color="auto" w:fill="auto"/>
            <w:tcMar>
              <w:top w:w="110" w:type="dxa"/>
            </w:tcMar>
            <w:vAlign w:val="center"/>
          </w:tcPr>
          <w:p w:rsidR="00B070BF" w:rsidRPr="00CE1DAE" w:rsidRDefault="00B070BF" w:rsidP="00C33D4A">
            <w:pPr>
              <w:widowControl w:val="0"/>
              <w:spacing w:after="120"/>
              <w:jc w:val="center"/>
              <w:rPr>
                <w:b/>
                <w:bCs/>
                <w:sz w:val="16"/>
                <w:szCs w:val="16"/>
              </w:rPr>
            </w:pPr>
            <w:r w:rsidRPr="00CE1DAE">
              <w:rPr>
                <w:b/>
                <w:bCs/>
                <w:sz w:val="16"/>
                <w:szCs w:val="16"/>
              </w:rPr>
              <w:t>Clave de colores</w:t>
            </w:r>
          </w:p>
        </w:tc>
      </w:tr>
      <w:tr w:rsidR="00B070BF" w:rsidRPr="00CE1DAE" w:rsidTr="00C33D4A">
        <w:trPr>
          <w:cantSplit/>
        </w:trPr>
        <w:tc>
          <w:tcPr>
            <w:tcW w:w="1043" w:type="pct"/>
            <w:shd w:val="clear" w:color="auto" w:fill="FFFFFF"/>
          </w:tcPr>
          <w:p w:rsidR="00B070BF" w:rsidRPr="00CE1DAE" w:rsidRDefault="00B070BF" w:rsidP="00C33D4A">
            <w:pPr>
              <w:widowControl w:val="0"/>
              <w:rPr>
                <w:sz w:val="16"/>
                <w:szCs w:val="16"/>
                <w:lang w:bidi="th-TH"/>
              </w:rPr>
            </w:pPr>
            <w:r w:rsidRPr="00CE1DAE">
              <w:rPr>
                <w:sz w:val="16"/>
                <w:szCs w:val="16"/>
                <w:lang w:bidi="th-TH"/>
              </w:rPr>
              <w:t>Número de solicitudes de realización de estudios específicos o de formulación de orientaciones sobre actividades que contribuyen a decisiones de política.</w:t>
            </w:r>
          </w:p>
        </w:tc>
        <w:tc>
          <w:tcPr>
            <w:tcW w:w="745" w:type="pct"/>
            <w:shd w:val="clear" w:color="auto" w:fill="C0C0C0"/>
          </w:tcPr>
          <w:p w:rsidR="00B070BF" w:rsidRPr="00CE1DAE" w:rsidRDefault="00B070BF" w:rsidP="00C33D4A">
            <w:pPr>
              <w:widowControl w:val="0"/>
              <w:rPr>
                <w:sz w:val="16"/>
                <w:szCs w:val="16"/>
                <w:lang w:bidi="th-TH"/>
              </w:rPr>
            </w:pPr>
            <w:r w:rsidRPr="00CE1DAE">
              <w:rPr>
                <w:sz w:val="16"/>
                <w:szCs w:val="16"/>
                <w:lang w:bidi="th-TH"/>
              </w:rPr>
              <w:t>Seis en febrero de 2011.</w:t>
            </w:r>
          </w:p>
        </w:tc>
        <w:tc>
          <w:tcPr>
            <w:tcW w:w="894" w:type="pct"/>
            <w:shd w:val="clear" w:color="auto" w:fill="auto"/>
            <w:tcMar>
              <w:top w:w="110" w:type="dxa"/>
            </w:tcMar>
          </w:tcPr>
          <w:p w:rsidR="00B070BF" w:rsidRPr="00CE1DAE" w:rsidRDefault="00B070BF" w:rsidP="00C33D4A">
            <w:pPr>
              <w:widowControl w:val="0"/>
              <w:rPr>
                <w:color w:val="943634"/>
                <w:sz w:val="16"/>
                <w:szCs w:val="16"/>
                <w:lang w:bidi="th-TH"/>
              </w:rPr>
            </w:pPr>
            <w:r w:rsidRPr="00CE1DAE">
              <w:rPr>
                <w:color w:val="943634"/>
                <w:sz w:val="16"/>
                <w:szCs w:val="16"/>
                <w:lang w:bidi="th-TH"/>
              </w:rPr>
              <w:t>Seis solicitudes</w:t>
            </w:r>
          </w:p>
        </w:tc>
        <w:tc>
          <w:tcPr>
            <w:tcW w:w="1761" w:type="pct"/>
            <w:gridSpan w:val="3"/>
            <w:shd w:val="clear" w:color="auto" w:fill="FFFFFF"/>
            <w:tcMar>
              <w:top w:w="110" w:type="dxa"/>
            </w:tcMar>
          </w:tcPr>
          <w:p w:rsidR="00B070BF" w:rsidRPr="00CE1DAE" w:rsidRDefault="00B070BF" w:rsidP="00C33D4A">
            <w:pPr>
              <w:widowControl w:val="0"/>
              <w:rPr>
                <w:sz w:val="16"/>
                <w:szCs w:val="16"/>
                <w:lang w:bidi="th-TH"/>
              </w:rPr>
            </w:pPr>
            <w:r w:rsidRPr="00CE1DAE">
              <w:rPr>
                <w:sz w:val="16"/>
                <w:szCs w:val="16"/>
                <w:lang w:bidi="th-TH"/>
              </w:rPr>
              <w:t>28 solicitudes de seguimiento recibidas a finales de 2012 relativas a estudios sobre las industrias creativas y la organización de talleres destinados a determinadas industrias creativas (África (2015);  Países Árabes (3);  Asia y el Pacífico (9);  Determinados Países de Europa y Asia (3);  América Latina y el Caribe (8)).</w:t>
            </w:r>
          </w:p>
          <w:p w:rsidR="00B070BF" w:rsidRPr="00CE1DAE" w:rsidRDefault="00B070BF" w:rsidP="00C33D4A">
            <w:pPr>
              <w:widowControl w:val="0"/>
              <w:rPr>
                <w:sz w:val="16"/>
                <w:szCs w:val="16"/>
                <w:lang w:bidi="th-TH"/>
              </w:rPr>
            </w:pPr>
          </w:p>
        </w:tc>
        <w:tc>
          <w:tcPr>
            <w:tcW w:w="557" w:type="pct"/>
            <w:shd w:val="clear" w:color="auto" w:fill="auto"/>
            <w:tcMar>
              <w:top w:w="110" w:type="dxa"/>
            </w:tcMar>
          </w:tcPr>
          <w:p w:rsidR="00B070BF" w:rsidRPr="00CE1DAE" w:rsidRDefault="00B070BF" w:rsidP="00C33D4A">
            <w:pPr>
              <w:widowControl w:val="0"/>
              <w:jc w:val="center"/>
              <w:rPr>
                <w:b/>
                <w:bCs/>
                <w:sz w:val="16"/>
                <w:szCs w:val="16"/>
              </w:rPr>
            </w:pPr>
            <w:r w:rsidRPr="009577DE">
              <w:rPr>
                <w:b/>
                <w:bCs/>
                <w:color w:val="008000"/>
                <w:sz w:val="16"/>
                <w:szCs w:val="16"/>
              </w:rPr>
              <w:t>Progresa con normalidad</w:t>
            </w:r>
          </w:p>
          <w:p w:rsidR="00B070BF" w:rsidRPr="00CE1DAE" w:rsidRDefault="00B070BF" w:rsidP="00C33D4A">
            <w:pPr>
              <w:widowControl w:val="0"/>
              <w:jc w:val="center"/>
              <w:rPr>
                <w:bCs/>
                <w:sz w:val="16"/>
                <w:szCs w:val="16"/>
              </w:rPr>
            </w:pPr>
          </w:p>
          <w:p w:rsidR="00B070BF" w:rsidRPr="00CE1DAE" w:rsidRDefault="00B070BF" w:rsidP="00C33D4A">
            <w:pPr>
              <w:widowControl w:val="0"/>
              <w:jc w:val="center"/>
              <w:rPr>
                <w:bCs/>
                <w:sz w:val="16"/>
                <w:szCs w:val="16"/>
              </w:rPr>
            </w:pPr>
            <w:r w:rsidRPr="00CE1DAE">
              <w:rPr>
                <w:bCs/>
                <w:sz w:val="16"/>
                <w:szCs w:val="16"/>
              </w:rPr>
              <w:br/>
            </w:r>
            <w:r w:rsidRPr="00CE1DAE">
              <w:rPr>
                <w:bCs/>
                <w:sz w:val="16"/>
                <w:szCs w:val="16"/>
              </w:rPr>
              <w:br/>
            </w:r>
          </w:p>
        </w:tc>
      </w:tr>
      <w:tr w:rsidR="00B070BF" w:rsidRPr="00CE1DAE" w:rsidTr="00C33D4A">
        <w:trPr>
          <w:cantSplit/>
          <w:trHeight w:val="1008"/>
        </w:trPr>
        <w:tc>
          <w:tcPr>
            <w:tcW w:w="1043" w:type="pct"/>
            <w:shd w:val="clear" w:color="auto" w:fill="auto"/>
          </w:tcPr>
          <w:p w:rsidR="00B070BF" w:rsidRPr="00CE1DAE" w:rsidRDefault="00B070BF" w:rsidP="00C33D4A">
            <w:pPr>
              <w:widowControl w:val="0"/>
              <w:rPr>
                <w:sz w:val="16"/>
                <w:szCs w:val="16"/>
                <w:lang w:bidi="th-TH"/>
              </w:rPr>
            </w:pPr>
            <w:r w:rsidRPr="00CE1DAE">
              <w:rPr>
                <w:sz w:val="16"/>
                <w:szCs w:val="16"/>
                <w:lang w:bidi="th-TH"/>
              </w:rPr>
              <w:t>Número de países que utilizan los estudios de la OMPI en el marco de sus industrias creativas a los fines de formular estrategias en relación con ese sector.</w:t>
            </w:r>
          </w:p>
        </w:tc>
        <w:tc>
          <w:tcPr>
            <w:tcW w:w="745" w:type="pct"/>
            <w:shd w:val="clear" w:color="auto" w:fill="B3B3B3"/>
          </w:tcPr>
          <w:p w:rsidR="00B070BF" w:rsidRPr="00CE1DAE" w:rsidRDefault="00B070BF" w:rsidP="00C33D4A">
            <w:pPr>
              <w:widowControl w:val="0"/>
              <w:rPr>
                <w:sz w:val="16"/>
                <w:szCs w:val="16"/>
                <w:lang w:bidi="th-TH"/>
              </w:rPr>
            </w:pPr>
            <w:r w:rsidRPr="00CE1DAE">
              <w:rPr>
                <w:sz w:val="16"/>
                <w:szCs w:val="16"/>
                <w:lang w:bidi="th-TH"/>
              </w:rPr>
              <w:t>Tres países.</w:t>
            </w:r>
          </w:p>
        </w:tc>
        <w:tc>
          <w:tcPr>
            <w:tcW w:w="894" w:type="pct"/>
            <w:shd w:val="clear" w:color="auto" w:fill="auto"/>
            <w:tcMar>
              <w:top w:w="110" w:type="dxa"/>
            </w:tcMar>
          </w:tcPr>
          <w:p w:rsidR="00B070BF" w:rsidRPr="00CE1DAE" w:rsidRDefault="00B070BF" w:rsidP="00C33D4A">
            <w:pPr>
              <w:widowControl w:val="0"/>
              <w:rPr>
                <w:sz w:val="16"/>
                <w:szCs w:val="16"/>
                <w:lang w:bidi="th-TH"/>
              </w:rPr>
            </w:pPr>
          </w:p>
        </w:tc>
        <w:tc>
          <w:tcPr>
            <w:tcW w:w="1761" w:type="pct"/>
            <w:gridSpan w:val="3"/>
            <w:shd w:val="clear" w:color="auto" w:fill="FFFFFF"/>
            <w:tcMar>
              <w:top w:w="110" w:type="dxa"/>
            </w:tcMar>
          </w:tcPr>
          <w:p w:rsidR="00B070BF" w:rsidRPr="00CE1DAE" w:rsidRDefault="00B070BF" w:rsidP="00C33D4A">
            <w:pPr>
              <w:widowControl w:val="0"/>
              <w:rPr>
                <w:sz w:val="16"/>
                <w:szCs w:val="16"/>
                <w:lang w:bidi="th-TH"/>
              </w:rPr>
            </w:pPr>
            <w:r w:rsidRPr="00CE1DAE">
              <w:rPr>
                <w:sz w:val="16"/>
                <w:szCs w:val="16"/>
                <w:lang w:bidi="th-TH"/>
              </w:rPr>
              <w:t>Tres países (Bulgaria, Jamaica y Tailandia) utilizaron los estudios de la OMPI a finales de 2012 con fines de formular estrategias sobre la industria creativa.</w:t>
            </w:r>
          </w:p>
          <w:p w:rsidR="00B070BF" w:rsidRPr="00CE1DAE" w:rsidRDefault="00B070BF" w:rsidP="00C33D4A">
            <w:pPr>
              <w:widowControl w:val="0"/>
              <w:rPr>
                <w:sz w:val="16"/>
                <w:szCs w:val="16"/>
                <w:lang w:bidi="th-TH"/>
              </w:rPr>
            </w:pPr>
          </w:p>
        </w:tc>
        <w:tc>
          <w:tcPr>
            <w:tcW w:w="557" w:type="pct"/>
            <w:shd w:val="clear" w:color="auto" w:fill="auto"/>
          </w:tcPr>
          <w:p w:rsidR="00B070BF" w:rsidRPr="00CE1DAE" w:rsidRDefault="00B070BF" w:rsidP="00C33D4A">
            <w:pPr>
              <w:widowControl w:val="0"/>
              <w:jc w:val="center"/>
              <w:rPr>
                <w:bCs/>
                <w:sz w:val="12"/>
                <w:szCs w:val="12"/>
              </w:rPr>
            </w:pPr>
          </w:p>
          <w:p w:rsidR="00B070BF" w:rsidRPr="00CE1DAE" w:rsidRDefault="00B070BF" w:rsidP="00C33D4A">
            <w:pPr>
              <w:widowControl w:val="0"/>
              <w:jc w:val="center"/>
              <w:rPr>
                <w:b/>
                <w:bCs/>
                <w:sz w:val="16"/>
                <w:szCs w:val="16"/>
              </w:rPr>
            </w:pPr>
            <w:r w:rsidRPr="009577DE">
              <w:rPr>
                <w:b/>
                <w:bCs/>
                <w:color w:val="008000"/>
                <w:sz w:val="16"/>
                <w:szCs w:val="16"/>
              </w:rPr>
              <w:t>Progresa con normalidad</w:t>
            </w:r>
          </w:p>
          <w:p w:rsidR="00B070BF" w:rsidRPr="00CE1DAE" w:rsidRDefault="00B070BF" w:rsidP="00C33D4A">
            <w:pPr>
              <w:widowControl w:val="0"/>
              <w:jc w:val="center"/>
              <w:rPr>
                <w:bCs/>
                <w:sz w:val="16"/>
                <w:szCs w:val="16"/>
              </w:rPr>
            </w:pPr>
          </w:p>
          <w:p w:rsidR="00B070BF" w:rsidRPr="00CE1DAE" w:rsidRDefault="00B070BF" w:rsidP="00C33D4A">
            <w:pPr>
              <w:widowControl w:val="0"/>
              <w:jc w:val="center"/>
              <w:rPr>
                <w:bCs/>
                <w:sz w:val="16"/>
                <w:szCs w:val="16"/>
              </w:rPr>
            </w:pPr>
          </w:p>
        </w:tc>
      </w:tr>
      <w:tr w:rsidR="00B070BF" w:rsidRPr="00CE1DAE" w:rsidTr="00C33D4A">
        <w:trPr>
          <w:cantSplit/>
          <w:trHeight w:val="1211"/>
        </w:trPr>
        <w:tc>
          <w:tcPr>
            <w:tcW w:w="1043" w:type="pct"/>
            <w:tcBorders>
              <w:bottom w:val="single" w:sz="4" w:space="0" w:color="auto"/>
            </w:tcBorders>
            <w:shd w:val="clear" w:color="auto" w:fill="auto"/>
          </w:tcPr>
          <w:p w:rsidR="00B070BF" w:rsidRPr="00CE1DAE" w:rsidRDefault="00B070BF" w:rsidP="00C33D4A">
            <w:pPr>
              <w:widowControl w:val="0"/>
              <w:rPr>
                <w:sz w:val="16"/>
                <w:szCs w:val="16"/>
                <w:lang w:bidi="th-TH"/>
              </w:rPr>
            </w:pPr>
            <w:r w:rsidRPr="00CE1DAE">
              <w:rPr>
                <w:sz w:val="16"/>
                <w:szCs w:val="16"/>
                <w:lang w:bidi="th-TH"/>
              </w:rPr>
              <w:t>Número de descargas y solicitudes y distribución de herramientas de la OMPI para la gestión del derecho de autor en industrias creativas específicas.</w:t>
            </w:r>
          </w:p>
        </w:tc>
        <w:tc>
          <w:tcPr>
            <w:tcW w:w="745" w:type="pct"/>
            <w:tcBorders>
              <w:bottom w:val="single" w:sz="4" w:space="0" w:color="auto"/>
            </w:tcBorders>
            <w:shd w:val="clear" w:color="auto" w:fill="B3B3B3"/>
          </w:tcPr>
          <w:p w:rsidR="00B070BF" w:rsidRPr="00CE1DAE" w:rsidRDefault="00B070BF" w:rsidP="00C33D4A">
            <w:pPr>
              <w:widowControl w:val="0"/>
              <w:rPr>
                <w:sz w:val="16"/>
                <w:szCs w:val="16"/>
                <w:lang w:bidi="th-TH"/>
              </w:rPr>
            </w:pPr>
            <w:r w:rsidRPr="00CE1DAE">
              <w:rPr>
                <w:sz w:val="16"/>
                <w:szCs w:val="16"/>
                <w:lang w:bidi="th-TH"/>
              </w:rPr>
              <w:t>Por determinar.</w:t>
            </w:r>
          </w:p>
        </w:tc>
        <w:tc>
          <w:tcPr>
            <w:tcW w:w="894" w:type="pct"/>
            <w:tcBorders>
              <w:bottom w:val="single" w:sz="4" w:space="0" w:color="auto"/>
            </w:tcBorders>
            <w:shd w:val="clear" w:color="auto" w:fill="auto"/>
            <w:tcMar>
              <w:top w:w="110" w:type="dxa"/>
            </w:tcMar>
          </w:tcPr>
          <w:p w:rsidR="00B070BF" w:rsidRPr="00CE1DAE" w:rsidRDefault="00B070BF" w:rsidP="00C33D4A">
            <w:pPr>
              <w:widowControl w:val="0"/>
              <w:rPr>
                <w:sz w:val="16"/>
                <w:szCs w:val="16"/>
                <w:lang w:bidi="th-TH"/>
              </w:rPr>
            </w:pPr>
          </w:p>
        </w:tc>
        <w:tc>
          <w:tcPr>
            <w:tcW w:w="1761" w:type="pct"/>
            <w:gridSpan w:val="3"/>
            <w:tcBorders>
              <w:bottom w:val="single" w:sz="4" w:space="0" w:color="auto"/>
            </w:tcBorders>
            <w:shd w:val="clear" w:color="auto" w:fill="FFFFFF"/>
            <w:tcMar>
              <w:top w:w="110" w:type="dxa"/>
            </w:tcMar>
          </w:tcPr>
          <w:p w:rsidR="00B070BF" w:rsidRPr="00CE1DAE" w:rsidRDefault="00B070BF" w:rsidP="00C33D4A">
            <w:pPr>
              <w:widowControl w:val="0"/>
              <w:spacing w:after="120"/>
              <w:rPr>
                <w:sz w:val="16"/>
                <w:szCs w:val="16"/>
                <w:lang w:bidi="th-TH"/>
              </w:rPr>
            </w:pPr>
            <w:r w:rsidRPr="00CE1DAE">
              <w:rPr>
                <w:sz w:val="16"/>
                <w:szCs w:val="16"/>
                <w:lang w:bidi="th-TH"/>
              </w:rPr>
              <w:t xml:space="preserve">Nº de descargas:  14.732 </w:t>
            </w:r>
          </w:p>
          <w:p w:rsidR="00B070BF" w:rsidRPr="00CE1DAE" w:rsidRDefault="00B070BF" w:rsidP="00C33D4A">
            <w:pPr>
              <w:widowControl w:val="0"/>
              <w:spacing w:after="120"/>
              <w:rPr>
                <w:sz w:val="16"/>
                <w:szCs w:val="16"/>
                <w:lang w:bidi="th-TH"/>
              </w:rPr>
            </w:pPr>
            <w:r w:rsidRPr="00CE1DAE">
              <w:rPr>
                <w:sz w:val="16"/>
                <w:szCs w:val="16"/>
                <w:lang w:bidi="th-TH"/>
              </w:rPr>
              <w:t>Nº de documentos distribuidos: aproximadamente 3.000.</w:t>
            </w:r>
          </w:p>
        </w:tc>
        <w:tc>
          <w:tcPr>
            <w:tcW w:w="557" w:type="pct"/>
            <w:tcBorders>
              <w:bottom w:val="single" w:sz="4" w:space="0" w:color="auto"/>
            </w:tcBorders>
            <w:shd w:val="clear" w:color="auto" w:fill="auto"/>
          </w:tcPr>
          <w:p w:rsidR="00B070BF" w:rsidRPr="00CE1DAE" w:rsidRDefault="00B070BF" w:rsidP="00C33D4A">
            <w:pPr>
              <w:widowControl w:val="0"/>
              <w:jc w:val="center"/>
              <w:rPr>
                <w:b/>
                <w:bCs/>
                <w:sz w:val="12"/>
                <w:szCs w:val="12"/>
              </w:rPr>
            </w:pPr>
            <w:r w:rsidRPr="009577DE">
              <w:rPr>
                <w:b/>
                <w:bCs/>
                <w:color w:val="008000"/>
                <w:sz w:val="16"/>
                <w:szCs w:val="16"/>
              </w:rPr>
              <w:t>Progresa con normalidad</w:t>
            </w:r>
            <w:r w:rsidRPr="00CE1DAE">
              <w:rPr>
                <w:b/>
                <w:bCs/>
                <w:sz w:val="16"/>
                <w:szCs w:val="16"/>
              </w:rPr>
              <w:t xml:space="preserve"> </w:t>
            </w:r>
          </w:p>
        </w:tc>
      </w:tr>
      <w:tr w:rsidR="00B070BF" w:rsidRPr="00CE1DAE" w:rsidTr="00C33D4A">
        <w:trPr>
          <w:cantSplit/>
        </w:trPr>
        <w:tc>
          <w:tcPr>
            <w:tcW w:w="5000" w:type="pct"/>
            <w:gridSpan w:val="7"/>
            <w:tcBorders>
              <w:top w:val="single" w:sz="4" w:space="0" w:color="auto"/>
              <w:bottom w:val="single" w:sz="4" w:space="0" w:color="auto"/>
            </w:tcBorders>
            <w:shd w:val="clear" w:color="auto" w:fill="CCFFFF"/>
            <w:vAlign w:val="center"/>
          </w:tcPr>
          <w:p w:rsidR="00B070BF" w:rsidRPr="00CE1DAE" w:rsidRDefault="00B070BF" w:rsidP="00C33D4A">
            <w:pPr>
              <w:keepNext/>
              <w:widowControl w:val="0"/>
              <w:tabs>
                <w:tab w:val="left" w:pos="1735"/>
              </w:tabs>
              <w:spacing w:before="120" w:after="120"/>
              <w:ind w:left="1735" w:hanging="1735"/>
              <w:rPr>
                <w:b/>
                <w:bCs/>
                <w:sz w:val="16"/>
                <w:szCs w:val="16"/>
              </w:rPr>
            </w:pPr>
            <w:r w:rsidRPr="00CE1DAE">
              <w:rPr>
                <w:b/>
                <w:bCs/>
                <w:sz w:val="16"/>
                <w:szCs w:val="16"/>
              </w:rPr>
              <w:t>Resultado previsto:</w:t>
            </w:r>
            <w:r w:rsidRPr="00CE1DAE">
              <w:rPr>
                <w:b/>
                <w:bCs/>
                <w:sz w:val="16"/>
                <w:szCs w:val="16"/>
              </w:rPr>
              <w:tab/>
            </w:r>
            <w:r w:rsidRPr="00CE1DAE">
              <w:rPr>
                <w:bCs/>
                <w:sz w:val="16"/>
                <w:szCs w:val="16"/>
              </w:rPr>
              <w:t xml:space="preserve"> Marcos de P.I. adaptados y equilibrados en el ámbito legislativo, regulador y de política.</w:t>
            </w:r>
            <w:r w:rsidRPr="00CE1DAE">
              <w:rPr>
                <w:sz w:val="16"/>
                <w:szCs w:val="16"/>
                <w:lang w:bidi="th-TH"/>
              </w:rPr>
              <w:t xml:space="preserve">  </w:t>
            </w:r>
          </w:p>
        </w:tc>
      </w:tr>
      <w:tr w:rsidR="00B070BF" w:rsidRPr="00CE1DAE" w:rsidTr="00C33D4A">
        <w:trPr>
          <w:cantSplit/>
          <w:trHeight w:val="25"/>
        </w:trPr>
        <w:tc>
          <w:tcPr>
            <w:tcW w:w="1043" w:type="pct"/>
            <w:tcBorders>
              <w:top w:val="single" w:sz="4" w:space="0" w:color="auto"/>
            </w:tcBorders>
            <w:shd w:val="clear" w:color="auto" w:fill="auto"/>
            <w:vAlign w:val="center"/>
          </w:tcPr>
          <w:p w:rsidR="00B070BF" w:rsidRPr="00CE1DAE" w:rsidRDefault="00B070BF" w:rsidP="00C33D4A">
            <w:pPr>
              <w:widowControl w:val="0"/>
              <w:spacing w:after="120"/>
              <w:rPr>
                <w:sz w:val="16"/>
                <w:szCs w:val="16"/>
              </w:rPr>
            </w:pPr>
            <w:r w:rsidRPr="00CE1DAE">
              <w:rPr>
                <w:b/>
                <w:bCs/>
                <w:sz w:val="16"/>
                <w:szCs w:val="16"/>
              </w:rPr>
              <w:t>Indicadores de rendimiento</w:t>
            </w:r>
          </w:p>
        </w:tc>
        <w:tc>
          <w:tcPr>
            <w:tcW w:w="745" w:type="pct"/>
            <w:tcBorders>
              <w:top w:val="single" w:sz="4" w:space="0" w:color="auto"/>
            </w:tcBorders>
            <w:shd w:val="clear" w:color="auto" w:fill="C0C0C0"/>
          </w:tcPr>
          <w:p w:rsidR="00B070BF" w:rsidRPr="00CE1DAE" w:rsidRDefault="00B070BF" w:rsidP="00C33D4A">
            <w:pPr>
              <w:widowControl w:val="0"/>
              <w:spacing w:after="120"/>
              <w:rPr>
                <w:b/>
                <w:bCs/>
                <w:sz w:val="16"/>
                <w:szCs w:val="16"/>
              </w:rPr>
            </w:pPr>
            <w:r w:rsidRPr="00CE1DAE">
              <w:rPr>
                <w:b/>
                <w:bCs/>
                <w:sz w:val="16"/>
                <w:szCs w:val="16"/>
              </w:rPr>
              <w:t>Referencia (</w:t>
            </w:r>
            <w:proofErr w:type="spellStart"/>
            <w:r w:rsidRPr="00CE1DAE">
              <w:rPr>
                <w:b/>
                <w:bCs/>
                <w:sz w:val="16"/>
                <w:szCs w:val="16"/>
              </w:rPr>
              <w:t>Presup</w:t>
            </w:r>
            <w:proofErr w:type="spellEnd"/>
            <w:r w:rsidRPr="00CE1DAE">
              <w:rPr>
                <w:b/>
                <w:bCs/>
                <w:sz w:val="16"/>
                <w:szCs w:val="16"/>
              </w:rPr>
              <w:t xml:space="preserve">. por </w:t>
            </w:r>
            <w:proofErr w:type="spellStart"/>
            <w:r w:rsidRPr="00CE1DAE">
              <w:rPr>
                <w:b/>
                <w:bCs/>
                <w:sz w:val="16"/>
                <w:szCs w:val="16"/>
              </w:rPr>
              <w:t>prog</w:t>
            </w:r>
            <w:proofErr w:type="spellEnd"/>
            <w:r w:rsidRPr="00CE1DAE">
              <w:rPr>
                <w:b/>
                <w:bCs/>
                <w:sz w:val="16"/>
                <w:szCs w:val="16"/>
              </w:rPr>
              <w:t>. 2012/13)</w:t>
            </w:r>
          </w:p>
        </w:tc>
        <w:tc>
          <w:tcPr>
            <w:tcW w:w="969" w:type="pct"/>
            <w:gridSpan w:val="2"/>
            <w:tcBorders>
              <w:top w:val="single" w:sz="4" w:space="0" w:color="auto"/>
            </w:tcBorders>
            <w:shd w:val="clear" w:color="auto" w:fill="auto"/>
            <w:tcMar>
              <w:top w:w="110" w:type="dxa"/>
            </w:tcMar>
            <w:vAlign w:val="center"/>
          </w:tcPr>
          <w:p w:rsidR="00B070BF" w:rsidRPr="00CE1DAE" w:rsidRDefault="00B070BF" w:rsidP="00C33D4A">
            <w:pPr>
              <w:widowControl w:val="0"/>
              <w:spacing w:after="120"/>
              <w:rPr>
                <w:b/>
                <w:sz w:val="16"/>
                <w:szCs w:val="16"/>
              </w:rPr>
            </w:pPr>
            <w:r w:rsidRPr="00BF138D">
              <w:rPr>
                <w:b/>
                <w:color w:val="993300"/>
                <w:sz w:val="16"/>
                <w:szCs w:val="16"/>
              </w:rPr>
              <w:t>Referencia actualizada a finales de 2011</w:t>
            </w:r>
            <w:r w:rsidRPr="00CE1DAE">
              <w:rPr>
                <w:b/>
                <w:sz w:val="16"/>
                <w:szCs w:val="16"/>
              </w:rPr>
              <w:t xml:space="preserve"> </w:t>
            </w:r>
          </w:p>
        </w:tc>
        <w:tc>
          <w:tcPr>
            <w:tcW w:w="1686" w:type="pct"/>
            <w:gridSpan w:val="2"/>
            <w:tcBorders>
              <w:top w:val="single" w:sz="4" w:space="0" w:color="auto"/>
            </w:tcBorders>
            <w:shd w:val="clear" w:color="auto" w:fill="FFFFFF"/>
            <w:tcMar>
              <w:top w:w="110" w:type="dxa"/>
            </w:tcMar>
            <w:vAlign w:val="center"/>
          </w:tcPr>
          <w:p w:rsidR="00B070BF" w:rsidRPr="00CE1DAE" w:rsidRDefault="00B070BF" w:rsidP="00C33D4A">
            <w:pPr>
              <w:widowControl w:val="0"/>
              <w:spacing w:after="120"/>
              <w:rPr>
                <w:sz w:val="16"/>
                <w:szCs w:val="16"/>
              </w:rPr>
            </w:pPr>
            <w:r w:rsidRPr="00CE1DAE">
              <w:rPr>
                <w:b/>
                <w:bCs/>
                <w:sz w:val="16"/>
                <w:szCs w:val="16"/>
              </w:rPr>
              <w:t>Datos sobre el rendimiento</w:t>
            </w:r>
          </w:p>
        </w:tc>
        <w:tc>
          <w:tcPr>
            <w:tcW w:w="557" w:type="pct"/>
            <w:tcBorders>
              <w:top w:val="single" w:sz="4" w:space="0" w:color="auto"/>
            </w:tcBorders>
            <w:shd w:val="clear" w:color="auto" w:fill="auto"/>
            <w:tcMar>
              <w:top w:w="110" w:type="dxa"/>
            </w:tcMar>
            <w:vAlign w:val="center"/>
          </w:tcPr>
          <w:p w:rsidR="00B070BF" w:rsidRPr="00CE1DAE" w:rsidRDefault="00B070BF" w:rsidP="00C33D4A">
            <w:pPr>
              <w:widowControl w:val="0"/>
              <w:spacing w:after="120"/>
              <w:jc w:val="center"/>
              <w:rPr>
                <w:b/>
                <w:bCs/>
                <w:sz w:val="16"/>
                <w:szCs w:val="16"/>
              </w:rPr>
            </w:pPr>
            <w:r w:rsidRPr="00CE1DAE">
              <w:rPr>
                <w:b/>
                <w:bCs/>
                <w:sz w:val="16"/>
                <w:szCs w:val="16"/>
              </w:rPr>
              <w:t>Clave de colores</w:t>
            </w:r>
          </w:p>
        </w:tc>
      </w:tr>
      <w:tr w:rsidR="00B070BF" w:rsidRPr="00CE1DAE" w:rsidTr="00C33D4A">
        <w:tc>
          <w:tcPr>
            <w:tcW w:w="1043" w:type="pct"/>
            <w:tcBorders>
              <w:bottom w:val="single" w:sz="4" w:space="0" w:color="auto"/>
            </w:tcBorders>
            <w:shd w:val="clear" w:color="auto" w:fill="auto"/>
          </w:tcPr>
          <w:p w:rsidR="00B070BF" w:rsidRPr="00CE1DAE" w:rsidRDefault="00B070BF" w:rsidP="00C33D4A">
            <w:pPr>
              <w:widowControl w:val="0"/>
              <w:rPr>
                <w:sz w:val="16"/>
                <w:szCs w:val="16"/>
                <w:lang w:bidi="th-TH"/>
              </w:rPr>
            </w:pPr>
            <w:r w:rsidRPr="00CE1DAE">
              <w:rPr>
                <w:sz w:val="16"/>
                <w:szCs w:val="16"/>
                <w:lang w:bidi="th-TH"/>
              </w:rPr>
              <w:t>Número de países que han iniciado reformas legislativas en la esfera del derecho de autor y los derechos conexos.</w:t>
            </w:r>
          </w:p>
        </w:tc>
        <w:tc>
          <w:tcPr>
            <w:tcW w:w="745" w:type="pct"/>
            <w:tcBorders>
              <w:bottom w:val="single" w:sz="4" w:space="0" w:color="auto"/>
            </w:tcBorders>
            <w:shd w:val="clear" w:color="auto" w:fill="B3B3B3"/>
          </w:tcPr>
          <w:p w:rsidR="00B070BF" w:rsidRPr="00CE1DAE" w:rsidRDefault="00B070BF" w:rsidP="00C33D4A">
            <w:pPr>
              <w:widowControl w:val="0"/>
              <w:rPr>
                <w:sz w:val="16"/>
                <w:szCs w:val="16"/>
                <w:lang w:bidi="th-TH"/>
              </w:rPr>
            </w:pPr>
            <w:r w:rsidRPr="00CE1DAE">
              <w:rPr>
                <w:sz w:val="16"/>
                <w:szCs w:val="16"/>
                <w:lang w:bidi="th-TH"/>
              </w:rPr>
              <w:t>19 países recibieron asesoramiento en el ámbito legislativo en 2010/11 (marzo de 2011).</w:t>
            </w:r>
          </w:p>
        </w:tc>
        <w:tc>
          <w:tcPr>
            <w:tcW w:w="969" w:type="pct"/>
            <w:gridSpan w:val="2"/>
            <w:tcBorders>
              <w:bottom w:val="single" w:sz="4" w:space="0" w:color="auto"/>
            </w:tcBorders>
            <w:shd w:val="clear" w:color="auto" w:fill="auto"/>
            <w:tcMar>
              <w:top w:w="110" w:type="dxa"/>
            </w:tcMar>
          </w:tcPr>
          <w:p w:rsidR="00B070BF" w:rsidRPr="00CE1DAE" w:rsidRDefault="00B070BF" w:rsidP="00C33D4A">
            <w:pPr>
              <w:widowControl w:val="0"/>
              <w:rPr>
                <w:color w:val="943634"/>
                <w:sz w:val="16"/>
                <w:szCs w:val="16"/>
                <w:lang w:bidi="th-TH"/>
              </w:rPr>
            </w:pPr>
            <w:r w:rsidRPr="00CE1DAE">
              <w:rPr>
                <w:color w:val="943634"/>
                <w:sz w:val="16"/>
                <w:szCs w:val="16"/>
                <w:lang w:bidi="th-TH"/>
              </w:rPr>
              <w:t>19 países.</w:t>
            </w:r>
          </w:p>
        </w:tc>
        <w:tc>
          <w:tcPr>
            <w:tcW w:w="1686" w:type="pct"/>
            <w:gridSpan w:val="2"/>
            <w:tcBorders>
              <w:bottom w:val="single" w:sz="4" w:space="0" w:color="auto"/>
            </w:tcBorders>
            <w:shd w:val="clear" w:color="auto" w:fill="FFFFFF"/>
            <w:tcMar>
              <w:top w:w="110" w:type="dxa"/>
            </w:tcMar>
          </w:tcPr>
          <w:p w:rsidR="00B070BF" w:rsidRPr="00CE1DAE" w:rsidRDefault="00B070BF" w:rsidP="00C33D4A">
            <w:pPr>
              <w:widowControl w:val="0"/>
              <w:rPr>
                <w:sz w:val="16"/>
                <w:szCs w:val="16"/>
                <w:lang w:bidi="th-TH"/>
              </w:rPr>
            </w:pPr>
            <w:r w:rsidRPr="00CE1DAE">
              <w:rPr>
                <w:sz w:val="16"/>
                <w:szCs w:val="16"/>
                <w:lang w:bidi="th-TH"/>
              </w:rPr>
              <w:t>Nueve países de las siguientes regiones recibieron asesoramiento en el ámbito legislativo en 2012:  África (3);  Países Árabes (4);  Asia y el Pacífico (1);  América Latina y el Caribe (1).</w:t>
            </w:r>
          </w:p>
          <w:p w:rsidR="00B070BF" w:rsidRPr="00CE1DAE" w:rsidRDefault="00B070BF" w:rsidP="00C33D4A">
            <w:pPr>
              <w:widowControl w:val="0"/>
              <w:rPr>
                <w:sz w:val="16"/>
                <w:szCs w:val="16"/>
                <w:lang w:bidi="th-TH"/>
              </w:rPr>
            </w:pPr>
          </w:p>
        </w:tc>
        <w:tc>
          <w:tcPr>
            <w:tcW w:w="557" w:type="pct"/>
            <w:tcBorders>
              <w:bottom w:val="single" w:sz="4" w:space="0" w:color="auto"/>
            </w:tcBorders>
            <w:shd w:val="clear" w:color="auto" w:fill="auto"/>
            <w:tcMar>
              <w:top w:w="110" w:type="dxa"/>
            </w:tcMar>
            <w:vAlign w:val="center"/>
          </w:tcPr>
          <w:p w:rsidR="00B070BF" w:rsidRPr="00CE1DAE" w:rsidRDefault="00B070BF" w:rsidP="00C33D4A">
            <w:pPr>
              <w:widowControl w:val="0"/>
              <w:jc w:val="center"/>
              <w:rPr>
                <w:b/>
                <w:bCs/>
                <w:sz w:val="16"/>
                <w:szCs w:val="16"/>
              </w:rPr>
            </w:pPr>
          </w:p>
          <w:p w:rsidR="00B070BF" w:rsidRPr="00CE1DAE" w:rsidRDefault="00B070BF" w:rsidP="00C33D4A">
            <w:pPr>
              <w:widowControl w:val="0"/>
              <w:jc w:val="center"/>
              <w:rPr>
                <w:b/>
                <w:bCs/>
                <w:sz w:val="16"/>
                <w:szCs w:val="16"/>
              </w:rPr>
            </w:pPr>
            <w:r w:rsidRPr="009577DE">
              <w:rPr>
                <w:b/>
                <w:bCs/>
                <w:color w:val="008000"/>
                <w:sz w:val="16"/>
                <w:szCs w:val="16"/>
              </w:rPr>
              <w:t>Progresa con normalidad</w:t>
            </w:r>
          </w:p>
          <w:p w:rsidR="00B070BF" w:rsidRPr="00CE1DAE" w:rsidRDefault="00B070BF" w:rsidP="00C33D4A">
            <w:pPr>
              <w:widowControl w:val="0"/>
              <w:jc w:val="center"/>
              <w:rPr>
                <w:b/>
                <w:bCs/>
                <w:sz w:val="16"/>
                <w:szCs w:val="16"/>
              </w:rPr>
            </w:pPr>
          </w:p>
          <w:p w:rsidR="00B070BF" w:rsidRPr="00CE1DAE" w:rsidRDefault="00B070BF" w:rsidP="00C33D4A">
            <w:pPr>
              <w:widowControl w:val="0"/>
              <w:jc w:val="center"/>
              <w:rPr>
                <w:bCs/>
                <w:sz w:val="16"/>
                <w:szCs w:val="16"/>
              </w:rPr>
            </w:pPr>
          </w:p>
          <w:p w:rsidR="00B070BF" w:rsidRPr="00CE1DAE" w:rsidRDefault="00B070BF" w:rsidP="00C33D4A">
            <w:pPr>
              <w:widowControl w:val="0"/>
              <w:spacing w:after="120"/>
              <w:jc w:val="center"/>
              <w:rPr>
                <w:bCs/>
                <w:sz w:val="16"/>
                <w:szCs w:val="16"/>
              </w:rPr>
            </w:pPr>
          </w:p>
        </w:tc>
      </w:tr>
      <w:tr w:rsidR="00B070BF" w:rsidRPr="00CE1DAE" w:rsidTr="00C33D4A">
        <w:trPr>
          <w:cantSplit/>
        </w:trPr>
        <w:tc>
          <w:tcPr>
            <w:tcW w:w="5000" w:type="pct"/>
            <w:gridSpan w:val="7"/>
            <w:tcBorders>
              <w:top w:val="single" w:sz="4" w:space="0" w:color="auto"/>
              <w:bottom w:val="single" w:sz="4" w:space="0" w:color="auto"/>
            </w:tcBorders>
            <w:shd w:val="clear" w:color="auto" w:fill="CCFFFF"/>
            <w:vAlign w:val="center"/>
          </w:tcPr>
          <w:p w:rsidR="00B070BF" w:rsidRPr="00CE1DAE" w:rsidRDefault="00B070BF" w:rsidP="00C33D4A">
            <w:pPr>
              <w:widowControl w:val="0"/>
              <w:tabs>
                <w:tab w:val="left" w:pos="1735"/>
              </w:tabs>
              <w:spacing w:before="120" w:after="120"/>
              <w:ind w:left="1735" w:hanging="1735"/>
              <w:rPr>
                <w:b/>
                <w:bCs/>
                <w:sz w:val="16"/>
                <w:szCs w:val="16"/>
              </w:rPr>
            </w:pPr>
            <w:r w:rsidRPr="00CE1DAE">
              <w:rPr>
                <w:b/>
                <w:bCs/>
                <w:sz w:val="16"/>
                <w:szCs w:val="16"/>
              </w:rPr>
              <w:t>Resultado previsto:</w:t>
            </w:r>
            <w:r w:rsidRPr="00CE1DAE">
              <w:rPr>
                <w:b/>
                <w:bCs/>
                <w:sz w:val="16"/>
                <w:szCs w:val="16"/>
              </w:rPr>
              <w:tab/>
            </w:r>
            <w:r w:rsidRPr="00CE1DAE">
              <w:rPr>
                <w:bCs/>
                <w:sz w:val="16"/>
                <w:szCs w:val="16"/>
              </w:rPr>
              <w:t>Mejora de las capacidades en el ámbito de los recursos humanos para hacer frente al amplio espectro de exigencias que supone la utilización eficaz de la P.I. en aras del desarrollo en los países en desarrollo, PMA y países con economías en transición.</w:t>
            </w:r>
          </w:p>
        </w:tc>
      </w:tr>
      <w:tr w:rsidR="00B070BF" w:rsidRPr="00CE1DAE" w:rsidTr="00C33D4A">
        <w:trPr>
          <w:cantSplit/>
          <w:trHeight w:val="20"/>
        </w:trPr>
        <w:tc>
          <w:tcPr>
            <w:tcW w:w="1043" w:type="pct"/>
            <w:tcBorders>
              <w:top w:val="single" w:sz="4" w:space="0" w:color="auto"/>
            </w:tcBorders>
            <w:shd w:val="clear" w:color="auto" w:fill="auto"/>
            <w:vAlign w:val="center"/>
          </w:tcPr>
          <w:p w:rsidR="00B070BF" w:rsidRPr="00CE1DAE" w:rsidRDefault="00B070BF" w:rsidP="00C33D4A">
            <w:pPr>
              <w:widowControl w:val="0"/>
              <w:spacing w:after="120"/>
              <w:rPr>
                <w:sz w:val="16"/>
                <w:szCs w:val="16"/>
              </w:rPr>
            </w:pPr>
            <w:r w:rsidRPr="00CE1DAE">
              <w:rPr>
                <w:b/>
                <w:bCs/>
                <w:sz w:val="16"/>
                <w:szCs w:val="16"/>
              </w:rPr>
              <w:t>Indicadores de rendimiento</w:t>
            </w:r>
          </w:p>
        </w:tc>
        <w:tc>
          <w:tcPr>
            <w:tcW w:w="745" w:type="pct"/>
            <w:tcBorders>
              <w:top w:val="single" w:sz="4" w:space="0" w:color="auto"/>
            </w:tcBorders>
            <w:shd w:val="clear" w:color="auto" w:fill="C0C0C0"/>
          </w:tcPr>
          <w:p w:rsidR="00B070BF" w:rsidRPr="00CE1DAE" w:rsidRDefault="00B070BF" w:rsidP="00C33D4A">
            <w:pPr>
              <w:widowControl w:val="0"/>
              <w:spacing w:after="120"/>
              <w:rPr>
                <w:b/>
                <w:bCs/>
                <w:sz w:val="16"/>
                <w:szCs w:val="16"/>
              </w:rPr>
            </w:pPr>
            <w:r w:rsidRPr="00CE1DAE">
              <w:rPr>
                <w:b/>
                <w:bCs/>
                <w:sz w:val="16"/>
                <w:szCs w:val="16"/>
              </w:rPr>
              <w:t>Referencia (</w:t>
            </w:r>
            <w:proofErr w:type="spellStart"/>
            <w:r w:rsidRPr="00CE1DAE">
              <w:rPr>
                <w:b/>
                <w:bCs/>
                <w:sz w:val="16"/>
                <w:szCs w:val="16"/>
              </w:rPr>
              <w:t>Presup</w:t>
            </w:r>
            <w:proofErr w:type="spellEnd"/>
            <w:r w:rsidRPr="00CE1DAE">
              <w:rPr>
                <w:b/>
                <w:bCs/>
                <w:sz w:val="16"/>
                <w:szCs w:val="16"/>
              </w:rPr>
              <w:t xml:space="preserve">. por </w:t>
            </w:r>
            <w:proofErr w:type="spellStart"/>
            <w:r w:rsidRPr="00CE1DAE">
              <w:rPr>
                <w:b/>
                <w:bCs/>
                <w:sz w:val="16"/>
                <w:szCs w:val="16"/>
              </w:rPr>
              <w:t>prog</w:t>
            </w:r>
            <w:proofErr w:type="spellEnd"/>
            <w:r w:rsidRPr="00CE1DAE">
              <w:rPr>
                <w:b/>
                <w:bCs/>
                <w:sz w:val="16"/>
                <w:szCs w:val="16"/>
              </w:rPr>
              <w:t>. 2012/13)</w:t>
            </w:r>
          </w:p>
        </w:tc>
        <w:tc>
          <w:tcPr>
            <w:tcW w:w="969" w:type="pct"/>
            <w:gridSpan w:val="2"/>
            <w:tcBorders>
              <w:top w:val="single" w:sz="4" w:space="0" w:color="auto"/>
            </w:tcBorders>
            <w:shd w:val="clear" w:color="auto" w:fill="auto"/>
            <w:tcMar>
              <w:top w:w="110" w:type="dxa"/>
            </w:tcMar>
            <w:vAlign w:val="center"/>
          </w:tcPr>
          <w:p w:rsidR="00B070BF" w:rsidRPr="00CE1DAE" w:rsidRDefault="00B070BF" w:rsidP="00C33D4A">
            <w:pPr>
              <w:widowControl w:val="0"/>
              <w:spacing w:after="120"/>
              <w:rPr>
                <w:b/>
                <w:sz w:val="16"/>
                <w:szCs w:val="16"/>
              </w:rPr>
            </w:pPr>
            <w:r w:rsidRPr="00BF138D">
              <w:rPr>
                <w:b/>
                <w:color w:val="993300"/>
                <w:sz w:val="16"/>
                <w:szCs w:val="16"/>
              </w:rPr>
              <w:t>Referencia actualizada a finales de 2011</w:t>
            </w:r>
            <w:r w:rsidRPr="00CE1DAE">
              <w:rPr>
                <w:b/>
                <w:sz w:val="16"/>
                <w:szCs w:val="16"/>
              </w:rPr>
              <w:t xml:space="preserve"> </w:t>
            </w:r>
          </w:p>
        </w:tc>
        <w:tc>
          <w:tcPr>
            <w:tcW w:w="1686" w:type="pct"/>
            <w:gridSpan w:val="2"/>
            <w:tcBorders>
              <w:top w:val="single" w:sz="4" w:space="0" w:color="auto"/>
            </w:tcBorders>
            <w:shd w:val="clear" w:color="auto" w:fill="FFFFFF"/>
            <w:tcMar>
              <w:top w:w="110" w:type="dxa"/>
            </w:tcMar>
            <w:vAlign w:val="center"/>
          </w:tcPr>
          <w:p w:rsidR="00B070BF" w:rsidRPr="00CE1DAE" w:rsidRDefault="00B070BF" w:rsidP="00C33D4A">
            <w:pPr>
              <w:widowControl w:val="0"/>
              <w:spacing w:after="120"/>
              <w:rPr>
                <w:sz w:val="16"/>
                <w:szCs w:val="16"/>
              </w:rPr>
            </w:pPr>
            <w:r w:rsidRPr="00CE1DAE">
              <w:rPr>
                <w:b/>
                <w:bCs/>
                <w:sz w:val="16"/>
                <w:szCs w:val="16"/>
              </w:rPr>
              <w:t>Datos sobre el rendimiento</w:t>
            </w:r>
          </w:p>
        </w:tc>
        <w:tc>
          <w:tcPr>
            <w:tcW w:w="557" w:type="pct"/>
            <w:tcBorders>
              <w:top w:val="single" w:sz="4" w:space="0" w:color="auto"/>
            </w:tcBorders>
            <w:shd w:val="clear" w:color="auto" w:fill="auto"/>
            <w:tcMar>
              <w:top w:w="110" w:type="dxa"/>
            </w:tcMar>
            <w:vAlign w:val="center"/>
          </w:tcPr>
          <w:p w:rsidR="00B070BF" w:rsidRPr="00CE1DAE" w:rsidRDefault="00B070BF" w:rsidP="00C33D4A">
            <w:pPr>
              <w:widowControl w:val="0"/>
              <w:spacing w:after="120"/>
              <w:jc w:val="center"/>
              <w:rPr>
                <w:b/>
                <w:bCs/>
                <w:sz w:val="16"/>
                <w:szCs w:val="16"/>
              </w:rPr>
            </w:pPr>
            <w:r w:rsidRPr="00CE1DAE">
              <w:rPr>
                <w:b/>
                <w:bCs/>
                <w:sz w:val="16"/>
                <w:szCs w:val="16"/>
              </w:rPr>
              <w:t>Clave de colores</w:t>
            </w:r>
          </w:p>
        </w:tc>
      </w:tr>
      <w:tr w:rsidR="00B070BF" w:rsidRPr="00CE1DAE" w:rsidTr="00C33D4A">
        <w:tc>
          <w:tcPr>
            <w:tcW w:w="1043" w:type="pct"/>
            <w:shd w:val="clear" w:color="auto" w:fill="auto"/>
          </w:tcPr>
          <w:p w:rsidR="00B070BF" w:rsidRPr="00CE1DAE" w:rsidRDefault="00B070BF" w:rsidP="00C33D4A">
            <w:pPr>
              <w:widowControl w:val="0"/>
              <w:rPr>
                <w:sz w:val="16"/>
                <w:szCs w:val="16"/>
                <w:lang w:bidi="th-TH"/>
              </w:rPr>
            </w:pPr>
            <w:r w:rsidRPr="00CE1DAE">
              <w:rPr>
                <w:sz w:val="16"/>
                <w:szCs w:val="16"/>
                <w:lang w:bidi="th-TH"/>
              </w:rPr>
              <w:t>Porcentaje de participantes en talleres de creación de capacidad sobre cuestiones de derecho de autor que expresaron satisfacción al respecto.</w:t>
            </w:r>
          </w:p>
        </w:tc>
        <w:tc>
          <w:tcPr>
            <w:tcW w:w="745" w:type="pct"/>
            <w:shd w:val="clear" w:color="auto" w:fill="B3B3B3"/>
          </w:tcPr>
          <w:p w:rsidR="00B070BF" w:rsidRPr="00CE1DAE" w:rsidRDefault="00B070BF" w:rsidP="00C33D4A">
            <w:pPr>
              <w:widowControl w:val="0"/>
              <w:rPr>
                <w:sz w:val="16"/>
                <w:szCs w:val="16"/>
                <w:lang w:bidi="th-TH"/>
              </w:rPr>
            </w:pPr>
            <w:proofErr w:type="spellStart"/>
            <w:r>
              <w:rPr>
                <w:sz w:val="16"/>
                <w:szCs w:val="16"/>
                <w:lang w:bidi="th-TH"/>
              </w:rPr>
              <w:t>n.d</w:t>
            </w:r>
            <w:proofErr w:type="spellEnd"/>
            <w:r>
              <w:rPr>
                <w:sz w:val="16"/>
                <w:szCs w:val="16"/>
                <w:lang w:bidi="th-TH"/>
              </w:rPr>
              <w:t>.</w:t>
            </w:r>
          </w:p>
        </w:tc>
        <w:tc>
          <w:tcPr>
            <w:tcW w:w="969" w:type="pct"/>
            <w:gridSpan w:val="2"/>
            <w:shd w:val="clear" w:color="auto" w:fill="auto"/>
            <w:tcMar>
              <w:top w:w="110" w:type="dxa"/>
            </w:tcMar>
          </w:tcPr>
          <w:p w:rsidR="00B070BF" w:rsidRPr="00CE1DAE" w:rsidRDefault="00B070BF" w:rsidP="00C33D4A">
            <w:pPr>
              <w:widowControl w:val="0"/>
              <w:rPr>
                <w:color w:val="943634"/>
                <w:sz w:val="16"/>
                <w:szCs w:val="16"/>
                <w:lang w:bidi="th-TH"/>
              </w:rPr>
            </w:pPr>
            <w:r w:rsidRPr="00CE1DAE">
              <w:rPr>
                <w:color w:val="943634"/>
                <w:sz w:val="16"/>
                <w:szCs w:val="16"/>
                <w:lang w:bidi="th-TH"/>
              </w:rPr>
              <w:t>Aproximadamente el 70%</w:t>
            </w:r>
          </w:p>
        </w:tc>
        <w:tc>
          <w:tcPr>
            <w:tcW w:w="1686" w:type="pct"/>
            <w:gridSpan w:val="2"/>
            <w:shd w:val="clear" w:color="auto" w:fill="FFFFFF"/>
            <w:tcMar>
              <w:top w:w="110" w:type="dxa"/>
            </w:tcMar>
          </w:tcPr>
          <w:p w:rsidR="00B070BF" w:rsidRPr="00CE1DAE" w:rsidRDefault="00B070BF" w:rsidP="00C33D4A">
            <w:pPr>
              <w:widowControl w:val="0"/>
              <w:rPr>
                <w:sz w:val="16"/>
                <w:szCs w:val="16"/>
                <w:lang w:bidi="th-TH"/>
              </w:rPr>
            </w:pPr>
            <w:r w:rsidRPr="00CE1DAE">
              <w:rPr>
                <w:sz w:val="16"/>
                <w:szCs w:val="16"/>
                <w:lang w:bidi="th-TH"/>
              </w:rPr>
              <w:t>Más del 80% de participantes reconocieron la utilidad de los talleres.</w:t>
            </w:r>
          </w:p>
          <w:p w:rsidR="00B070BF" w:rsidRPr="00CE1DAE" w:rsidRDefault="00B070BF" w:rsidP="00C33D4A">
            <w:pPr>
              <w:widowControl w:val="0"/>
              <w:rPr>
                <w:sz w:val="16"/>
                <w:szCs w:val="16"/>
                <w:lang w:bidi="th-TH"/>
              </w:rPr>
            </w:pPr>
          </w:p>
          <w:p w:rsidR="00B070BF" w:rsidRPr="00CE1DAE" w:rsidRDefault="00B070BF" w:rsidP="00C33D4A">
            <w:pPr>
              <w:widowControl w:val="0"/>
              <w:rPr>
                <w:sz w:val="16"/>
                <w:szCs w:val="16"/>
                <w:lang w:bidi="th-TH"/>
              </w:rPr>
            </w:pPr>
          </w:p>
        </w:tc>
        <w:tc>
          <w:tcPr>
            <w:tcW w:w="557" w:type="pct"/>
            <w:shd w:val="clear" w:color="auto" w:fill="auto"/>
            <w:tcMar>
              <w:top w:w="110" w:type="dxa"/>
            </w:tcMar>
            <w:vAlign w:val="center"/>
          </w:tcPr>
          <w:p w:rsidR="00B070BF" w:rsidRPr="00CE1DAE" w:rsidRDefault="00B070BF" w:rsidP="00C33D4A">
            <w:pPr>
              <w:widowControl w:val="0"/>
              <w:jc w:val="center"/>
              <w:rPr>
                <w:b/>
                <w:bCs/>
                <w:sz w:val="16"/>
                <w:szCs w:val="16"/>
              </w:rPr>
            </w:pPr>
            <w:r w:rsidRPr="009577DE">
              <w:rPr>
                <w:b/>
                <w:bCs/>
                <w:color w:val="008000"/>
                <w:sz w:val="16"/>
                <w:szCs w:val="16"/>
              </w:rPr>
              <w:t>Progresa con normalidad</w:t>
            </w:r>
          </w:p>
          <w:p w:rsidR="00B070BF" w:rsidRPr="00CE1DAE" w:rsidRDefault="00B070BF" w:rsidP="00C33D4A">
            <w:pPr>
              <w:widowControl w:val="0"/>
              <w:jc w:val="center"/>
              <w:rPr>
                <w:bCs/>
                <w:sz w:val="16"/>
                <w:szCs w:val="16"/>
              </w:rPr>
            </w:pPr>
          </w:p>
          <w:p w:rsidR="00B070BF" w:rsidRPr="00CE1DAE" w:rsidRDefault="00B070BF" w:rsidP="00C33D4A">
            <w:pPr>
              <w:widowControl w:val="0"/>
              <w:spacing w:after="120"/>
              <w:jc w:val="center"/>
              <w:rPr>
                <w:bCs/>
                <w:sz w:val="16"/>
                <w:szCs w:val="16"/>
              </w:rPr>
            </w:pPr>
          </w:p>
        </w:tc>
      </w:tr>
      <w:tr w:rsidR="00B070BF" w:rsidRPr="00CE1DAE" w:rsidTr="00C33D4A">
        <w:tc>
          <w:tcPr>
            <w:tcW w:w="1043" w:type="pct"/>
            <w:shd w:val="clear" w:color="auto" w:fill="auto"/>
          </w:tcPr>
          <w:p w:rsidR="00B070BF" w:rsidRPr="00CE1DAE" w:rsidRDefault="00B070BF" w:rsidP="00C33D4A">
            <w:pPr>
              <w:widowControl w:val="0"/>
              <w:rPr>
                <w:sz w:val="16"/>
                <w:szCs w:val="16"/>
                <w:lang w:bidi="th-TH"/>
              </w:rPr>
            </w:pPr>
            <w:r w:rsidRPr="00CE1DAE">
              <w:rPr>
                <w:sz w:val="16"/>
                <w:szCs w:val="16"/>
                <w:lang w:bidi="th-TH"/>
              </w:rPr>
              <w:t>Porcentaje de participantes en talleres sobre derecho de autor que manifestaron satisfacción al respecto además de la utilidad práctica de los conocimientos adquiridos seis meses después del taller.</w:t>
            </w:r>
          </w:p>
        </w:tc>
        <w:tc>
          <w:tcPr>
            <w:tcW w:w="745" w:type="pct"/>
            <w:shd w:val="clear" w:color="auto" w:fill="B3B3B3"/>
          </w:tcPr>
          <w:p w:rsidR="00B070BF" w:rsidRPr="00CE1DAE" w:rsidRDefault="00B070BF" w:rsidP="00C33D4A">
            <w:pPr>
              <w:widowControl w:val="0"/>
              <w:rPr>
                <w:sz w:val="16"/>
                <w:szCs w:val="16"/>
                <w:lang w:bidi="th-TH"/>
              </w:rPr>
            </w:pPr>
            <w:proofErr w:type="spellStart"/>
            <w:r>
              <w:rPr>
                <w:sz w:val="16"/>
                <w:szCs w:val="16"/>
                <w:lang w:bidi="th-TH"/>
              </w:rPr>
              <w:t>n.d</w:t>
            </w:r>
            <w:proofErr w:type="spellEnd"/>
            <w:r>
              <w:rPr>
                <w:sz w:val="16"/>
                <w:szCs w:val="16"/>
                <w:lang w:bidi="th-TH"/>
              </w:rPr>
              <w:t>.</w:t>
            </w:r>
          </w:p>
        </w:tc>
        <w:tc>
          <w:tcPr>
            <w:tcW w:w="969" w:type="pct"/>
            <w:gridSpan w:val="2"/>
            <w:shd w:val="clear" w:color="auto" w:fill="auto"/>
            <w:tcMar>
              <w:top w:w="110" w:type="dxa"/>
            </w:tcMar>
          </w:tcPr>
          <w:p w:rsidR="00B070BF" w:rsidRPr="00CE1DAE" w:rsidRDefault="00B070BF" w:rsidP="00C33D4A">
            <w:pPr>
              <w:widowControl w:val="0"/>
              <w:rPr>
                <w:color w:val="943634"/>
                <w:sz w:val="16"/>
                <w:szCs w:val="16"/>
                <w:lang w:bidi="th-TH"/>
              </w:rPr>
            </w:pPr>
            <w:r w:rsidRPr="00CE1DAE">
              <w:rPr>
                <w:color w:val="943634"/>
                <w:sz w:val="16"/>
                <w:szCs w:val="16"/>
                <w:lang w:bidi="th-TH"/>
              </w:rPr>
              <w:t>Aproximadamente el 70%</w:t>
            </w:r>
          </w:p>
          <w:p w:rsidR="00B070BF" w:rsidRPr="00CE1DAE" w:rsidRDefault="00B070BF" w:rsidP="00C33D4A">
            <w:pPr>
              <w:widowControl w:val="0"/>
              <w:rPr>
                <w:color w:val="943634"/>
                <w:sz w:val="16"/>
                <w:szCs w:val="16"/>
                <w:lang w:bidi="th-TH"/>
              </w:rPr>
            </w:pPr>
          </w:p>
          <w:p w:rsidR="00B070BF" w:rsidRPr="00CE1DAE" w:rsidRDefault="00B070BF" w:rsidP="00C33D4A">
            <w:pPr>
              <w:widowControl w:val="0"/>
              <w:rPr>
                <w:color w:val="943634"/>
                <w:sz w:val="16"/>
                <w:szCs w:val="16"/>
                <w:lang w:bidi="th-TH"/>
              </w:rPr>
            </w:pPr>
          </w:p>
        </w:tc>
        <w:tc>
          <w:tcPr>
            <w:tcW w:w="1686" w:type="pct"/>
            <w:gridSpan w:val="2"/>
            <w:shd w:val="clear" w:color="auto" w:fill="FFFFFF"/>
            <w:tcMar>
              <w:top w:w="110" w:type="dxa"/>
            </w:tcMar>
          </w:tcPr>
          <w:p w:rsidR="00B070BF" w:rsidRPr="00CE1DAE" w:rsidRDefault="00B070BF" w:rsidP="00C33D4A">
            <w:pPr>
              <w:widowControl w:val="0"/>
              <w:rPr>
                <w:sz w:val="16"/>
                <w:szCs w:val="16"/>
                <w:lang w:bidi="th-TH"/>
              </w:rPr>
            </w:pPr>
            <w:r w:rsidRPr="00CE1DAE">
              <w:rPr>
                <w:sz w:val="16"/>
                <w:szCs w:val="16"/>
                <w:lang w:bidi="th-TH"/>
              </w:rPr>
              <w:t>Aproximadamente el 80% manifestaron satisfacción respecto a la utilidad práctica de la información.</w:t>
            </w:r>
          </w:p>
          <w:p w:rsidR="00B070BF" w:rsidRPr="00CE1DAE" w:rsidRDefault="00B070BF" w:rsidP="00C33D4A">
            <w:pPr>
              <w:widowControl w:val="0"/>
              <w:rPr>
                <w:sz w:val="16"/>
                <w:szCs w:val="16"/>
                <w:lang w:bidi="th-TH"/>
              </w:rPr>
            </w:pPr>
          </w:p>
          <w:p w:rsidR="00B070BF" w:rsidRPr="00CE1DAE" w:rsidRDefault="00B070BF" w:rsidP="00C33D4A">
            <w:pPr>
              <w:widowControl w:val="0"/>
              <w:rPr>
                <w:sz w:val="16"/>
                <w:szCs w:val="16"/>
                <w:lang w:bidi="th-TH"/>
              </w:rPr>
            </w:pPr>
          </w:p>
        </w:tc>
        <w:tc>
          <w:tcPr>
            <w:tcW w:w="557" w:type="pct"/>
            <w:shd w:val="clear" w:color="auto" w:fill="auto"/>
          </w:tcPr>
          <w:p w:rsidR="00B070BF" w:rsidRPr="00CE1DAE" w:rsidRDefault="00B070BF" w:rsidP="00C33D4A">
            <w:pPr>
              <w:widowControl w:val="0"/>
              <w:jc w:val="center"/>
              <w:rPr>
                <w:b/>
                <w:bCs/>
                <w:sz w:val="16"/>
                <w:szCs w:val="16"/>
              </w:rPr>
            </w:pPr>
            <w:r w:rsidRPr="009577DE">
              <w:rPr>
                <w:b/>
                <w:bCs/>
                <w:color w:val="008000"/>
                <w:sz w:val="16"/>
                <w:szCs w:val="16"/>
              </w:rPr>
              <w:t>Progresa con normalidad</w:t>
            </w:r>
          </w:p>
          <w:p w:rsidR="00B070BF" w:rsidRPr="00CE1DAE" w:rsidRDefault="00B070BF" w:rsidP="00C33D4A">
            <w:pPr>
              <w:widowControl w:val="0"/>
              <w:jc w:val="center"/>
              <w:rPr>
                <w:bCs/>
                <w:sz w:val="16"/>
                <w:szCs w:val="16"/>
              </w:rPr>
            </w:pPr>
          </w:p>
          <w:p w:rsidR="00B070BF" w:rsidRPr="00CE1DAE" w:rsidRDefault="00B070BF" w:rsidP="00C33D4A">
            <w:pPr>
              <w:widowControl w:val="0"/>
              <w:jc w:val="center"/>
              <w:rPr>
                <w:bCs/>
                <w:sz w:val="16"/>
                <w:szCs w:val="16"/>
              </w:rPr>
            </w:pPr>
          </w:p>
          <w:p w:rsidR="00B070BF" w:rsidRPr="00CE1DAE" w:rsidRDefault="00B070BF" w:rsidP="00C33D4A">
            <w:pPr>
              <w:widowControl w:val="0"/>
              <w:jc w:val="center"/>
              <w:rPr>
                <w:bCs/>
                <w:sz w:val="16"/>
                <w:szCs w:val="16"/>
              </w:rPr>
            </w:pPr>
          </w:p>
          <w:p w:rsidR="00B070BF" w:rsidRPr="00CE1DAE" w:rsidRDefault="00B070BF" w:rsidP="00C33D4A">
            <w:pPr>
              <w:widowControl w:val="0"/>
              <w:jc w:val="center"/>
              <w:rPr>
                <w:bCs/>
                <w:sz w:val="16"/>
                <w:szCs w:val="16"/>
              </w:rPr>
            </w:pPr>
            <w:r w:rsidRPr="00CE1DAE">
              <w:rPr>
                <w:bCs/>
                <w:sz w:val="16"/>
                <w:szCs w:val="16"/>
              </w:rPr>
              <w:br/>
            </w:r>
            <w:r w:rsidRPr="00CE1DAE">
              <w:rPr>
                <w:bCs/>
                <w:sz w:val="16"/>
                <w:szCs w:val="16"/>
              </w:rPr>
              <w:br/>
            </w:r>
          </w:p>
        </w:tc>
      </w:tr>
      <w:tr w:rsidR="00B070BF" w:rsidRPr="00CE1DAE" w:rsidTr="00C33D4A">
        <w:tc>
          <w:tcPr>
            <w:tcW w:w="1043" w:type="pct"/>
            <w:tcBorders>
              <w:bottom w:val="single" w:sz="4" w:space="0" w:color="auto"/>
            </w:tcBorders>
            <w:shd w:val="clear" w:color="auto" w:fill="auto"/>
          </w:tcPr>
          <w:p w:rsidR="00B070BF" w:rsidRPr="00CE1DAE" w:rsidRDefault="00B070BF" w:rsidP="00C33D4A">
            <w:pPr>
              <w:keepNext/>
              <w:widowControl w:val="0"/>
              <w:rPr>
                <w:sz w:val="16"/>
                <w:szCs w:val="16"/>
                <w:lang w:bidi="th-TH"/>
              </w:rPr>
            </w:pPr>
            <w:r w:rsidRPr="00CE1DAE">
              <w:rPr>
                <w:sz w:val="16"/>
                <w:szCs w:val="16"/>
                <w:lang w:bidi="th-TH"/>
              </w:rPr>
              <w:lastRenderedPageBreak/>
              <w:t>Número de iniciativas nacionales en el ámbito del derecho de autor y los derechos conexos emprendidas y directamente relacionadas con los temas objeto de los talleres.</w:t>
            </w:r>
          </w:p>
        </w:tc>
        <w:tc>
          <w:tcPr>
            <w:tcW w:w="745" w:type="pct"/>
            <w:tcBorders>
              <w:bottom w:val="single" w:sz="4" w:space="0" w:color="auto"/>
            </w:tcBorders>
            <w:shd w:val="clear" w:color="auto" w:fill="B3B3B3"/>
          </w:tcPr>
          <w:p w:rsidR="00B070BF" w:rsidRPr="00CE1DAE" w:rsidRDefault="00B070BF" w:rsidP="00C33D4A">
            <w:pPr>
              <w:keepNext/>
              <w:widowControl w:val="0"/>
              <w:rPr>
                <w:sz w:val="16"/>
                <w:szCs w:val="16"/>
                <w:lang w:bidi="th-TH"/>
              </w:rPr>
            </w:pPr>
            <w:proofErr w:type="spellStart"/>
            <w:r>
              <w:rPr>
                <w:sz w:val="16"/>
                <w:szCs w:val="16"/>
                <w:lang w:bidi="th-TH"/>
              </w:rPr>
              <w:t>n.d</w:t>
            </w:r>
            <w:proofErr w:type="spellEnd"/>
            <w:r>
              <w:rPr>
                <w:sz w:val="16"/>
                <w:szCs w:val="16"/>
                <w:lang w:bidi="th-TH"/>
              </w:rPr>
              <w:t>.</w:t>
            </w:r>
          </w:p>
        </w:tc>
        <w:tc>
          <w:tcPr>
            <w:tcW w:w="969" w:type="pct"/>
            <w:gridSpan w:val="2"/>
            <w:tcBorders>
              <w:bottom w:val="single" w:sz="4" w:space="0" w:color="auto"/>
            </w:tcBorders>
            <w:shd w:val="clear" w:color="auto" w:fill="auto"/>
            <w:tcMar>
              <w:top w:w="110" w:type="dxa"/>
            </w:tcMar>
          </w:tcPr>
          <w:p w:rsidR="00B070BF" w:rsidRPr="00CE1DAE" w:rsidRDefault="00B070BF" w:rsidP="00C33D4A">
            <w:pPr>
              <w:keepNext/>
              <w:widowControl w:val="0"/>
              <w:rPr>
                <w:color w:val="943634"/>
                <w:sz w:val="16"/>
                <w:szCs w:val="16"/>
                <w:lang w:bidi="th-TH"/>
              </w:rPr>
            </w:pPr>
            <w:r w:rsidRPr="00CE1DAE">
              <w:rPr>
                <w:color w:val="943634"/>
                <w:sz w:val="16"/>
                <w:szCs w:val="16"/>
                <w:lang w:bidi="th-TH"/>
              </w:rPr>
              <w:t>50%, como mínimo.</w:t>
            </w:r>
          </w:p>
          <w:p w:rsidR="00B070BF" w:rsidRPr="00CE1DAE" w:rsidRDefault="00B070BF" w:rsidP="00C33D4A">
            <w:pPr>
              <w:keepNext/>
              <w:widowControl w:val="0"/>
              <w:rPr>
                <w:color w:val="943634"/>
                <w:sz w:val="16"/>
                <w:szCs w:val="16"/>
                <w:lang w:bidi="th-TH"/>
              </w:rPr>
            </w:pPr>
          </w:p>
          <w:p w:rsidR="00B070BF" w:rsidRPr="00CE1DAE" w:rsidRDefault="00B070BF" w:rsidP="00C33D4A">
            <w:pPr>
              <w:keepNext/>
              <w:widowControl w:val="0"/>
              <w:rPr>
                <w:color w:val="943634"/>
                <w:sz w:val="16"/>
                <w:szCs w:val="16"/>
                <w:lang w:bidi="th-TH"/>
              </w:rPr>
            </w:pPr>
          </w:p>
        </w:tc>
        <w:tc>
          <w:tcPr>
            <w:tcW w:w="1686" w:type="pct"/>
            <w:gridSpan w:val="2"/>
            <w:tcBorders>
              <w:bottom w:val="single" w:sz="4" w:space="0" w:color="auto"/>
            </w:tcBorders>
            <w:shd w:val="clear" w:color="auto" w:fill="FFFFFF"/>
            <w:tcMar>
              <w:top w:w="110" w:type="dxa"/>
            </w:tcMar>
          </w:tcPr>
          <w:p w:rsidR="00B070BF" w:rsidRPr="00CE1DAE" w:rsidRDefault="00B070BF" w:rsidP="00C33D4A">
            <w:pPr>
              <w:keepNext/>
              <w:widowControl w:val="0"/>
              <w:rPr>
                <w:sz w:val="16"/>
                <w:szCs w:val="16"/>
                <w:lang w:bidi="th-TH"/>
              </w:rPr>
            </w:pPr>
            <w:r w:rsidRPr="00CE1DAE">
              <w:rPr>
                <w:sz w:val="16"/>
                <w:szCs w:val="16"/>
                <w:lang w:bidi="th-TH"/>
              </w:rPr>
              <w:t xml:space="preserve">Más del 50% de los países llevaron adelante iniciativas a raíz de los talleres sobre programas de sensibilización, mejora de las capacidades institucionales y humanas, y mejora de los sistemas de derechos de autor. </w:t>
            </w:r>
          </w:p>
          <w:p w:rsidR="00B070BF" w:rsidRPr="00CE1DAE" w:rsidRDefault="00B070BF" w:rsidP="00C33D4A">
            <w:pPr>
              <w:keepNext/>
              <w:widowControl w:val="0"/>
              <w:rPr>
                <w:sz w:val="16"/>
                <w:szCs w:val="16"/>
                <w:lang w:bidi="th-TH"/>
              </w:rPr>
            </w:pPr>
          </w:p>
        </w:tc>
        <w:tc>
          <w:tcPr>
            <w:tcW w:w="557" w:type="pct"/>
            <w:tcBorders>
              <w:bottom w:val="single" w:sz="4" w:space="0" w:color="auto"/>
            </w:tcBorders>
            <w:shd w:val="clear" w:color="auto" w:fill="auto"/>
          </w:tcPr>
          <w:p w:rsidR="00B070BF" w:rsidRPr="00CE1DAE" w:rsidRDefault="00B070BF" w:rsidP="00C33D4A">
            <w:pPr>
              <w:keepNext/>
              <w:widowControl w:val="0"/>
              <w:jc w:val="center"/>
              <w:rPr>
                <w:b/>
                <w:bCs/>
                <w:sz w:val="16"/>
                <w:szCs w:val="16"/>
              </w:rPr>
            </w:pPr>
            <w:r w:rsidRPr="009577DE">
              <w:rPr>
                <w:b/>
                <w:bCs/>
                <w:color w:val="008000"/>
                <w:sz w:val="16"/>
                <w:szCs w:val="16"/>
              </w:rPr>
              <w:t>Progresa con normalidad</w:t>
            </w:r>
          </w:p>
          <w:p w:rsidR="00B070BF" w:rsidRPr="00CE1DAE" w:rsidRDefault="00B070BF" w:rsidP="00C33D4A">
            <w:pPr>
              <w:keepNext/>
              <w:widowControl w:val="0"/>
              <w:jc w:val="center"/>
              <w:rPr>
                <w:bCs/>
                <w:sz w:val="16"/>
                <w:szCs w:val="16"/>
              </w:rPr>
            </w:pPr>
          </w:p>
          <w:p w:rsidR="00B070BF" w:rsidRPr="00CE1DAE" w:rsidRDefault="00B070BF" w:rsidP="00C33D4A">
            <w:pPr>
              <w:keepNext/>
              <w:widowControl w:val="0"/>
              <w:jc w:val="center"/>
              <w:rPr>
                <w:bCs/>
                <w:sz w:val="16"/>
                <w:szCs w:val="16"/>
              </w:rPr>
            </w:pPr>
          </w:p>
        </w:tc>
      </w:tr>
      <w:tr w:rsidR="00B070BF" w:rsidRPr="00CE1DAE" w:rsidTr="00C33D4A">
        <w:trPr>
          <w:cantSplit/>
        </w:trPr>
        <w:tc>
          <w:tcPr>
            <w:tcW w:w="5000" w:type="pct"/>
            <w:gridSpan w:val="7"/>
            <w:tcBorders>
              <w:top w:val="single" w:sz="4" w:space="0" w:color="auto"/>
              <w:bottom w:val="single" w:sz="4" w:space="0" w:color="auto"/>
            </w:tcBorders>
            <w:shd w:val="clear" w:color="auto" w:fill="CCFFFF"/>
            <w:vAlign w:val="center"/>
          </w:tcPr>
          <w:p w:rsidR="00B070BF" w:rsidRPr="00CE1DAE" w:rsidRDefault="00B070BF" w:rsidP="00C33D4A">
            <w:pPr>
              <w:widowControl w:val="0"/>
              <w:tabs>
                <w:tab w:val="left" w:pos="1735"/>
              </w:tabs>
              <w:spacing w:before="120" w:after="120"/>
              <w:ind w:left="1735" w:hanging="1735"/>
              <w:rPr>
                <w:b/>
                <w:bCs/>
                <w:sz w:val="16"/>
                <w:szCs w:val="16"/>
              </w:rPr>
            </w:pPr>
            <w:r w:rsidRPr="00CE1DAE">
              <w:rPr>
                <w:b/>
                <w:bCs/>
                <w:sz w:val="16"/>
                <w:szCs w:val="16"/>
              </w:rPr>
              <w:t>Resultado previsto:</w:t>
            </w:r>
            <w:r w:rsidRPr="00CE1DAE">
              <w:rPr>
                <w:b/>
                <w:bCs/>
                <w:sz w:val="16"/>
                <w:szCs w:val="16"/>
              </w:rPr>
              <w:tab/>
            </w:r>
            <w:r w:rsidRPr="00CE1DAE">
              <w:rPr>
                <w:bCs/>
                <w:sz w:val="16"/>
                <w:szCs w:val="16"/>
              </w:rPr>
              <w:t xml:space="preserve"> Mejora en el acceso a la información y los conocimientos sobre P.I. y su utilización por las instituciones de P.I. y el público, para fomentar la innovación y aumentar el acceso a las obras que son fruto de la creatividad, tanto las que están protegidas como las que se encuentran en el dominio público.</w:t>
            </w:r>
          </w:p>
        </w:tc>
      </w:tr>
      <w:tr w:rsidR="00B070BF" w:rsidRPr="00CE1DAE" w:rsidTr="00C33D4A">
        <w:trPr>
          <w:cantSplit/>
        </w:trPr>
        <w:tc>
          <w:tcPr>
            <w:tcW w:w="1043" w:type="pct"/>
            <w:tcBorders>
              <w:top w:val="single" w:sz="4" w:space="0" w:color="auto"/>
            </w:tcBorders>
            <w:shd w:val="clear" w:color="auto" w:fill="auto"/>
            <w:vAlign w:val="center"/>
          </w:tcPr>
          <w:p w:rsidR="00B070BF" w:rsidRPr="00CE1DAE" w:rsidRDefault="00B070BF" w:rsidP="00C33D4A">
            <w:pPr>
              <w:widowControl w:val="0"/>
              <w:spacing w:after="120"/>
              <w:rPr>
                <w:sz w:val="16"/>
                <w:szCs w:val="16"/>
              </w:rPr>
            </w:pPr>
            <w:r w:rsidRPr="00CE1DAE">
              <w:rPr>
                <w:b/>
                <w:bCs/>
                <w:sz w:val="16"/>
                <w:szCs w:val="16"/>
              </w:rPr>
              <w:t>Indicadores de rendimiento</w:t>
            </w:r>
          </w:p>
        </w:tc>
        <w:tc>
          <w:tcPr>
            <w:tcW w:w="745" w:type="pct"/>
            <w:tcBorders>
              <w:top w:val="single" w:sz="4" w:space="0" w:color="auto"/>
            </w:tcBorders>
            <w:shd w:val="clear" w:color="auto" w:fill="C0C0C0"/>
          </w:tcPr>
          <w:p w:rsidR="00B070BF" w:rsidRPr="00CE1DAE" w:rsidRDefault="00B070BF" w:rsidP="00C33D4A">
            <w:pPr>
              <w:widowControl w:val="0"/>
              <w:spacing w:after="120"/>
              <w:rPr>
                <w:b/>
                <w:bCs/>
                <w:sz w:val="16"/>
                <w:szCs w:val="16"/>
              </w:rPr>
            </w:pPr>
            <w:r w:rsidRPr="00CE1DAE">
              <w:rPr>
                <w:b/>
                <w:bCs/>
                <w:sz w:val="16"/>
                <w:szCs w:val="16"/>
              </w:rPr>
              <w:t>Referencia (</w:t>
            </w:r>
            <w:proofErr w:type="spellStart"/>
            <w:r w:rsidRPr="00CE1DAE">
              <w:rPr>
                <w:b/>
                <w:bCs/>
                <w:sz w:val="16"/>
                <w:szCs w:val="16"/>
              </w:rPr>
              <w:t>Presup</w:t>
            </w:r>
            <w:proofErr w:type="spellEnd"/>
            <w:r w:rsidRPr="00CE1DAE">
              <w:rPr>
                <w:b/>
                <w:bCs/>
                <w:sz w:val="16"/>
                <w:szCs w:val="16"/>
              </w:rPr>
              <w:t xml:space="preserve">. por </w:t>
            </w:r>
            <w:proofErr w:type="spellStart"/>
            <w:r w:rsidRPr="00CE1DAE">
              <w:rPr>
                <w:b/>
                <w:bCs/>
                <w:sz w:val="16"/>
                <w:szCs w:val="16"/>
              </w:rPr>
              <w:t>prog</w:t>
            </w:r>
            <w:proofErr w:type="spellEnd"/>
            <w:r w:rsidRPr="00CE1DAE">
              <w:rPr>
                <w:b/>
                <w:bCs/>
                <w:sz w:val="16"/>
                <w:szCs w:val="16"/>
              </w:rPr>
              <w:t>. 2012/13)</w:t>
            </w:r>
          </w:p>
        </w:tc>
        <w:tc>
          <w:tcPr>
            <w:tcW w:w="969" w:type="pct"/>
            <w:gridSpan w:val="2"/>
            <w:tcBorders>
              <w:top w:val="single" w:sz="4" w:space="0" w:color="auto"/>
            </w:tcBorders>
            <w:shd w:val="clear" w:color="auto" w:fill="auto"/>
            <w:tcMar>
              <w:top w:w="110" w:type="dxa"/>
            </w:tcMar>
            <w:vAlign w:val="center"/>
          </w:tcPr>
          <w:p w:rsidR="00B070BF" w:rsidRPr="00CE1DAE" w:rsidRDefault="00B070BF" w:rsidP="00C33D4A">
            <w:pPr>
              <w:widowControl w:val="0"/>
              <w:spacing w:after="120"/>
              <w:rPr>
                <w:b/>
                <w:sz w:val="16"/>
                <w:szCs w:val="16"/>
              </w:rPr>
            </w:pPr>
            <w:r w:rsidRPr="00BF138D">
              <w:rPr>
                <w:b/>
                <w:color w:val="993300"/>
                <w:sz w:val="16"/>
                <w:szCs w:val="16"/>
              </w:rPr>
              <w:t>Referencia actualizada a finales de 2011</w:t>
            </w:r>
            <w:r w:rsidRPr="00CE1DAE">
              <w:rPr>
                <w:b/>
                <w:sz w:val="16"/>
                <w:szCs w:val="16"/>
              </w:rPr>
              <w:t xml:space="preserve"> </w:t>
            </w:r>
          </w:p>
        </w:tc>
        <w:tc>
          <w:tcPr>
            <w:tcW w:w="1686" w:type="pct"/>
            <w:gridSpan w:val="2"/>
            <w:tcBorders>
              <w:top w:val="single" w:sz="4" w:space="0" w:color="auto"/>
            </w:tcBorders>
            <w:shd w:val="clear" w:color="auto" w:fill="FFFFFF"/>
            <w:tcMar>
              <w:top w:w="110" w:type="dxa"/>
            </w:tcMar>
            <w:vAlign w:val="center"/>
          </w:tcPr>
          <w:p w:rsidR="00B070BF" w:rsidRPr="00CE1DAE" w:rsidRDefault="00B070BF" w:rsidP="00C33D4A">
            <w:pPr>
              <w:widowControl w:val="0"/>
              <w:spacing w:after="120"/>
              <w:rPr>
                <w:sz w:val="16"/>
                <w:szCs w:val="16"/>
              </w:rPr>
            </w:pPr>
            <w:r w:rsidRPr="00CE1DAE">
              <w:rPr>
                <w:b/>
                <w:bCs/>
                <w:sz w:val="16"/>
                <w:szCs w:val="16"/>
              </w:rPr>
              <w:t>Datos sobre el rendimiento</w:t>
            </w:r>
          </w:p>
        </w:tc>
        <w:tc>
          <w:tcPr>
            <w:tcW w:w="557" w:type="pct"/>
            <w:tcBorders>
              <w:top w:val="single" w:sz="4" w:space="0" w:color="auto"/>
            </w:tcBorders>
            <w:shd w:val="clear" w:color="auto" w:fill="auto"/>
            <w:tcMar>
              <w:top w:w="110" w:type="dxa"/>
            </w:tcMar>
            <w:vAlign w:val="center"/>
          </w:tcPr>
          <w:p w:rsidR="00B070BF" w:rsidRPr="00CE1DAE" w:rsidRDefault="00B070BF" w:rsidP="00C33D4A">
            <w:pPr>
              <w:widowControl w:val="0"/>
              <w:spacing w:after="120"/>
              <w:jc w:val="center"/>
              <w:rPr>
                <w:b/>
                <w:bCs/>
                <w:sz w:val="16"/>
                <w:szCs w:val="16"/>
              </w:rPr>
            </w:pPr>
            <w:r w:rsidRPr="00CE1DAE">
              <w:rPr>
                <w:b/>
                <w:bCs/>
                <w:sz w:val="16"/>
                <w:szCs w:val="16"/>
              </w:rPr>
              <w:t>Clave de colores</w:t>
            </w:r>
          </w:p>
        </w:tc>
      </w:tr>
      <w:tr w:rsidR="00B070BF" w:rsidRPr="00CE1DAE" w:rsidTr="00C33D4A">
        <w:tc>
          <w:tcPr>
            <w:tcW w:w="1043" w:type="pct"/>
            <w:shd w:val="clear" w:color="auto" w:fill="auto"/>
          </w:tcPr>
          <w:p w:rsidR="00B070BF" w:rsidRPr="00CE1DAE" w:rsidRDefault="00B070BF" w:rsidP="00C33D4A">
            <w:pPr>
              <w:widowControl w:val="0"/>
              <w:rPr>
                <w:sz w:val="16"/>
                <w:szCs w:val="16"/>
                <w:lang w:bidi="th-TH"/>
              </w:rPr>
            </w:pPr>
            <w:r w:rsidRPr="00CE1DAE">
              <w:rPr>
                <w:sz w:val="16"/>
                <w:szCs w:val="16"/>
                <w:lang w:bidi="th-TH"/>
              </w:rPr>
              <w:t>Número de intermediarios de confianza y titulares de derechos que se han adherido a la red de sistemas TIGAR, incluidos los procedentes de países en desarrollo y PMA.</w:t>
            </w:r>
          </w:p>
        </w:tc>
        <w:tc>
          <w:tcPr>
            <w:tcW w:w="745" w:type="pct"/>
            <w:shd w:val="clear" w:color="auto" w:fill="B3B3B3"/>
          </w:tcPr>
          <w:p w:rsidR="00B070BF" w:rsidRPr="00CE1DAE" w:rsidRDefault="00B070BF" w:rsidP="00C33D4A">
            <w:pPr>
              <w:widowControl w:val="0"/>
              <w:rPr>
                <w:sz w:val="16"/>
                <w:szCs w:val="16"/>
                <w:lang w:bidi="th-TH"/>
              </w:rPr>
            </w:pPr>
            <w:r w:rsidRPr="00CE1DAE">
              <w:rPr>
                <w:sz w:val="16"/>
                <w:szCs w:val="16"/>
                <w:lang w:bidi="th-TH"/>
              </w:rPr>
              <w:t>Cuatro intermediarios de confianza y tres titulares de derechos.</w:t>
            </w:r>
          </w:p>
        </w:tc>
        <w:tc>
          <w:tcPr>
            <w:tcW w:w="969" w:type="pct"/>
            <w:gridSpan w:val="2"/>
            <w:shd w:val="clear" w:color="auto" w:fill="auto"/>
            <w:tcMar>
              <w:top w:w="110" w:type="dxa"/>
            </w:tcMar>
          </w:tcPr>
          <w:p w:rsidR="00B070BF" w:rsidRPr="00CE1DAE" w:rsidRDefault="00B070BF" w:rsidP="00C33D4A">
            <w:pPr>
              <w:widowControl w:val="0"/>
              <w:rPr>
                <w:color w:val="943634"/>
                <w:sz w:val="16"/>
                <w:szCs w:val="16"/>
                <w:lang w:bidi="th-TH"/>
              </w:rPr>
            </w:pPr>
            <w:r w:rsidRPr="00CE1DAE">
              <w:rPr>
                <w:color w:val="943634"/>
                <w:sz w:val="16"/>
                <w:szCs w:val="16"/>
                <w:lang w:bidi="th-TH"/>
              </w:rPr>
              <w:t>4 intermediarios de confianza y 3 titulares de derechos</w:t>
            </w:r>
          </w:p>
        </w:tc>
        <w:tc>
          <w:tcPr>
            <w:tcW w:w="1686" w:type="pct"/>
            <w:gridSpan w:val="2"/>
            <w:shd w:val="clear" w:color="auto" w:fill="FFFFFF"/>
            <w:tcMar>
              <w:top w:w="110" w:type="dxa"/>
            </w:tcMar>
          </w:tcPr>
          <w:p w:rsidR="00B070BF" w:rsidRPr="00CE1DAE" w:rsidRDefault="00B070BF" w:rsidP="00C33D4A">
            <w:pPr>
              <w:widowControl w:val="0"/>
              <w:rPr>
                <w:sz w:val="16"/>
                <w:szCs w:val="16"/>
                <w:lang w:bidi="th-TH"/>
              </w:rPr>
            </w:pPr>
            <w:r w:rsidRPr="00CE1DAE">
              <w:rPr>
                <w:sz w:val="16"/>
                <w:szCs w:val="16"/>
                <w:lang w:bidi="th-TH"/>
              </w:rPr>
              <w:t>10 intermediarios de confianza y 20 titulares de derechos se adhirieron al sistema TIGAR a finales de 2012.</w:t>
            </w:r>
          </w:p>
          <w:p w:rsidR="00B070BF" w:rsidRPr="00CE1DAE" w:rsidRDefault="00B070BF" w:rsidP="00C33D4A">
            <w:pPr>
              <w:widowControl w:val="0"/>
              <w:rPr>
                <w:sz w:val="16"/>
                <w:szCs w:val="16"/>
                <w:lang w:bidi="th-TH"/>
              </w:rPr>
            </w:pPr>
          </w:p>
          <w:p w:rsidR="00B070BF" w:rsidRPr="00CE1DAE" w:rsidRDefault="00B070BF" w:rsidP="00C33D4A">
            <w:pPr>
              <w:widowControl w:val="0"/>
              <w:rPr>
                <w:sz w:val="16"/>
                <w:szCs w:val="16"/>
                <w:lang w:bidi="th-TH"/>
              </w:rPr>
            </w:pPr>
          </w:p>
        </w:tc>
        <w:tc>
          <w:tcPr>
            <w:tcW w:w="557" w:type="pct"/>
            <w:shd w:val="clear" w:color="auto" w:fill="auto"/>
            <w:tcMar>
              <w:top w:w="110" w:type="dxa"/>
            </w:tcMar>
            <w:vAlign w:val="center"/>
          </w:tcPr>
          <w:p w:rsidR="00B070BF" w:rsidRPr="00CE1DAE" w:rsidRDefault="00B070BF" w:rsidP="00C33D4A">
            <w:pPr>
              <w:widowControl w:val="0"/>
              <w:jc w:val="center"/>
              <w:rPr>
                <w:b/>
                <w:bCs/>
                <w:sz w:val="16"/>
                <w:szCs w:val="16"/>
              </w:rPr>
            </w:pPr>
            <w:r w:rsidRPr="009577DE">
              <w:rPr>
                <w:b/>
                <w:bCs/>
                <w:color w:val="008000"/>
                <w:sz w:val="16"/>
                <w:szCs w:val="16"/>
              </w:rPr>
              <w:t>Progresa con normalidad</w:t>
            </w:r>
          </w:p>
          <w:p w:rsidR="00B070BF" w:rsidRPr="00CE1DAE" w:rsidRDefault="00B070BF" w:rsidP="00C33D4A">
            <w:pPr>
              <w:widowControl w:val="0"/>
              <w:jc w:val="center"/>
              <w:rPr>
                <w:b/>
                <w:bCs/>
                <w:sz w:val="16"/>
                <w:szCs w:val="16"/>
              </w:rPr>
            </w:pPr>
          </w:p>
          <w:p w:rsidR="00B070BF" w:rsidRPr="00CE1DAE" w:rsidRDefault="00B070BF" w:rsidP="00C33D4A">
            <w:pPr>
              <w:widowControl w:val="0"/>
              <w:spacing w:after="120"/>
              <w:jc w:val="center"/>
              <w:rPr>
                <w:b/>
                <w:bCs/>
                <w:sz w:val="16"/>
                <w:szCs w:val="16"/>
              </w:rPr>
            </w:pPr>
          </w:p>
        </w:tc>
      </w:tr>
      <w:tr w:rsidR="00B070BF" w:rsidRPr="00CE1DAE" w:rsidTr="00C33D4A">
        <w:trPr>
          <w:trHeight w:val="1431"/>
        </w:trPr>
        <w:tc>
          <w:tcPr>
            <w:tcW w:w="1043" w:type="pct"/>
            <w:tcBorders>
              <w:bottom w:val="single" w:sz="4" w:space="0" w:color="auto"/>
            </w:tcBorders>
            <w:shd w:val="clear" w:color="auto" w:fill="auto"/>
          </w:tcPr>
          <w:p w:rsidR="00B070BF" w:rsidRPr="00CE1DAE" w:rsidRDefault="00B070BF" w:rsidP="00C33D4A">
            <w:pPr>
              <w:widowControl w:val="0"/>
              <w:rPr>
                <w:sz w:val="16"/>
                <w:szCs w:val="16"/>
                <w:lang w:bidi="th-TH"/>
              </w:rPr>
            </w:pPr>
            <w:r w:rsidRPr="00CE1DAE">
              <w:rPr>
                <w:sz w:val="16"/>
                <w:szCs w:val="16"/>
                <w:lang w:bidi="th-TH"/>
              </w:rPr>
              <w:t>Número de obras protegidas por derecho de autor y distribuidas entre intermediarios de confianza puestas a disposición de las personas con discapacidad visual a escala internacional por medio de la red de sistemas TIGAR.</w:t>
            </w:r>
          </w:p>
        </w:tc>
        <w:tc>
          <w:tcPr>
            <w:tcW w:w="745" w:type="pct"/>
            <w:tcBorders>
              <w:bottom w:val="single" w:sz="4" w:space="0" w:color="auto"/>
            </w:tcBorders>
            <w:shd w:val="clear" w:color="auto" w:fill="B3B3B3"/>
          </w:tcPr>
          <w:p w:rsidR="00B070BF" w:rsidRPr="00CE1DAE" w:rsidRDefault="00B070BF" w:rsidP="00C33D4A">
            <w:pPr>
              <w:widowControl w:val="0"/>
              <w:rPr>
                <w:sz w:val="16"/>
                <w:szCs w:val="16"/>
                <w:lang w:bidi="th-TH"/>
              </w:rPr>
            </w:pPr>
            <w:r w:rsidRPr="00CE1DAE">
              <w:rPr>
                <w:sz w:val="16"/>
                <w:szCs w:val="16"/>
                <w:lang w:bidi="th-TH"/>
              </w:rPr>
              <w:t>Todavía no han comenzado las actividades.</w:t>
            </w:r>
          </w:p>
        </w:tc>
        <w:tc>
          <w:tcPr>
            <w:tcW w:w="969" w:type="pct"/>
            <w:gridSpan w:val="2"/>
            <w:tcBorders>
              <w:bottom w:val="single" w:sz="4" w:space="0" w:color="auto"/>
            </w:tcBorders>
            <w:shd w:val="clear" w:color="auto" w:fill="auto"/>
            <w:tcMar>
              <w:top w:w="110" w:type="dxa"/>
            </w:tcMar>
          </w:tcPr>
          <w:p w:rsidR="00B070BF" w:rsidRPr="00CE1DAE" w:rsidRDefault="00B070BF" w:rsidP="00C33D4A">
            <w:pPr>
              <w:widowControl w:val="0"/>
              <w:rPr>
                <w:color w:val="943634"/>
                <w:sz w:val="16"/>
                <w:szCs w:val="16"/>
                <w:lang w:bidi="th-TH"/>
              </w:rPr>
            </w:pPr>
            <w:r w:rsidRPr="00CE1DAE">
              <w:rPr>
                <w:color w:val="943634"/>
                <w:sz w:val="16"/>
                <w:szCs w:val="16"/>
                <w:lang w:bidi="th-TH"/>
              </w:rPr>
              <w:t>300 libros en formatos accesibles descargados del sistema TIGAR.</w:t>
            </w:r>
          </w:p>
          <w:p w:rsidR="00B070BF" w:rsidRPr="00CE1DAE" w:rsidRDefault="00B070BF" w:rsidP="00C33D4A">
            <w:pPr>
              <w:widowControl w:val="0"/>
              <w:rPr>
                <w:color w:val="943634"/>
                <w:sz w:val="16"/>
                <w:szCs w:val="16"/>
                <w:lang w:bidi="th-TH"/>
              </w:rPr>
            </w:pPr>
          </w:p>
          <w:p w:rsidR="00B070BF" w:rsidRPr="00CE1DAE" w:rsidRDefault="00B070BF" w:rsidP="00C33D4A">
            <w:pPr>
              <w:widowControl w:val="0"/>
              <w:rPr>
                <w:color w:val="943634"/>
                <w:sz w:val="16"/>
                <w:szCs w:val="16"/>
                <w:lang w:bidi="th-TH"/>
              </w:rPr>
            </w:pPr>
          </w:p>
          <w:p w:rsidR="00B070BF" w:rsidRPr="00CE1DAE" w:rsidRDefault="00B070BF" w:rsidP="00C33D4A">
            <w:pPr>
              <w:widowControl w:val="0"/>
              <w:rPr>
                <w:color w:val="943634"/>
                <w:sz w:val="16"/>
                <w:szCs w:val="16"/>
                <w:lang w:bidi="th-TH"/>
              </w:rPr>
            </w:pPr>
          </w:p>
          <w:p w:rsidR="00B070BF" w:rsidRPr="00CE1DAE" w:rsidRDefault="00B070BF" w:rsidP="00C33D4A">
            <w:pPr>
              <w:widowControl w:val="0"/>
              <w:rPr>
                <w:color w:val="943634"/>
                <w:sz w:val="16"/>
                <w:szCs w:val="16"/>
                <w:lang w:bidi="th-TH"/>
              </w:rPr>
            </w:pPr>
          </w:p>
        </w:tc>
        <w:tc>
          <w:tcPr>
            <w:tcW w:w="1686" w:type="pct"/>
            <w:gridSpan w:val="2"/>
            <w:tcBorders>
              <w:bottom w:val="single" w:sz="4" w:space="0" w:color="auto"/>
            </w:tcBorders>
            <w:shd w:val="clear" w:color="auto" w:fill="FFFFFF"/>
            <w:tcMar>
              <w:top w:w="110" w:type="dxa"/>
            </w:tcMar>
          </w:tcPr>
          <w:p w:rsidR="00B070BF" w:rsidRPr="00CE1DAE" w:rsidRDefault="00B070BF" w:rsidP="00C33D4A">
            <w:pPr>
              <w:widowControl w:val="0"/>
              <w:rPr>
                <w:sz w:val="16"/>
                <w:szCs w:val="16"/>
                <w:lang w:bidi="th-TH"/>
              </w:rPr>
            </w:pPr>
            <w:r w:rsidRPr="00CE1DAE">
              <w:rPr>
                <w:sz w:val="16"/>
                <w:szCs w:val="16"/>
                <w:lang w:bidi="th-TH"/>
              </w:rPr>
              <w:t>450 libros en formatos accesibles se descargaron del sistema TIGAR en 2012.</w:t>
            </w:r>
          </w:p>
          <w:p w:rsidR="00B070BF" w:rsidRPr="00CE1DAE" w:rsidRDefault="00B070BF" w:rsidP="00C33D4A">
            <w:pPr>
              <w:widowControl w:val="0"/>
              <w:rPr>
                <w:sz w:val="16"/>
                <w:szCs w:val="16"/>
                <w:lang w:bidi="th-TH"/>
              </w:rPr>
            </w:pPr>
          </w:p>
        </w:tc>
        <w:tc>
          <w:tcPr>
            <w:tcW w:w="557" w:type="pct"/>
            <w:tcBorders>
              <w:bottom w:val="single" w:sz="4" w:space="0" w:color="auto"/>
            </w:tcBorders>
            <w:shd w:val="clear" w:color="auto" w:fill="auto"/>
          </w:tcPr>
          <w:p w:rsidR="00B070BF" w:rsidRPr="00CE1DAE" w:rsidRDefault="00B070BF" w:rsidP="00C33D4A">
            <w:pPr>
              <w:widowControl w:val="0"/>
              <w:jc w:val="center"/>
              <w:rPr>
                <w:b/>
                <w:bCs/>
                <w:sz w:val="16"/>
                <w:szCs w:val="16"/>
              </w:rPr>
            </w:pPr>
            <w:r w:rsidRPr="009577DE">
              <w:rPr>
                <w:b/>
                <w:bCs/>
                <w:color w:val="008000"/>
                <w:sz w:val="16"/>
                <w:szCs w:val="16"/>
              </w:rPr>
              <w:t>Progresa con normalidad</w:t>
            </w:r>
          </w:p>
          <w:p w:rsidR="00B070BF" w:rsidRPr="00CE1DAE" w:rsidRDefault="00B070BF" w:rsidP="00C33D4A">
            <w:pPr>
              <w:widowControl w:val="0"/>
              <w:jc w:val="center"/>
              <w:rPr>
                <w:b/>
                <w:bCs/>
                <w:sz w:val="16"/>
                <w:szCs w:val="16"/>
              </w:rPr>
            </w:pPr>
          </w:p>
          <w:p w:rsidR="00B070BF" w:rsidRPr="00CE1DAE" w:rsidRDefault="00B070BF" w:rsidP="00C33D4A">
            <w:pPr>
              <w:widowControl w:val="0"/>
              <w:jc w:val="center"/>
              <w:rPr>
                <w:b/>
                <w:bCs/>
                <w:sz w:val="16"/>
                <w:szCs w:val="16"/>
              </w:rPr>
            </w:pPr>
          </w:p>
        </w:tc>
      </w:tr>
      <w:tr w:rsidR="00B070BF" w:rsidRPr="00CE1DAE" w:rsidTr="00C33D4A">
        <w:trPr>
          <w:cantSplit/>
        </w:trPr>
        <w:tc>
          <w:tcPr>
            <w:tcW w:w="5000" w:type="pct"/>
            <w:gridSpan w:val="7"/>
            <w:tcBorders>
              <w:top w:val="single" w:sz="4" w:space="0" w:color="auto"/>
              <w:bottom w:val="single" w:sz="4" w:space="0" w:color="auto"/>
            </w:tcBorders>
            <w:shd w:val="clear" w:color="auto" w:fill="CCFFFF"/>
            <w:vAlign w:val="center"/>
          </w:tcPr>
          <w:p w:rsidR="00B070BF" w:rsidRPr="00CE1DAE" w:rsidRDefault="00B070BF" w:rsidP="00C33D4A">
            <w:pPr>
              <w:widowControl w:val="0"/>
              <w:tabs>
                <w:tab w:val="left" w:pos="1735"/>
              </w:tabs>
              <w:spacing w:before="120" w:after="120"/>
              <w:ind w:left="1735" w:hanging="1735"/>
              <w:rPr>
                <w:b/>
                <w:bCs/>
                <w:sz w:val="16"/>
                <w:szCs w:val="16"/>
              </w:rPr>
            </w:pPr>
            <w:r w:rsidRPr="00CE1DAE">
              <w:rPr>
                <w:b/>
                <w:bCs/>
                <w:sz w:val="16"/>
                <w:szCs w:val="16"/>
              </w:rPr>
              <w:t>Resultado previsto:</w:t>
            </w:r>
            <w:r w:rsidRPr="00CE1DAE">
              <w:rPr>
                <w:b/>
                <w:bCs/>
                <w:sz w:val="16"/>
                <w:szCs w:val="16"/>
              </w:rPr>
              <w:tab/>
            </w:r>
            <w:r w:rsidRPr="00CE1DAE">
              <w:rPr>
                <w:bCs/>
                <w:sz w:val="16"/>
                <w:szCs w:val="16"/>
              </w:rPr>
              <w:t xml:space="preserve"> Mejora en la infraestructura técnica y de conocimientos de las oficinas y demás instituciones de P.I. que les permite prestar mejores servicios (más económicos, más rápidos y de mejor calidad) a sus usuarios.</w:t>
            </w:r>
          </w:p>
        </w:tc>
      </w:tr>
      <w:tr w:rsidR="00B070BF" w:rsidRPr="00CE1DAE" w:rsidTr="00C33D4A">
        <w:trPr>
          <w:cantSplit/>
        </w:trPr>
        <w:tc>
          <w:tcPr>
            <w:tcW w:w="1043" w:type="pct"/>
            <w:tcBorders>
              <w:top w:val="single" w:sz="4" w:space="0" w:color="auto"/>
            </w:tcBorders>
            <w:shd w:val="clear" w:color="auto" w:fill="auto"/>
            <w:vAlign w:val="center"/>
          </w:tcPr>
          <w:p w:rsidR="00B070BF" w:rsidRPr="00CE1DAE" w:rsidRDefault="00B070BF" w:rsidP="00C33D4A">
            <w:pPr>
              <w:widowControl w:val="0"/>
              <w:spacing w:after="120"/>
              <w:rPr>
                <w:sz w:val="16"/>
                <w:szCs w:val="16"/>
              </w:rPr>
            </w:pPr>
            <w:r w:rsidRPr="00CE1DAE">
              <w:rPr>
                <w:b/>
                <w:bCs/>
                <w:sz w:val="16"/>
                <w:szCs w:val="16"/>
              </w:rPr>
              <w:t>Indicadores de rendimiento</w:t>
            </w:r>
          </w:p>
        </w:tc>
        <w:tc>
          <w:tcPr>
            <w:tcW w:w="745" w:type="pct"/>
            <w:tcBorders>
              <w:top w:val="single" w:sz="4" w:space="0" w:color="auto"/>
            </w:tcBorders>
            <w:shd w:val="clear" w:color="auto" w:fill="C0C0C0"/>
          </w:tcPr>
          <w:p w:rsidR="00B070BF" w:rsidRPr="00CE1DAE" w:rsidRDefault="00B070BF" w:rsidP="00C33D4A">
            <w:pPr>
              <w:widowControl w:val="0"/>
              <w:spacing w:after="120"/>
              <w:rPr>
                <w:b/>
                <w:bCs/>
                <w:sz w:val="16"/>
                <w:szCs w:val="16"/>
              </w:rPr>
            </w:pPr>
            <w:r w:rsidRPr="00CE1DAE">
              <w:rPr>
                <w:b/>
                <w:bCs/>
                <w:sz w:val="16"/>
                <w:szCs w:val="16"/>
              </w:rPr>
              <w:t>Referencia (</w:t>
            </w:r>
            <w:proofErr w:type="spellStart"/>
            <w:r w:rsidRPr="00CE1DAE">
              <w:rPr>
                <w:b/>
                <w:bCs/>
                <w:sz w:val="16"/>
                <w:szCs w:val="16"/>
              </w:rPr>
              <w:t>Presup</w:t>
            </w:r>
            <w:proofErr w:type="spellEnd"/>
            <w:r w:rsidRPr="00CE1DAE">
              <w:rPr>
                <w:b/>
                <w:bCs/>
                <w:sz w:val="16"/>
                <w:szCs w:val="16"/>
              </w:rPr>
              <w:t xml:space="preserve">. por </w:t>
            </w:r>
            <w:proofErr w:type="spellStart"/>
            <w:r w:rsidRPr="00CE1DAE">
              <w:rPr>
                <w:b/>
                <w:bCs/>
                <w:sz w:val="16"/>
                <w:szCs w:val="16"/>
              </w:rPr>
              <w:t>prog</w:t>
            </w:r>
            <w:proofErr w:type="spellEnd"/>
            <w:r w:rsidRPr="00CE1DAE">
              <w:rPr>
                <w:b/>
                <w:bCs/>
                <w:sz w:val="16"/>
                <w:szCs w:val="16"/>
              </w:rPr>
              <w:t>. 2012/13)</w:t>
            </w:r>
          </w:p>
        </w:tc>
        <w:tc>
          <w:tcPr>
            <w:tcW w:w="1043" w:type="pct"/>
            <w:gridSpan w:val="3"/>
            <w:tcBorders>
              <w:top w:val="single" w:sz="4" w:space="0" w:color="auto"/>
            </w:tcBorders>
            <w:shd w:val="clear" w:color="auto" w:fill="auto"/>
            <w:tcMar>
              <w:top w:w="110" w:type="dxa"/>
            </w:tcMar>
            <w:vAlign w:val="center"/>
          </w:tcPr>
          <w:p w:rsidR="00B070BF" w:rsidRPr="00CE1DAE" w:rsidRDefault="00B070BF" w:rsidP="00C33D4A">
            <w:pPr>
              <w:widowControl w:val="0"/>
              <w:spacing w:after="120"/>
              <w:rPr>
                <w:b/>
                <w:sz w:val="16"/>
                <w:szCs w:val="16"/>
              </w:rPr>
            </w:pPr>
            <w:r w:rsidRPr="00BF138D">
              <w:rPr>
                <w:b/>
                <w:color w:val="993300"/>
                <w:sz w:val="16"/>
                <w:szCs w:val="16"/>
              </w:rPr>
              <w:t>Referencia actualizada a finales de 2011</w:t>
            </w:r>
            <w:r w:rsidRPr="00CE1DAE">
              <w:rPr>
                <w:b/>
                <w:sz w:val="16"/>
                <w:szCs w:val="16"/>
              </w:rPr>
              <w:t xml:space="preserve">  </w:t>
            </w:r>
          </w:p>
        </w:tc>
        <w:tc>
          <w:tcPr>
            <w:tcW w:w="1612" w:type="pct"/>
            <w:tcBorders>
              <w:top w:val="single" w:sz="4" w:space="0" w:color="auto"/>
            </w:tcBorders>
            <w:shd w:val="clear" w:color="auto" w:fill="FFFFFF"/>
            <w:tcMar>
              <w:top w:w="110" w:type="dxa"/>
            </w:tcMar>
            <w:vAlign w:val="center"/>
          </w:tcPr>
          <w:p w:rsidR="00B070BF" w:rsidRPr="00CE1DAE" w:rsidRDefault="00B070BF" w:rsidP="00C33D4A">
            <w:pPr>
              <w:widowControl w:val="0"/>
              <w:spacing w:after="120"/>
              <w:rPr>
                <w:sz w:val="16"/>
                <w:szCs w:val="16"/>
              </w:rPr>
            </w:pPr>
            <w:r w:rsidRPr="00CE1DAE">
              <w:rPr>
                <w:b/>
                <w:bCs/>
                <w:sz w:val="16"/>
                <w:szCs w:val="16"/>
              </w:rPr>
              <w:t>Datos sobre el rendimiento</w:t>
            </w:r>
          </w:p>
        </w:tc>
        <w:tc>
          <w:tcPr>
            <w:tcW w:w="557" w:type="pct"/>
            <w:tcBorders>
              <w:top w:val="single" w:sz="4" w:space="0" w:color="auto"/>
            </w:tcBorders>
            <w:shd w:val="clear" w:color="auto" w:fill="auto"/>
            <w:tcMar>
              <w:top w:w="110" w:type="dxa"/>
            </w:tcMar>
            <w:vAlign w:val="center"/>
          </w:tcPr>
          <w:p w:rsidR="00B070BF" w:rsidRPr="00CE1DAE" w:rsidRDefault="00B070BF" w:rsidP="00C33D4A">
            <w:pPr>
              <w:widowControl w:val="0"/>
              <w:spacing w:after="120"/>
              <w:jc w:val="center"/>
              <w:rPr>
                <w:b/>
                <w:bCs/>
                <w:sz w:val="16"/>
                <w:szCs w:val="16"/>
              </w:rPr>
            </w:pPr>
            <w:r w:rsidRPr="00CE1DAE">
              <w:rPr>
                <w:b/>
                <w:bCs/>
                <w:sz w:val="16"/>
                <w:szCs w:val="16"/>
              </w:rPr>
              <w:t>Clave de colores</w:t>
            </w:r>
          </w:p>
        </w:tc>
      </w:tr>
      <w:tr w:rsidR="00B070BF" w:rsidRPr="00CE1DAE" w:rsidTr="00C33D4A">
        <w:tc>
          <w:tcPr>
            <w:tcW w:w="1043" w:type="pct"/>
            <w:shd w:val="clear" w:color="auto" w:fill="auto"/>
          </w:tcPr>
          <w:p w:rsidR="00B070BF" w:rsidRPr="00CE1DAE" w:rsidRDefault="00B070BF" w:rsidP="00C33D4A">
            <w:pPr>
              <w:widowControl w:val="0"/>
              <w:rPr>
                <w:sz w:val="16"/>
                <w:szCs w:val="16"/>
                <w:lang w:bidi="th-TH"/>
              </w:rPr>
            </w:pPr>
            <w:r w:rsidRPr="00CE1DAE">
              <w:rPr>
                <w:sz w:val="16"/>
                <w:szCs w:val="16"/>
                <w:lang w:bidi="th-TH"/>
              </w:rPr>
              <w:t>Número de instituciones que utilizan los sistemas de la OMPI de infraestructura de derecho de autor (WIPOCOS y GDA).</w:t>
            </w:r>
          </w:p>
        </w:tc>
        <w:tc>
          <w:tcPr>
            <w:tcW w:w="745" w:type="pct"/>
            <w:shd w:val="clear" w:color="auto" w:fill="B3B3B3"/>
          </w:tcPr>
          <w:p w:rsidR="00B070BF" w:rsidRPr="00CE1DAE" w:rsidRDefault="00B070BF" w:rsidP="00C33D4A">
            <w:pPr>
              <w:widowControl w:val="0"/>
              <w:rPr>
                <w:sz w:val="16"/>
                <w:szCs w:val="16"/>
                <w:lang w:bidi="th-TH"/>
              </w:rPr>
            </w:pPr>
            <w:r w:rsidRPr="00CE1DAE">
              <w:rPr>
                <w:sz w:val="16"/>
                <w:szCs w:val="16"/>
                <w:lang w:bidi="th-TH"/>
              </w:rPr>
              <w:t>20 OGC cuentan con WIPOCOS (finales de 2011)</w:t>
            </w:r>
          </w:p>
          <w:p w:rsidR="00B070BF" w:rsidRPr="00CE1DAE" w:rsidRDefault="00B070BF" w:rsidP="00C33D4A">
            <w:pPr>
              <w:widowControl w:val="0"/>
              <w:rPr>
                <w:sz w:val="16"/>
                <w:szCs w:val="16"/>
                <w:lang w:bidi="th-TH"/>
              </w:rPr>
            </w:pPr>
          </w:p>
          <w:p w:rsidR="00B070BF" w:rsidRPr="00CE1DAE" w:rsidRDefault="00B070BF" w:rsidP="00C33D4A">
            <w:pPr>
              <w:widowControl w:val="0"/>
              <w:rPr>
                <w:sz w:val="16"/>
                <w:szCs w:val="16"/>
                <w:lang w:bidi="th-TH"/>
              </w:rPr>
            </w:pPr>
            <w:r w:rsidRPr="00CE1DAE">
              <w:rPr>
                <w:sz w:val="16"/>
                <w:szCs w:val="16"/>
                <w:lang w:bidi="th-TH"/>
              </w:rPr>
              <w:t>Ocho oficinas de derecho de autor que utilizan el sistema GDA (finales de 2011)</w:t>
            </w:r>
          </w:p>
        </w:tc>
        <w:tc>
          <w:tcPr>
            <w:tcW w:w="1043" w:type="pct"/>
            <w:gridSpan w:val="3"/>
            <w:shd w:val="clear" w:color="auto" w:fill="auto"/>
            <w:tcMar>
              <w:top w:w="110" w:type="dxa"/>
            </w:tcMar>
          </w:tcPr>
          <w:p w:rsidR="00B070BF" w:rsidRPr="00CE1DAE" w:rsidRDefault="00B070BF" w:rsidP="00C33D4A">
            <w:pPr>
              <w:widowControl w:val="0"/>
              <w:rPr>
                <w:color w:val="943634"/>
                <w:sz w:val="16"/>
                <w:szCs w:val="16"/>
                <w:lang w:bidi="th-TH"/>
              </w:rPr>
            </w:pPr>
            <w:r w:rsidRPr="00CE1DAE">
              <w:rPr>
                <w:color w:val="943634"/>
                <w:sz w:val="16"/>
                <w:szCs w:val="16"/>
                <w:lang w:bidi="th-TH"/>
              </w:rPr>
              <w:t xml:space="preserve">20 OGC cuentan con WIPOCOS </w:t>
            </w:r>
          </w:p>
          <w:p w:rsidR="00B070BF" w:rsidRPr="00CE1DAE" w:rsidRDefault="00B070BF" w:rsidP="00C33D4A">
            <w:pPr>
              <w:widowControl w:val="0"/>
              <w:rPr>
                <w:color w:val="943634"/>
                <w:sz w:val="16"/>
                <w:szCs w:val="16"/>
                <w:lang w:bidi="th-TH"/>
              </w:rPr>
            </w:pPr>
          </w:p>
          <w:p w:rsidR="00B070BF" w:rsidRPr="00CE1DAE" w:rsidRDefault="00B070BF" w:rsidP="00C33D4A">
            <w:pPr>
              <w:widowControl w:val="0"/>
              <w:rPr>
                <w:color w:val="943634"/>
                <w:sz w:val="16"/>
                <w:szCs w:val="16"/>
                <w:lang w:bidi="th-TH"/>
              </w:rPr>
            </w:pPr>
          </w:p>
          <w:p w:rsidR="00B070BF" w:rsidRPr="00CE1DAE" w:rsidRDefault="00B070BF" w:rsidP="00C33D4A">
            <w:pPr>
              <w:widowControl w:val="0"/>
              <w:rPr>
                <w:color w:val="943634"/>
                <w:sz w:val="16"/>
                <w:szCs w:val="16"/>
                <w:lang w:bidi="th-TH"/>
              </w:rPr>
            </w:pPr>
            <w:r w:rsidRPr="00CE1DAE">
              <w:rPr>
                <w:color w:val="943634"/>
                <w:sz w:val="16"/>
                <w:szCs w:val="16"/>
                <w:lang w:bidi="th-TH"/>
              </w:rPr>
              <w:t>8 oficinas de derecho de autor que utilizan el sistema GDA</w:t>
            </w:r>
          </w:p>
        </w:tc>
        <w:tc>
          <w:tcPr>
            <w:tcW w:w="1612" w:type="pct"/>
            <w:shd w:val="clear" w:color="auto" w:fill="FFFFFF"/>
            <w:tcMar>
              <w:top w:w="110" w:type="dxa"/>
            </w:tcMar>
          </w:tcPr>
          <w:p w:rsidR="00B070BF" w:rsidRPr="00CE1DAE" w:rsidRDefault="00B070BF" w:rsidP="00C33D4A">
            <w:pPr>
              <w:widowControl w:val="0"/>
              <w:rPr>
                <w:sz w:val="16"/>
                <w:szCs w:val="16"/>
                <w:lang w:bidi="th-TH"/>
              </w:rPr>
            </w:pPr>
            <w:r w:rsidRPr="00CE1DAE">
              <w:rPr>
                <w:sz w:val="16"/>
                <w:szCs w:val="16"/>
                <w:lang w:bidi="th-TH"/>
              </w:rPr>
              <w:t>26 OGC cuentan con WIPOCOS a finales de 2012</w:t>
            </w:r>
          </w:p>
          <w:p w:rsidR="00B070BF" w:rsidRPr="00CE1DAE" w:rsidRDefault="00B070BF" w:rsidP="00C33D4A">
            <w:pPr>
              <w:widowControl w:val="0"/>
              <w:rPr>
                <w:sz w:val="16"/>
                <w:szCs w:val="16"/>
                <w:lang w:bidi="th-TH"/>
              </w:rPr>
            </w:pPr>
          </w:p>
          <w:p w:rsidR="00B070BF" w:rsidRPr="00CE1DAE" w:rsidRDefault="00B070BF" w:rsidP="00C33D4A">
            <w:pPr>
              <w:widowControl w:val="0"/>
              <w:rPr>
                <w:sz w:val="16"/>
                <w:szCs w:val="16"/>
                <w:lang w:bidi="th-TH"/>
              </w:rPr>
            </w:pPr>
          </w:p>
          <w:p w:rsidR="00B070BF" w:rsidRPr="00CE1DAE" w:rsidRDefault="00B070BF" w:rsidP="00C33D4A">
            <w:pPr>
              <w:widowControl w:val="0"/>
              <w:rPr>
                <w:sz w:val="16"/>
                <w:szCs w:val="16"/>
                <w:lang w:bidi="th-TH"/>
              </w:rPr>
            </w:pPr>
            <w:r w:rsidRPr="00CE1DAE">
              <w:rPr>
                <w:sz w:val="16"/>
                <w:szCs w:val="16"/>
                <w:lang w:bidi="th-TH"/>
              </w:rPr>
              <w:t>15 oficinas de derecho de autor que utilizan el sistema GDA a finales de 2012.</w:t>
            </w:r>
          </w:p>
          <w:p w:rsidR="00B070BF" w:rsidRPr="00CE1DAE" w:rsidRDefault="00B070BF" w:rsidP="00C33D4A">
            <w:pPr>
              <w:widowControl w:val="0"/>
              <w:rPr>
                <w:sz w:val="16"/>
                <w:szCs w:val="16"/>
                <w:lang w:bidi="th-TH"/>
              </w:rPr>
            </w:pPr>
          </w:p>
        </w:tc>
        <w:tc>
          <w:tcPr>
            <w:tcW w:w="557" w:type="pct"/>
            <w:shd w:val="clear" w:color="auto" w:fill="auto"/>
            <w:tcMar>
              <w:top w:w="110" w:type="dxa"/>
            </w:tcMar>
          </w:tcPr>
          <w:p w:rsidR="00B070BF" w:rsidRPr="00CE1DAE" w:rsidRDefault="00B070BF" w:rsidP="00C33D4A">
            <w:pPr>
              <w:widowControl w:val="0"/>
              <w:jc w:val="center"/>
              <w:rPr>
                <w:b/>
                <w:bCs/>
                <w:sz w:val="16"/>
                <w:szCs w:val="16"/>
              </w:rPr>
            </w:pPr>
            <w:r w:rsidRPr="009577DE">
              <w:rPr>
                <w:b/>
                <w:bCs/>
                <w:color w:val="008000"/>
                <w:sz w:val="16"/>
                <w:szCs w:val="16"/>
              </w:rPr>
              <w:t>Progresa con normalidad</w:t>
            </w:r>
          </w:p>
          <w:p w:rsidR="00B070BF" w:rsidRPr="00CE1DAE" w:rsidRDefault="00B070BF" w:rsidP="00C33D4A">
            <w:pPr>
              <w:widowControl w:val="0"/>
              <w:jc w:val="center"/>
              <w:rPr>
                <w:bCs/>
                <w:sz w:val="16"/>
                <w:szCs w:val="16"/>
              </w:rPr>
            </w:pPr>
          </w:p>
          <w:p w:rsidR="00B070BF" w:rsidRPr="00CE1DAE" w:rsidRDefault="00B070BF" w:rsidP="00C33D4A">
            <w:pPr>
              <w:widowControl w:val="0"/>
              <w:jc w:val="center"/>
              <w:rPr>
                <w:bCs/>
                <w:sz w:val="12"/>
                <w:szCs w:val="12"/>
              </w:rPr>
            </w:pPr>
          </w:p>
          <w:p w:rsidR="00B070BF" w:rsidRPr="00CE1DAE" w:rsidRDefault="00B070BF" w:rsidP="00C33D4A">
            <w:pPr>
              <w:widowControl w:val="0"/>
              <w:jc w:val="center"/>
              <w:rPr>
                <w:bCs/>
                <w:sz w:val="12"/>
                <w:szCs w:val="12"/>
              </w:rPr>
            </w:pPr>
          </w:p>
          <w:p w:rsidR="00B070BF" w:rsidRPr="00CE1DAE" w:rsidRDefault="00B070BF" w:rsidP="00C33D4A">
            <w:pPr>
              <w:widowControl w:val="0"/>
              <w:spacing w:after="120"/>
              <w:jc w:val="center"/>
              <w:rPr>
                <w:b/>
                <w:bCs/>
                <w:sz w:val="16"/>
                <w:szCs w:val="16"/>
              </w:rPr>
            </w:pPr>
          </w:p>
          <w:p w:rsidR="00B070BF" w:rsidRPr="00CE1DAE" w:rsidRDefault="00B070BF" w:rsidP="00C33D4A">
            <w:pPr>
              <w:widowControl w:val="0"/>
              <w:spacing w:after="120"/>
              <w:jc w:val="center"/>
              <w:rPr>
                <w:b/>
                <w:bCs/>
                <w:sz w:val="16"/>
                <w:szCs w:val="16"/>
              </w:rPr>
            </w:pPr>
            <w:r w:rsidRPr="009577DE">
              <w:rPr>
                <w:b/>
                <w:bCs/>
                <w:color w:val="008000"/>
                <w:sz w:val="16"/>
                <w:szCs w:val="16"/>
              </w:rPr>
              <w:t>Progresa con normalidad</w:t>
            </w:r>
          </w:p>
        </w:tc>
      </w:tr>
      <w:tr w:rsidR="00B070BF" w:rsidRPr="00CE1DAE" w:rsidTr="00C33D4A">
        <w:tc>
          <w:tcPr>
            <w:tcW w:w="1043" w:type="pct"/>
            <w:shd w:val="clear" w:color="auto" w:fill="auto"/>
          </w:tcPr>
          <w:p w:rsidR="00B070BF" w:rsidRPr="00CE1DAE" w:rsidRDefault="00B070BF" w:rsidP="00C33D4A">
            <w:pPr>
              <w:widowControl w:val="0"/>
              <w:rPr>
                <w:sz w:val="16"/>
                <w:szCs w:val="16"/>
                <w:lang w:bidi="th-TH"/>
              </w:rPr>
            </w:pPr>
            <w:r w:rsidRPr="00CE1DAE">
              <w:rPr>
                <w:sz w:val="16"/>
                <w:szCs w:val="16"/>
                <w:lang w:bidi="th-TH"/>
              </w:rPr>
              <w:t>Porcentaje de gobiernos que informan favorablemente acerca de la eficacia y la gobernanza de las instituciones encargadas del derecho de autor en el país.</w:t>
            </w:r>
          </w:p>
          <w:p w:rsidR="00B070BF" w:rsidRPr="00CE1DAE" w:rsidRDefault="00B070BF" w:rsidP="00C33D4A">
            <w:pPr>
              <w:widowControl w:val="0"/>
              <w:rPr>
                <w:sz w:val="16"/>
                <w:szCs w:val="16"/>
                <w:lang w:bidi="th-TH"/>
              </w:rPr>
            </w:pPr>
          </w:p>
        </w:tc>
        <w:tc>
          <w:tcPr>
            <w:tcW w:w="745" w:type="pct"/>
            <w:shd w:val="clear" w:color="auto" w:fill="B3B3B3"/>
          </w:tcPr>
          <w:p w:rsidR="00B070BF" w:rsidRPr="00CE1DAE" w:rsidRDefault="00B070BF" w:rsidP="00C33D4A">
            <w:pPr>
              <w:widowControl w:val="0"/>
              <w:rPr>
                <w:sz w:val="16"/>
                <w:szCs w:val="16"/>
                <w:lang w:bidi="th-TH"/>
              </w:rPr>
            </w:pPr>
            <w:proofErr w:type="spellStart"/>
            <w:r>
              <w:rPr>
                <w:sz w:val="16"/>
                <w:szCs w:val="16"/>
                <w:lang w:bidi="th-TH"/>
              </w:rPr>
              <w:t>n.d</w:t>
            </w:r>
            <w:proofErr w:type="spellEnd"/>
            <w:r>
              <w:rPr>
                <w:sz w:val="16"/>
                <w:szCs w:val="16"/>
                <w:lang w:bidi="th-TH"/>
              </w:rPr>
              <w:t>.</w:t>
            </w:r>
          </w:p>
        </w:tc>
        <w:tc>
          <w:tcPr>
            <w:tcW w:w="1043" w:type="pct"/>
            <w:gridSpan w:val="3"/>
            <w:shd w:val="clear" w:color="auto" w:fill="auto"/>
            <w:tcMar>
              <w:top w:w="110" w:type="dxa"/>
            </w:tcMar>
          </w:tcPr>
          <w:p w:rsidR="00B070BF" w:rsidRPr="00CE1DAE" w:rsidRDefault="00B070BF" w:rsidP="00C33D4A">
            <w:pPr>
              <w:widowControl w:val="0"/>
              <w:rPr>
                <w:color w:val="943634"/>
                <w:sz w:val="16"/>
                <w:szCs w:val="16"/>
                <w:lang w:bidi="th-TH"/>
              </w:rPr>
            </w:pPr>
            <w:r w:rsidRPr="00CE1DAE">
              <w:rPr>
                <w:color w:val="943634"/>
                <w:sz w:val="16"/>
                <w:szCs w:val="16"/>
                <w:lang w:bidi="th-TH"/>
              </w:rPr>
              <w:t>70%, como mínimo.</w:t>
            </w:r>
          </w:p>
          <w:p w:rsidR="00B070BF" w:rsidRPr="00CE1DAE" w:rsidRDefault="00B070BF" w:rsidP="00C33D4A">
            <w:pPr>
              <w:widowControl w:val="0"/>
              <w:rPr>
                <w:i/>
                <w:color w:val="943634"/>
                <w:sz w:val="16"/>
                <w:szCs w:val="16"/>
                <w:lang w:bidi="th-TH"/>
              </w:rPr>
            </w:pPr>
          </w:p>
          <w:p w:rsidR="00B070BF" w:rsidRPr="00CE1DAE" w:rsidRDefault="00B070BF" w:rsidP="00C33D4A">
            <w:pPr>
              <w:widowControl w:val="0"/>
              <w:rPr>
                <w:color w:val="943634"/>
                <w:sz w:val="16"/>
                <w:szCs w:val="16"/>
                <w:lang w:bidi="th-TH"/>
              </w:rPr>
            </w:pPr>
          </w:p>
        </w:tc>
        <w:tc>
          <w:tcPr>
            <w:tcW w:w="1612" w:type="pct"/>
            <w:shd w:val="clear" w:color="auto" w:fill="FFFFFF"/>
            <w:tcMar>
              <w:top w:w="110" w:type="dxa"/>
            </w:tcMar>
          </w:tcPr>
          <w:p w:rsidR="00B070BF" w:rsidRPr="00CE1DAE" w:rsidRDefault="00B070BF" w:rsidP="00C33D4A">
            <w:pPr>
              <w:widowControl w:val="0"/>
              <w:rPr>
                <w:sz w:val="16"/>
                <w:szCs w:val="16"/>
                <w:lang w:bidi="th-TH"/>
              </w:rPr>
            </w:pPr>
            <w:r w:rsidRPr="00CE1DAE">
              <w:rPr>
                <w:sz w:val="16"/>
                <w:szCs w:val="16"/>
                <w:lang w:bidi="th-TH"/>
              </w:rPr>
              <w:t>80% de los países enviaron comentarios positivos</w:t>
            </w:r>
          </w:p>
          <w:p w:rsidR="00B070BF" w:rsidRPr="00CE1DAE" w:rsidRDefault="00B070BF" w:rsidP="00C33D4A">
            <w:pPr>
              <w:widowControl w:val="0"/>
              <w:rPr>
                <w:sz w:val="16"/>
                <w:szCs w:val="16"/>
                <w:lang w:bidi="th-TH"/>
              </w:rPr>
            </w:pPr>
          </w:p>
          <w:p w:rsidR="00B070BF" w:rsidRPr="00CE1DAE" w:rsidRDefault="00B070BF" w:rsidP="00C33D4A">
            <w:pPr>
              <w:widowControl w:val="0"/>
              <w:rPr>
                <w:sz w:val="16"/>
                <w:szCs w:val="16"/>
                <w:lang w:bidi="th-TH"/>
              </w:rPr>
            </w:pPr>
          </w:p>
        </w:tc>
        <w:tc>
          <w:tcPr>
            <w:tcW w:w="557" w:type="pct"/>
            <w:shd w:val="clear" w:color="auto" w:fill="auto"/>
          </w:tcPr>
          <w:p w:rsidR="00B070BF" w:rsidRPr="00CE1DAE" w:rsidRDefault="00B070BF" w:rsidP="00C33D4A">
            <w:pPr>
              <w:widowControl w:val="0"/>
              <w:jc w:val="center"/>
              <w:rPr>
                <w:b/>
                <w:bCs/>
                <w:sz w:val="16"/>
                <w:szCs w:val="16"/>
              </w:rPr>
            </w:pPr>
            <w:r w:rsidRPr="009577DE">
              <w:rPr>
                <w:b/>
                <w:bCs/>
                <w:color w:val="008000"/>
                <w:sz w:val="16"/>
                <w:szCs w:val="16"/>
              </w:rPr>
              <w:t>Progresa con normalidad</w:t>
            </w:r>
          </w:p>
          <w:p w:rsidR="00B070BF" w:rsidRPr="00CE1DAE" w:rsidRDefault="00B070BF" w:rsidP="00C33D4A">
            <w:pPr>
              <w:widowControl w:val="0"/>
              <w:jc w:val="center"/>
              <w:rPr>
                <w:bCs/>
                <w:sz w:val="16"/>
                <w:szCs w:val="16"/>
              </w:rPr>
            </w:pPr>
          </w:p>
          <w:p w:rsidR="00B070BF" w:rsidRPr="00CE1DAE" w:rsidRDefault="00B070BF" w:rsidP="00C33D4A">
            <w:pPr>
              <w:widowControl w:val="0"/>
              <w:jc w:val="center"/>
              <w:rPr>
                <w:bCs/>
                <w:sz w:val="16"/>
                <w:szCs w:val="16"/>
              </w:rPr>
            </w:pPr>
          </w:p>
          <w:p w:rsidR="00B070BF" w:rsidRPr="00CE1DAE" w:rsidRDefault="00B070BF" w:rsidP="00C33D4A">
            <w:pPr>
              <w:widowControl w:val="0"/>
              <w:jc w:val="center"/>
              <w:rPr>
                <w:bCs/>
                <w:sz w:val="16"/>
                <w:szCs w:val="16"/>
              </w:rPr>
            </w:pPr>
          </w:p>
        </w:tc>
      </w:tr>
    </w:tbl>
    <w:p w:rsidR="00B070BF" w:rsidRDefault="00B070BF" w:rsidP="00B070BF">
      <w:pPr>
        <w:widowControl w:val="0"/>
        <w:rPr>
          <w:b/>
          <w:sz w:val="20"/>
        </w:rPr>
      </w:pPr>
    </w:p>
    <w:p w:rsidR="00B070BF" w:rsidRDefault="00B070BF" w:rsidP="00B070BF">
      <w:pPr>
        <w:rPr>
          <w:b/>
          <w:sz w:val="20"/>
        </w:rPr>
      </w:pPr>
      <w:r>
        <w:rPr>
          <w:b/>
          <w:sz w:val="20"/>
        </w:rPr>
        <w:br w:type="page"/>
      </w:r>
    </w:p>
    <w:p w:rsidR="00B070BF" w:rsidRDefault="00B070BF" w:rsidP="00B070BF">
      <w:pPr>
        <w:widowControl w:val="0"/>
        <w:rPr>
          <w:b/>
          <w:sz w:val="20"/>
        </w:rPr>
      </w:pPr>
    </w:p>
    <w:p w:rsidR="00B070BF" w:rsidRPr="00827314" w:rsidRDefault="00B070BF" w:rsidP="00B070BF">
      <w:pPr>
        <w:widowControl w:val="0"/>
        <w:rPr>
          <w:sz w:val="20"/>
        </w:rPr>
      </w:pPr>
      <w:r w:rsidRPr="00827314">
        <w:rPr>
          <w:sz w:val="20"/>
        </w:rPr>
        <w:t>PRESUPUESTO Y GASTOS REALES</w:t>
      </w:r>
    </w:p>
    <w:p w:rsidR="00B070BF" w:rsidRPr="0028075A" w:rsidRDefault="00B070BF" w:rsidP="00B070BF">
      <w:pPr>
        <w:widowControl w:val="0"/>
        <w:rPr>
          <w:sz w:val="20"/>
        </w:rPr>
      </w:pPr>
    </w:p>
    <w:p w:rsidR="00B070BF" w:rsidRPr="0028075A" w:rsidRDefault="00B070BF" w:rsidP="00B070BF">
      <w:pPr>
        <w:widowControl w:val="0"/>
        <w:jc w:val="center"/>
        <w:rPr>
          <w:sz w:val="20"/>
        </w:rPr>
      </w:pPr>
      <w:r w:rsidRPr="0028075A">
        <w:rPr>
          <w:sz w:val="20"/>
        </w:rPr>
        <w:t>Presupuesto y gastos reales (por resultado)</w:t>
      </w:r>
    </w:p>
    <w:p w:rsidR="00B070BF" w:rsidRPr="00827314" w:rsidRDefault="00B070BF" w:rsidP="00B070BF">
      <w:pPr>
        <w:widowControl w:val="0"/>
        <w:jc w:val="center"/>
        <w:rPr>
          <w:szCs w:val="22"/>
        </w:rPr>
      </w:pPr>
      <w:r w:rsidRPr="0028075A">
        <w:rPr>
          <w:i/>
          <w:iCs/>
          <w:sz w:val="20"/>
        </w:rPr>
        <w:t>(en miles de francos suizos)</w:t>
      </w:r>
      <w:r w:rsidRPr="0028075A">
        <w:rPr>
          <w:i/>
          <w:iCs/>
          <w:sz w:val="20"/>
        </w:rPr>
        <w:br/>
      </w:r>
      <w:r w:rsidRPr="0028075A">
        <w:rPr>
          <w:i/>
          <w:iCs/>
          <w:sz w:val="20"/>
        </w:rPr>
        <w:br/>
      </w:r>
      <w:r>
        <w:rPr>
          <w:noProof/>
          <w:lang w:val="en-US" w:eastAsia="en-US"/>
        </w:rPr>
        <w:drawing>
          <wp:inline distT="0" distB="0" distL="0" distR="0" wp14:anchorId="60A9A97E" wp14:editId="67D83358">
            <wp:extent cx="5902325" cy="3752850"/>
            <wp:effectExtent l="0" t="0" r="3175" b="0"/>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02325" cy="3752850"/>
                    </a:xfrm>
                    <a:prstGeom prst="rect">
                      <a:avLst/>
                    </a:prstGeom>
                    <a:noFill/>
                    <a:ln>
                      <a:noFill/>
                    </a:ln>
                  </pic:spPr>
                </pic:pic>
              </a:graphicData>
            </a:graphic>
          </wp:inline>
        </w:drawing>
      </w:r>
    </w:p>
    <w:p w:rsidR="00B070BF" w:rsidRPr="0028075A" w:rsidRDefault="00B070BF" w:rsidP="00B070BF">
      <w:pPr>
        <w:widowControl w:val="0"/>
        <w:rPr>
          <w:sz w:val="20"/>
        </w:rPr>
      </w:pPr>
    </w:p>
    <w:p w:rsidR="00B070BF" w:rsidRPr="0028075A" w:rsidRDefault="00B070BF" w:rsidP="00B070BF">
      <w:pPr>
        <w:widowControl w:val="0"/>
        <w:rPr>
          <w:sz w:val="20"/>
        </w:rPr>
      </w:pPr>
    </w:p>
    <w:p w:rsidR="00B070BF" w:rsidRPr="0028075A" w:rsidRDefault="00B070BF" w:rsidP="00B070BF">
      <w:pPr>
        <w:widowControl w:val="0"/>
        <w:jc w:val="center"/>
        <w:rPr>
          <w:sz w:val="20"/>
        </w:rPr>
      </w:pPr>
      <w:r w:rsidRPr="0028075A">
        <w:rPr>
          <w:sz w:val="20"/>
        </w:rPr>
        <w:t>Presupuesto y gastos reales (de personal y no relativos al personal)</w:t>
      </w:r>
    </w:p>
    <w:p w:rsidR="00B070BF" w:rsidRPr="00827314" w:rsidRDefault="00B070BF" w:rsidP="00B070BF">
      <w:pPr>
        <w:widowControl w:val="0"/>
        <w:jc w:val="center"/>
        <w:rPr>
          <w:sz w:val="20"/>
        </w:rPr>
      </w:pPr>
      <w:r w:rsidRPr="0028075A">
        <w:rPr>
          <w:i/>
          <w:sz w:val="20"/>
        </w:rPr>
        <w:t>(en miles de francos suizos)</w:t>
      </w:r>
      <w:r w:rsidRPr="0028075A">
        <w:rPr>
          <w:sz w:val="20"/>
        </w:rPr>
        <w:br/>
      </w:r>
      <w:r w:rsidRPr="0028075A">
        <w:rPr>
          <w:sz w:val="20"/>
        </w:rPr>
        <w:br/>
      </w:r>
      <w:r>
        <w:rPr>
          <w:noProof/>
          <w:lang w:val="en-US" w:eastAsia="en-US"/>
        </w:rPr>
        <w:drawing>
          <wp:inline distT="0" distB="0" distL="0" distR="0" wp14:anchorId="6C369860" wp14:editId="058079D0">
            <wp:extent cx="5902325" cy="1211580"/>
            <wp:effectExtent l="0" t="0" r="3175" b="7620"/>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902325" cy="1211580"/>
                    </a:xfrm>
                    <a:prstGeom prst="rect">
                      <a:avLst/>
                    </a:prstGeom>
                    <a:noFill/>
                    <a:ln>
                      <a:noFill/>
                    </a:ln>
                  </pic:spPr>
                </pic:pic>
              </a:graphicData>
            </a:graphic>
          </wp:inline>
        </w:drawing>
      </w:r>
    </w:p>
    <w:p w:rsidR="00B070BF" w:rsidRPr="00827314" w:rsidRDefault="00B070BF" w:rsidP="00B070BF">
      <w:pPr>
        <w:widowControl w:val="0"/>
        <w:autoSpaceDE w:val="0"/>
        <w:autoSpaceDN w:val="0"/>
        <w:adjustRightInd w:val="0"/>
        <w:rPr>
          <w:sz w:val="16"/>
          <w:szCs w:val="16"/>
        </w:rPr>
      </w:pPr>
    </w:p>
    <w:p w:rsidR="00B070BF" w:rsidRPr="00FF1FB0" w:rsidRDefault="00B070BF" w:rsidP="00B070BF">
      <w:pPr>
        <w:widowControl w:val="0"/>
        <w:autoSpaceDE w:val="0"/>
        <w:autoSpaceDN w:val="0"/>
        <w:adjustRightInd w:val="0"/>
        <w:rPr>
          <w:sz w:val="16"/>
          <w:szCs w:val="16"/>
        </w:rPr>
      </w:pPr>
      <w:r w:rsidRPr="00FF1FB0">
        <w:rPr>
          <w:sz w:val="16"/>
          <w:szCs w:val="16"/>
        </w:rPr>
        <w:t>NOTAS:</w:t>
      </w:r>
    </w:p>
    <w:p w:rsidR="00B070BF" w:rsidRPr="00827314" w:rsidRDefault="00B070BF" w:rsidP="00B070BF">
      <w:pPr>
        <w:widowControl w:val="0"/>
        <w:autoSpaceDE w:val="0"/>
        <w:autoSpaceDN w:val="0"/>
        <w:adjustRightInd w:val="0"/>
        <w:rPr>
          <w:sz w:val="16"/>
          <w:szCs w:val="16"/>
        </w:rPr>
      </w:pPr>
    </w:p>
    <w:p w:rsidR="00B070BF" w:rsidRPr="00827314" w:rsidRDefault="00B070BF" w:rsidP="00B070BF">
      <w:pPr>
        <w:widowControl w:val="0"/>
        <w:autoSpaceDE w:val="0"/>
        <w:autoSpaceDN w:val="0"/>
        <w:adjustRightInd w:val="0"/>
        <w:rPr>
          <w:sz w:val="16"/>
          <w:szCs w:val="16"/>
        </w:rPr>
      </w:pPr>
      <w:r w:rsidRPr="00827314">
        <w:rPr>
          <w:sz w:val="16"/>
          <w:szCs w:val="16"/>
        </w:rPr>
        <w:t>1) El presupuesto después de las transferencias refleja el presupuesto de los programas ajustado después de las transferencias efectuadas en 2012/13 en virtud del artículo 5.5 del Reglamento Financiero.</w:t>
      </w:r>
    </w:p>
    <w:p w:rsidR="00B070BF" w:rsidRPr="00827314" w:rsidRDefault="00B070BF" w:rsidP="00B070BF">
      <w:pPr>
        <w:widowControl w:val="0"/>
        <w:autoSpaceDE w:val="0"/>
        <w:autoSpaceDN w:val="0"/>
        <w:adjustRightInd w:val="0"/>
        <w:rPr>
          <w:sz w:val="16"/>
          <w:szCs w:val="16"/>
        </w:rPr>
      </w:pPr>
    </w:p>
    <w:p w:rsidR="00B070BF" w:rsidRPr="00827314" w:rsidRDefault="00B070BF" w:rsidP="00B070BF">
      <w:pPr>
        <w:widowControl w:val="0"/>
        <w:autoSpaceDE w:val="0"/>
        <w:autoSpaceDN w:val="0"/>
        <w:adjustRightInd w:val="0"/>
        <w:rPr>
          <w:sz w:val="16"/>
          <w:szCs w:val="16"/>
        </w:rPr>
      </w:pPr>
      <w:r w:rsidRPr="00827314">
        <w:rPr>
          <w:sz w:val="16"/>
          <w:szCs w:val="16"/>
        </w:rPr>
        <w:t xml:space="preserve">2) La asignación para el personal del presupuesto de 2012/13 después de las transferencias representa los gastos reales efectuados hasta el 31 de marzo de 2013 y los importes presupuestados para los nueve meses restantes de 2013, sobre la base de costos estándar. </w:t>
      </w:r>
    </w:p>
    <w:p w:rsidR="00B070BF" w:rsidRPr="00827314" w:rsidRDefault="00B070BF" w:rsidP="00B070BF">
      <w:pPr>
        <w:widowControl w:val="0"/>
        <w:autoSpaceDE w:val="0"/>
        <w:autoSpaceDN w:val="0"/>
        <w:adjustRightInd w:val="0"/>
        <w:rPr>
          <w:sz w:val="16"/>
          <w:szCs w:val="16"/>
        </w:rPr>
      </w:pPr>
    </w:p>
    <w:p w:rsidR="00B070BF" w:rsidRPr="00827314" w:rsidRDefault="00B070BF" w:rsidP="00B070BF">
      <w:pPr>
        <w:widowControl w:val="0"/>
        <w:autoSpaceDE w:val="0"/>
        <w:autoSpaceDN w:val="0"/>
        <w:adjustRightInd w:val="0"/>
        <w:rPr>
          <w:sz w:val="16"/>
          <w:szCs w:val="16"/>
        </w:rPr>
      </w:pPr>
      <w:r w:rsidRPr="00827314">
        <w:rPr>
          <w:sz w:val="16"/>
          <w:szCs w:val="16"/>
        </w:rPr>
        <w:t>3) La asignación no relativa al personal del presupuesto de 2012/13 después de las transferencias refleja los ajustes a la baja efectuados para aumentar la eficacia en función de los costos, de conformidad con el compromiso de la Organización de reducir gastos por un importe de 10,2 millones de francos suizos en el bienio 2012/13.</w:t>
      </w:r>
    </w:p>
    <w:p w:rsidR="00B070BF" w:rsidRDefault="00B070BF" w:rsidP="00B070BF">
      <w:pPr>
        <w:rPr>
          <w:sz w:val="20"/>
        </w:rPr>
      </w:pPr>
      <w:r>
        <w:rPr>
          <w:sz w:val="20"/>
        </w:rPr>
        <w:br w:type="page"/>
      </w:r>
    </w:p>
    <w:p w:rsidR="00B070BF" w:rsidRPr="00827314" w:rsidRDefault="00B070BF" w:rsidP="00B070BF">
      <w:pPr>
        <w:widowControl w:val="0"/>
        <w:rPr>
          <w:sz w:val="20"/>
        </w:rPr>
      </w:pPr>
    </w:p>
    <w:p w:rsidR="00B070BF" w:rsidRPr="00827314" w:rsidRDefault="00B070BF" w:rsidP="00B070BF">
      <w:pPr>
        <w:widowControl w:val="0"/>
        <w:rPr>
          <w:sz w:val="20"/>
          <w:u w:val="single"/>
        </w:rPr>
      </w:pPr>
      <w:r>
        <w:rPr>
          <w:sz w:val="20"/>
        </w:rPr>
        <w:t xml:space="preserve">A.  </w:t>
      </w:r>
      <w:r w:rsidRPr="00827314">
        <w:rPr>
          <w:sz w:val="20"/>
          <w:u w:val="single"/>
        </w:rPr>
        <w:t>Presupuesto 2012/13 después de las transferencias</w:t>
      </w:r>
    </w:p>
    <w:p w:rsidR="00B070BF" w:rsidRPr="00827314" w:rsidRDefault="00B070BF" w:rsidP="00B070BF">
      <w:pPr>
        <w:widowControl w:val="0"/>
        <w:rPr>
          <w:sz w:val="20"/>
          <w:u w:val="single"/>
        </w:rPr>
      </w:pPr>
    </w:p>
    <w:p w:rsidR="00B070BF" w:rsidRPr="00827314" w:rsidRDefault="00B070BF" w:rsidP="00B070BF">
      <w:pPr>
        <w:widowControl w:val="0"/>
        <w:numPr>
          <w:ilvl w:val="0"/>
          <w:numId w:val="23"/>
        </w:numPr>
        <w:jc w:val="both"/>
        <w:rPr>
          <w:sz w:val="20"/>
        </w:rPr>
      </w:pPr>
      <w:r w:rsidRPr="00827314">
        <w:rPr>
          <w:sz w:val="20"/>
        </w:rPr>
        <w:t xml:space="preserve">El aumento neto de los recursos asignados al programa se debe a:  i) la asignación de aproximadamente 1,8 millones de francos suizos para la celebración de las conferencias diplomáticas de Beijing en 2012 y Marrakech en 2013, reflejados en el resultado I.1 (Elaboración de marcos normativos internacionales equilibrados para la P.I.);  y ii) una reducción neta de aproximadamente 1,0 millones de francos suizos en relación con los resultados restantes.  Esta clara reducción se debe a la combinación de:  i) los ajustes señalados en las notas precedentes;  junto con:  ii) la redistribución de los recursos de personal asignados a la ejecución de actividades en relación con los distintos resultados. </w:t>
      </w:r>
    </w:p>
    <w:p w:rsidR="00B070BF" w:rsidRPr="00827314" w:rsidRDefault="00B070BF" w:rsidP="00B070BF">
      <w:pPr>
        <w:widowControl w:val="0"/>
        <w:jc w:val="both"/>
        <w:rPr>
          <w:sz w:val="20"/>
        </w:rPr>
      </w:pPr>
    </w:p>
    <w:p w:rsidR="00B070BF" w:rsidRPr="00827314" w:rsidRDefault="00B070BF" w:rsidP="00B070BF">
      <w:pPr>
        <w:widowControl w:val="0"/>
        <w:jc w:val="both"/>
        <w:rPr>
          <w:rFonts w:eastAsia="Batang"/>
          <w:sz w:val="20"/>
          <w:u w:val="single"/>
          <w:lang w:eastAsia="ko-KR"/>
        </w:rPr>
      </w:pPr>
      <w:r w:rsidRPr="00827314">
        <w:rPr>
          <w:rFonts w:eastAsia="Batang"/>
          <w:sz w:val="20"/>
          <w:lang w:eastAsia="ko-KR"/>
        </w:rPr>
        <w:t xml:space="preserve">B. </w:t>
      </w:r>
      <w:r>
        <w:rPr>
          <w:rFonts w:eastAsia="Batang"/>
          <w:sz w:val="20"/>
          <w:lang w:eastAsia="ko-KR"/>
        </w:rPr>
        <w:t xml:space="preserve"> </w:t>
      </w:r>
      <w:r w:rsidRPr="00827314">
        <w:rPr>
          <w:rFonts w:eastAsia="Batang"/>
          <w:sz w:val="20"/>
          <w:u w:val="single"/>
          <w:lang w:eastAsia="ko-KR"/>
        </w:rPr>
        <w:t>Utilización del presupuesto 2012</w:t>
      </w:r>
    </w:p>
    <w:p w:rsidR="00B070BF" w:rsidRPr="00827314" w:rsidRDefault="00B070BF" w:rsidP="00B070BF">
      <w:pPr>
        <w:widowControl w:val="0"/>
        <w:jc w:val="both"/>
        <w:rPr>
          <w:rFonts w:eastAsia="Batang"/>
          <w:sz w:val="20"/>
          <w:lang w:eastAsia="ko-KR"/>
        </w:rPr>
      </w:pPr>
    </w:p>
    <w:p w:rsidR="00B070BF" w:rsidRPr="00827314" w:rsidRDefault="00B070BF" w:rsidP="00B070BF">
      <w:pPr>
        <w:widowControl w:val="0"/>
        <w:numPr>
          <w:ilvl w:val="0"/>
          <w:numId w:val="23"/>
        </w:numPr>
        <w:jc w:val="both"/>
        <w:rPr>
          <w:rFonts w:eastAsia="Batang"/>
          <w:sz w:val="20"/>
          <w:lang w:eastAsia="ko-KR"/>
        </w:rPr>
      </w:pPr>
      <w:r w:rsidRPr="00827314">
        <w:rPr>
          <w:rFonts w:eastAsia="Batang"/>
          <w:sz w:val="20"/>
          <w:lang w:eastAsia="ko-KR"/>
        </w:rPr>
        <w:t xml:space="preserve">La utilización del presupuesto se mantiene entre el 40% y el 60% en el primer año del bienio y progresa con normalidad.  La baja utilización de los recursos no relativos al personal se debe principalmente a una ejecución más lenta de la prevista de determinadas actividades relacionadas con los sistemas WIPOCOS, TIGAR y GDA. </w:t>
      </w:r>
    </w:p>
    <w:p w:rsidR="00B070BF" w:rsidRPr="00AB16BB" w:rsidRDefault="00B070BF" w:rsidP="00B070BF">
      <w:pPr>
        <w:widowControl w:val="0"/>
        <w:rPr>
          <w:b/>
          <w:sz w:val="20"/>
        </w:rPr>
      </w:pPr>
    </w:p>
    <w:p w:rsidR="00B070BF" w:rsidRPr="00AB16BB" w:rsidRDefault="00B070BF" w:rsidP="00B070BF">
      <w:pPr>
        <w:widowControl w:val="0"/>
        <w:spacing w:before="240" w:after="60"/>
        <w:ind w:left="2835" w:hanging="2835"/>
        <w:outlineLvl w:val="1"/>
        <w:rPr>
          <w:b/>
          <w:iCs/>
          <w:caps/>
          <w:szCs w:val="28"/>
        </w:rPr>
      </w:pPr>
      <w:r w:rsidRPr="00AB16BB">
        <w:rPr>
          <w:b/>
          <w:iCs/>
          <w:color w:val="008000"/>
          <w:szCs w:val="22"/>
        </w:rPr>
        <w:br w:type="page"/>
      </w:r>
      <w:bookmarkStart w:id="16" w:name="_Toc359846788"/>
      <w:bookmarkStart w:id="17" w:name="_Toc359949312"/>
      <w:r w:rsidRPr="00AB16BB">
        <w:rPr>
          <w:b/>
          <w:iCs/>
          <w:szCs w:val="22"/>
        </w:rPr>
        <w:lastRenderedPageBreak/>
        <w:t>PROGRAMA 4</w:t>
      </w:r>
      <w:r w:rsidRPr="00AB16BB">
        <w:rPr>
          <w:b/>
          <w:iCs/>
          <w:szCs w:val="22"/>
        </w:rPr>
        <w:tab/>
        <w:t>CONOCIMIENTOS TRADICIONALES, EXPRESIONES CULTURALES TRADICIONALES Y RECURSOS GENÉTICOS</w:t>
      </w:r>
      <w:bookmarkEnd w:id="16"/>
      <w:bookmarkEnd w:id="17"/>
    </w:p>
    <w:p w:rsidR="00B070BF" w:rsidRDefault="00B070BF" w:rsidP="00B070BF">
      <w:pPr>
        <w:widowControl w:val="0"/>
        <w:rPr>
          <w:sz w:val="18"/>
          <w:szCs w:val="18"/>
        </w:rPr>
      </w:pPr>
    </w:p>
    <w:p w:rsidR="00B070BF" w:rsidRPr="00AB16BB" w:rsidRDefault="00B070BF" w:rsidP="00B070BF">
      <w:pPr>
        <w:widowControl w:val="0"/>
        <w:rPr>
          <w:sz w:val="18"/>
          <w:szCs w:val="18"/>
        </w:rPr>
      </w:pPr>
    </w:p>
    <w:p w:rsidR="00B070BF" w:rsidRPr="00AB16BB" w:rsidRDefault="00B070BF" w:rsidP="00B070BF">
      <w:pPr>
        <w:widowControl w:val="0"/>
        <w:tabs>
          <w:tab w:val="left" w:pos="2268"/>
        </w:tabs>
        <w:rPr>
          <w:b/>
          <w:szCs w:val="22"/>
        </w:rPr>
      </w:pPr>
      <w:r w:rsidRPr="00AB16BB">
        <w:rPr>
          <w:b/>
          <w:szCs w:val="22"/>
        </w:rPr>
        <w:t>Director del Programa</w:t>
      </w:r>
      <w:r w:rsidRPr="00AB16BB">
        <w:rPr>
          <w:b/>
          <w:szCs w:val="22"/>
        </w:rPr>
        <w:tab/>
        <w:t>Sr. J.C. Wichard</w:t>
      </w:r>
    </w:p>
    <w:p w:rsidR="00B070BF" w:rsidRPr="00FF1FB0" w:rsidRDefault="00B070BF" w:rsidP="00B070BF">
      <w:pPr>
        <w:widowControl w:val="0"/>
        <w:jc w:val="both"/>
        <w:rPr>
          <w:szCs w:val="22"/>
        </w:rPr>
      </w:pPr>
    </w:p>
    <w:p w:rsidR="00B070BF" w:rsidRPr="00FF1FB0" w:rsidRDefault="00B070BF" w:rsidP="00B070BF">
      <w:pPr>
        <w:widowControl w:val="0"/>
        <w:jc w:val="both"/>
        <w:rPr>
          <w:szCs w:val="22"/>
        </w:rPr>
      </w:pPr>
    </w:p>
    <w:p w:rsidR="00B070BF" w:rsidRPr="00AB16BB" w:rsidRDefault="00B070BF" w:rsidP="00B070BF">
      <w:pPr>
        <w:widowControl w:val="0"/>
        <w:jc w:val="both"/>
        <w:rPr>
          <w:bCs/>
          <w:szCs w:val="22"/>
        </w:rPr>
      </w:pPr>
      <w:r w:rsidRPr="00AB16BB">
        <w:rPr>
          <w:bCs/>
          <w:sz w:val="20"/>
          <w:szCs w:val="22"/>
        </w:rPr>
        <w:t>RESEÑA DE LOS AVANCES LOGRADOS EN 2012</w:t>
      </w:r>
    </w:p>
    <w:p w:rsidR="00B070BF" w:rsidRPr="00AB16BB" w:rsidRDefault="00B070BF" w:rsidP="00B070BF">
      <w:pPr>
        <w:widowControl w:val="0"/>
        <w:jc w:val="both"/>
        <w:rPr>
          <w:szCs w:val="22"/>
        </w:rPr>
      </w:pPr>
    </w:p>
    <w:p w:rsidR="00B070BF" w:rsidRPr="00AB16BB" w:rsidRDefault="00B070BF" w:rsidP="00B070BF">
      <w:pPr>
        <w:widowControl w:val="0"/>
        <w:numPr>
          <w:ilvl w:val="0"/>
          <w:numId w:val="5"/>
        </w:numPr>
        <w:jc w:val="both"/>
        <w:rPr>
          <w:sz w:val="20"/>
        </w:rPr>
      </w:pPr>
      <w:r w:rsidRPr="00AB16BB">
        <w:rPr>
          <w:bCs/>
          <w:sz w:val="20"/>
        </w:rPr>
        <w:t xml:space="preserve">Durante el año examinado las negociaciones del Comité Intergubernamental sobre Propiedad Intelectual y Recursos Genéticos, Conocimientos Tradicionales y Folclore (CIG) de la OMPI avanzaron con paso firme.  </w:t>
      </w:r>
      <w:r w:rsidRPr="00AB16BB">
        <w:rPr>
          <w:sz w:val="20"/>
        </w:rPr>
        <w:t>En virtud de su nuevo mandato para el bienio, establecido a finales de 2011, el CIG se reunió en tres ocasiones (20ª, 21ª y 22ª sesiones del CIG).  El CIG estableció un programa de trabajo bien definido y unos métodos de trabajo adecuados, y ha conseguido que avancen sus “negociaciones basadas en textos”, tal como se exigía en el mandato.  Tras la tercera sesión (la 22ª), el CIG consiguió desarrollar un texto de negociación único y consolidado sobre los recursos genéticos (RR.GG.) y logró nuevos avances en lo que respecta a los textos sobre los conocimientos tradicionales (CC.TT.) y las expresiones culturales tradicionales (ECT).  De conformidad con el mandato del CIG para el bienio 2012/13, en la Asamblea General de la OMPI celebrada en octubre de 2012 se hizo balance y se analizaron los textos elaborados y los avances logrados, y se alcanzó un acuerdo respecto del programa de trabajo para el año 2013.</w:t>
      </w:r>
    </w:p>
    <w:p w:rsidR="00B070BF" w:rsidRPr="00AB16BB" w:rsidRDefault="00B070BF" w:rsidP="00B070BF">
      <w:pPr>
        <w:widowControl w:val="0"/>
        <w:jc w:val="both"/>
        <w:rPr>
          <w:sz w:val="20"/>
        </w:rPr>
      </w:pPr>
    </w:p>
    <w:p w:rsidR="00B070BF" w:rsidRPr="00AB16BB" w:rsidRDefault="00B070BF" w:rsidP="00B070BF">
      <w:pPr>
        <w:widowControl w:val="0"/>
        <w:numPr>
          <w:ilvl w:val="0"/>
          <w:numId w:val="5"/>
        </w:numPr>
        <w:jc w:val="both"/>
        <w:rPr>
          <w:sz w:val="20"/>
        </w:rPr>
      </w:pPr>
      <w:r w:rsidRPr="00AB16BB">
        <w:rPr>
          <w:sz w:val="20"/>
        </w:rPr>
        <w:t>El CIG debatió asimismo acerca de la participación de los observadores en el Comité, en especial en lo que se refiere a los pueblos indígenas y las comunidades locales.  Se analizó un estudio en el que se recogen varias propuestas a fin de potenciar la contribución positiva de los observadores en el proceso del CIG, así como varias propuestas formuladas por el Grupo de Representantes Indígenas en el CIG.  El CIG respaldó algunas de estas propuestas.  El CIG siguió facilitando, en la medida de lo posible, la participación de los pueblos indígenas y las comunidades locales, por ejemplo a través de la campaña de recaudación de fondos para el Fondo de la OMPI de Contribuciones Voluntarias para las Comunidades Indígenas y Locales Acreditadas, mediante la creación de un “Portal de las comunidades indígenas” en el sitio web de la OMPI y mediante la concesión en 2012 de una beca de la OMPI de investigación sobre cuestiones indígenas.  La Secretaría entabló además un “amplio diálogo” con el Foro Permanente de las Naciones Unidas en mayo de 2012, una excelente ocasión para interactuar con las organizaciones de las comunidades indígenas y locales, entre las que se encuentran organizaciones de importancia vital para la labor que desarrolla la OMPI y, más concretamente, el CIG.  La Secretaría consolidó la buena relación de trabajo que mantiene con el Foro Permanente, el cual formuló diversas recomendaciones constructivas a la OMPI.</w:t>
      </w:r>
    </w:p>
    <w:p w:rsidR="00B070BF" w:rsidRPr="00AB16BB" w:rsidRDefault="00B070BF" w:rsidP="00B070BF">
      <w:pPr>
        <w:widowControl w:val="0"/>
        <w:jc w:val="both"/>
        <w:rPr>
          <w:sz w:val="20"/>
        </w:rPr>
      </w:pPr>
    </w:p>
    <w:p w:rsidR="00B070BF" w:rsidRPr="00AB16BB" w:rsidRDefault="00B070BF" w:rsidP="00B070BF">
      <w:pPr>
        <w:widowControl w:val="0"/>
        <w:numPr>
          <w:ilvl w:val="0"/>
          <w:numId w:val="5"/>
        </w:numPr>
        <w:jc w:val="both"/>
        <w:rPr>
          <w:sz w:val="20"/>
        </w:rPr>
      </w:pPr>
      <w:r w:rsidRPr="00AB16BB">
        <w:rPr>
          <w:sz w:val="20"/>
        </w:rPr>
        <w:t>En 2012 la Secretaría solo respondió de forma positiva a algo más de 45 solicitudes provenientes de Estados miembros, ONG, pueblos indígenas y comunidades locales, asociaciones profesionales y universidades para la celebración de sesiones informativas y otro tipo de exposiciones sobre P.I. y CC.TT., ECT y RR.GG., en Ginebra o en otros emplazamientos.  El número de grandes proyectos o acontecimientos en materia de fortalecimiento de las capacidades o asistencia técnica se redujo al mínimo debido a la magnitud del proceso del CIG y la gran atención que se le ha prestado, y al aplazamiento de al menos un acontecimiento importante hasta 2013.  Cuatro países y organizaciones regionales recibieron asistencia legislativa y política.  La OMPI siguió ofreciéndose a colaborar en calidad de socio técnico en varios proyectos regionales, tales como el marco regional sobre CC.TT., ECT y RR.GG. para el Caribe, el plan de acción sobre CC.TT. para el Pacífico y un proyecto financiado por el Programa de las Naciones Unidas para el Medio Ambiente (PNUMA) y el Fondo para el Medio Ambiente Mundial (FMAM) sobre la aplicación del acceso a los RR.GG. y la participación en los beneficios en varios países de América Latina y el Caribe.  La OMPI, en colaboración con la Secretaría de la Comunidad del Pacífico, prestó asesoramiento en materia de gestión de la P.I. a los organizadores del Festival de Artes del Pacífico de 2012, que tuvo lugar en las Islas Salomón.  Por otra parte, facilitó una serie de publicaciones cortas y accesibles sobre las cuestiones fundamentales y publicó para su consulta un borrador de la Guía de la OMPI para la catalogación de conocimientos tradicionales.  Estas actividades permitieron mejorar la comprensión de estas cuestiones, así como el desarrollo de legislaciones y políticas nacionales y regionales y el hallazgo de soluciones prácticas a escala regional, nacional y de la comunidad, como complemento a la labor normativa del CIG.</w:t>
      </w:r>
    </w:p>
    <w:p w:rsidR="00B070BF" w:rsidRPr="00AB16BB" w:rsidRDefault="00B070BF" w:rsidP="00B070BF">
      <w:pPr>
        <w:widowControl w:val="0"/>
        <w:jc w:val="both"/>
        <w:rPr>
          <w:sz w:val="20"/>
        </w:rPr>
      </w:pPr>
    </w:p>
    <w:p w:rsidR="00B070BF" w:rsidRPr="00AB16BB" w:rsidRDefault="00B070BF" w:rsidP="00B070BF">
      <w:pPr>
        <w:widowControl w:val="0"/>
        <w:numPr>
          <w:ilvl w:val="0"/>
          <w:numId w:val="5"/>
        </w:numPr>
        <w:jc w:val="both"/>
        <w:rPr>
          <w:sz w:val="20"/>
        </w:rPr>
      </w:pPr>
      <w:r w:rsidRPr="00AB16BB">
        <w:rPr>
          <w:sz w:val="20"/>
        </w:rPr>
        <w:t xml:space="preserve">En lo que respecta a la coordinación con las novedades acaecidas en otras instancias, la </w:t>
      </w:r>
      <w:r w:rsidRPr="00AB16BB">
        <w:rPr>
          <w:sz w:val="20"/>
        </w:rPr>
        <w:lastRenderedPageBreak/>
        <w:t>Secretaría de la OMPI participó en calidad de observador en reuniones relacionadas con el Convenio sobre la Diversidad Biológica (CDB) y el Protocolo de Nagoya sobre el acceso a los recursos genéticos y participación justa y equitativa en los beneficios que se deriven de su utilización.  Asimismo, participó en actividades organizadas por la UNESCO, la OMS, la OMC y la Oficina del Alto Comisionado para los Derechos Humanos (OACDH).  Estas actividades sirvieron para potenciar la coordinación y la complementariedad, de conformidad con el mandato del CIG, en el que se establece que las negociaciones del CIG no deben ser incompatibles con la labor que se emprenda en otras instancias.</w:t>
      </w:r>
    </w:p>
    <w:p w:rsidR="00B070BF" w:rsidRDefault="00B070BF" w:rsidP="00B070BF">
      <w:pPr>
        <w:widowControl w:val="0"/>
      </w:pPr>
    </w:p>
    <w:p w:rsidR="00B070BF" w:rsidRPr="00AB16BB" w:rsidRDefault="00B070BF" w:rsidP="00B070BF">
      <w:pPr>
        <w:widowControl w:val="0"/>
      </w:pPr>
    </w:p>
    <w:p w:rsidR="00B070BF" w:rsidRPr="00AB16BB" w:rsidRDefault="00B070BF" w:rsidP="00B070BF">
      <w:pPr>
        <w:widowControl w:val="0"/>
        <w:jc w:val="both"/>
        <w:rPr>
          <w:bCs/>
          <w:szCs w:val="22"/>
        </w:rPr>
      </w:pPr>
      <w:r w:rsidRPr="00AB16BB">
        <w:rPr>
          <w:bCs/>
          <w:sz w:val="20"/>
          <w:szCs w:val="22"/>
        </w:rPr>
        <w:t>APLICACIÓN DE LA AGENDA PARA EL DESARROLLO</w:t>
      </w:r>
    </w:p>
    <w:p w:rsidR="00B070BF" w:rsidRPr="00927FB8" w:rsidRDefault="00B070BF" w:rsidP="00B070BF">
      <w:pPr>
        <w:widowControl w:val="0"/>
        <w:autoSpaceDE w:val="0"/>
        <w:autoSpaceDN w:val="0"/>
        <w:adjustRightInd w:val="0"/>
        <w:rPr>
          <w:bCs/>
          <w:color w:val="000000"/>
          <w:szCs w:val="22"/>
        </w:rPr>
      </w:pPr>
    </w:p>
    <w:p w:rsidR="00B070BF" w:rsidRPr="00AB16BB" w:rsidRDefault="00B070BF" w:rsidP="00B070BF">
      <w:pPr>
        <w:widowControl w:val="0"/>
        <w:numPr>
          <w:ilvl w:val="0"/>
          <w:numId w:val="5"/>
        </w:numPr>
        <w:jc w:val="both"/>
        <w:rPr>
          <w:rFonts w:eastAsia="MS Mincho"/>
          <w:bCs/>
          <w:sz w:val="20"/>
          <w:lang w:eastAsia="ja-JP" w:bidi="th-TH"/>
        </w:rPr>
      </w:pPr>
      <w:r w:rsidRPr="00AB16BB">
        <w:rPr>
          <w:rFonts w:eastAsia="MS Mincho"/>
          <w:bCs/>
          <w:sz w:val="20"/>
          <w:lang w:eastAsia="ja-JP" w:bidi="th-TH"/>
        </w:rPr>
        <w:t>El diseño, la planificación y la ejecución de las actividades del programa se basaron en las recomendaciones pertinentes de la A.D. y se guiaron por ellas.</w:t>
      </w:r>
      <w:r w:rsidRPr="00AB16BB">
        <w:rPr>
          <w:rFonts w:eastAsia="MS Mincho"/>
          <w:bCs/>
          <w:color w:val="FF00FF"/>
          <w:sz w:val="20"/>
          <w:lang w:eastAsia="ja-JP" w:bidi="th-TH"/>
        </w:rPr>
        <w:t xml:space="preserve">  </w:t>
      </w:r>
      <w:r w:rsidRPr="00AB16BB">
        <w:rPr>
          <w:rFonts w:eastAsia="MS Mincho"/>
          <w:bCs/>
          <w:sz w:val="20"/>
          <w:lang w:eastAsia="ja-JP" w:bidi="th-TH"/>
        </w:rPr>
        <w:t>Las actividades normativas del programa dentro del CIG se siguieron caracterizando por ser inclusivas y estar orientadas hacia los miembros (recomendación 15), considerar debidamente los límites, la función y el alcance del “dominio público” (recomendaciones 16 y 20) y tener en cuenta las flexibilidades de los acuerdos internacionales sobre P.I. (recomendación 17).  Las negociaciones del CIG se basaron en consultas abiertas y equilibradas (recomendaciones 21 y 42) y contribuyeron a los objetivos de desarrollo de las Naciones Unidas (recomendación 22).  El objeto de la recomendación 18 de la A.D., en la que se insta al Comité a “agilizar el proceso sobre la protección de RR.GG., CC.TT. y folclore, sin perjuicio de ningún posible resultado, como pueda ser la elaboración de un instrumento o instrumentos de dimensión internacional”, es la conclusión de las negociaciones del CIG.  Las actividades del programa en las esferas de la asistencia técnica, el fortalecimiento de capacidades y la asistencia legislativa estuvieron orientadas a potenciar el desarrollo, obedecieron a la demanda y fueron transparentes (recomendaciones 1 y 13).  La protección de los CC.TT., las ECT y los RR.GG. facilita la incorporación de las cuestiones de desarrollo a las actividades de la OMPI y la comprensión y el uso de las flexibilidades (recomendaciones 12 y 14).  Por lo que se refiere a la participación, la financiación y otros aspectos institucionales, el mecanismo especial de acreditación de ONG del CIG y el Fondo de la OMPI de Contribuciones Voluntarias para las Comunidades Indígenas y Locales Acreditadas contribuyeron a garantizar una amplia participación de la sociedad civil (recomendación 42).</w:t>
      </w:r>
    </w:p>
    <w:p w:rsidR="00B070BF" w:rsidRPr="00AB16BB" w:rsidRDefault="00B070BF" w:rsidP="00B070BF">
      <w:pPr>
        <w:widowControl w:val="0"/>
        <w:rPr>
          <w:rFonts w:eastAsia="MS Mincho"/>
          <w:szCs w:val="22"/>
          <w:lang w:eastAsia="ja-JP" w:bidi="th-TH"/>
        </w:rPr>
      </w:pPr>
    </w:p>
    <w:p w:rsidR="00B070BF" w:rsidRPr="00AB16BB" w:rsidRDefault="00B070BF" w:rsidP="00B070BF">
      <w:pPr>
        <w:widowControl w:val="0"/>
        <w:rPr>
          <w:rFonts w:eastAsia="MS Mincho"/>
          <w:szCs w:val="22"/>
          <w:lang w:eastAsia="ja-JP" w:bidi="th-TH"/>
        </w:rPr>
      </w:pPr>
    </w:p>
    <w:p w:rsidR="00B070BF" w:rsidRPr="0028075A" w:rsidRDefault="00B070BF" w:rsidP="00B070BF">
      <w:pPr>
        <w:widowControl w:val="0"/>
        <w:rPr>
          <w:rFonts w:eastAsia="MS Mincho"/>
          <w:sz w:val="20"/>
          <w:lang w:eastAsia="ja-JP" w:bidi="th-TH"/>
        </w:rPr>
      </w:pPr>
      <w:r w:rsidRPr="0028075A">
        <w:rPr>
          <w:rFonts w:eastAsia="MS Mincho"/>
          <w:sz w:val="20"/>
          <w:lang w:eastAsia="ja-JP" w:bidi="th-TH"/>
        </w:rPr>
        <w:t>DATOS SOBRE EL RENDIMIENTO</w:t>
      </w:r>
    </w:p>
    <w:p w:rsidR="00B070BF" w:rsidRPr="0028075A" w:rsidRDefault="00B070BF" w:rsidP="00B070BF">
      <w:pPr>
        <w:widowControl w:val="0"/>
        <w:rPr>
          <w:rFonts w:eastAsia="MS Mincho"/>
          <w:sz w:val="20"/>
          <w:lang w:eastAsia="ja-JP" w:bidi="th-TH"/>
        </w:rPr>
      </w:pPr>
    </w:p>
    <w:tbl>
      <w:tblPr>
        <w:tblW w:w="5000" w:type="pct"/>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669"/>
        <w:gridCol w:w="1538"/>
        <w:gridCol w:w="1896"/>
        <w:gridCol w:w="3389"/>
        <w:gridCol w:w="1079"/>
      </w:tblGrid>
      <w:tr w:rsidR="00B070BF" w:rsidRPr="00827314" w:rsidTr="00C33D4A">
        <w:trPr>
          <w:cantSplit/>
        </w:trPr>
        <w:tc>
          <w:tcPr>
            <w:tcW w:w="5000" w:type="pct"/>
            <w:gridSpan w:val="5"/>
            <w:tcBorders>
              <w:top w:val="single" w:sz="4" w:space="0" w:color="auto"/>
              <w:left w:val="single" w:sz="4" w:space="0" w:color="auto"/>
              <w:bottom w:val="nil"/>
              <w:right w:val="single" w:sz="4" w:space="0" w:color="auto"/>
            </w:tcBorders>
            <w:shd w:val="clear" w:color="auto" w:fill="CCFFFF"/>
            <w:vAlign w:val="center"/>
          </w:tcPr>
          <w:p w:rsidR="00B070BF" w:rsidRPr="00827314" w:rsidRDefault="00B070BF" w:rsidP="00C33D4A">
            <w:pPr>
              <w:widowControl w:val="0"/>
              <w:tabs>
                <w:tab w:val="left" w:pos="1735"/>
              </w:tabs>
              <w:spacing w:before="120" w:after="120"/>
              <w:ind w:left="1735" w:hanging="1735"/>
              <w:rPr>
                <w:b/>
                <w:bCs/>
                <w:sz w:val="16"/>
                <w:szCs w:val="16"/>
              </w:rPr>
            </w:pPr>
            <w:r w:rsidRPr="00827314">
              <w:rPr>
                <w:b/>
                <w:bCs/>
                <w:sz w:val="16"/>
                <w:szCs w:val="16"/>
              </w:rPr>
              <w:t>Resultado previsto:</w:t>
            </w:r>
            <w:r w:rsidRPr="00827314">
              <w:rPr>
                <w:b/>
                <w:bCs/>
                <w:sz w:val="16"/>
                <w:szCs w:val="16"/>
              </w:rPr>
              <w:tab/>
            </w:r>
            <w:r w:rsidRPr="00827314">
              <w:rPr>
                <w:bCs/>
                <w:sz w:val="16"/>
                <w:szCs w:val="16"/>
              </w:rPr>
              <w:t xml:space="preserve"> Mejor cooperación/mayor consenso entre los Estados miembros en lo que atañe a seguir elaborando marcos normativos y de política equilibrados para el sistema internacional de patentes, marcas, dibujos y modelos industriales, indicaciones geográficas, derechos de autor y derechos conexos CC.TT., ECT y RR.GG.</w:t>
            </w:r>
          </w:p>
        </w:tc>
      </w:tr>
      <w:tr w:rsidR="00B070BF" w:rsidRPr="00827314" w:rsidTr="00C33D4A">
        <w:trPr>
          <w:cantSplit/>
        </w:trPr>
        <w:tc>
          <w:tcPr>
            <w:tcW w:w="874" w:type="pct"/>
            <w:tcBorders>
              <w:top w:val="single" w:sz="4" w:space="0" w:color="auto"/>
              <w:left w:val="single" w:sz="4" w:space="0" w:color="auto"/>
              <w:bottom w:val="nil"/>
            </w:tcBorders>
            <w:shd w:val="clear" w:color="auto" w:fill="auto"/>
            <w:vAlign w:val="center"/>
          </w:tcPr>
          <w:p w:rsidR="00B070BF" w:rsidRPr="00827314" w:rsidRDefault="00B070BF" w:rsidP="00C33D4A">
            <w:pPr>
              <w:widowControl w:val="0"/>
              <w:spacing w:after="120"/>
              <w:rPr>
                <w:sz w:val="16"/>
                <w:szCs w:val="16"/>
              </w:rPr>
            </w:pPr>
            <w:r w:rsidRPr="00827314">
              <w:rPr>
                <w:b/>
                <w:bCs/>
                <w:sz w:val="16"/>
                <w:szCs w:val="16"/>
              </w:rPr>
              <w:t>Indicadores de rendimiento</w:t>
            </w:r>
          </w:p>
        </w:tc>
        <w:tc>
          <w:tcPr>
            <w:tcW w:w="805" w:type="pct"/>
            <w:tcBorders>
              <w:top w:val="single" w:sz="4" w:space="0" w:color="auto"/>
              <w:bottom w:val="nil"/>
            </w:tcBorders>
            <w:shd w:val="clear" w:color="auto" w:fill="C0C0C0"/>
          </w:tcPr>
          <w:p w:rsidR="00B070BF" w:rsidRPr="00827314" w:rsidRDefault="00B070BF" w:rsidP="00C33D4A">
            <w:pPr>
              <w:widowControl w:val="0"/>
              <w:spacing w:after="120"/>
              <w:rPr>
                <w:b/>
                <w:bCs/>
                <w:sz w:val="16"/>
                <w:szCs w:val="16"/>
              </w:rPr>
            </w:pPr>
            <w:r w:rsidRPr="00827314">
              <w:rPr>
                <w:b/>
                <w:bCs/>
                <w:sz w:val="16"/>
                <w:szCs w:val="16"/>
              </w:rPr>
              <w:t>Referencia (</w:t>
            </w:r>
            <w:proofErr w:type="spellStart"/>
            <w:r w:rsidRPr="00827314">
              <w:rPr>
                <w:b/>
                <w:bCs/>
                <w:sz w:val="16"/>
                <w:szCs w:val="16"/>
              </w:rPr>
              <w:t>Presup</w:t>
            </w:r>
            <w:proofErr w:type="spellEnd"/>
            <w:r w:rsidRPr="00827314">
              <w:rPr>
                <w:b/>
                <w:bCs/>
                <w:sz w:val="16"/>
                <w:szCs w:val="16"/>
              </w:rPr>
              <w:t xml:space="preserve">. por </w:t>
            </w:r>
            <w:proofErr w:type="spellStart"/>
            <w:r w:rsidRPr="00827314">
              <w:rPr>
                <w:b/>
                <w:bCs/>
                <w:sz w:val="16"/>
                <w:szCs w:val="16"/>
              </w:rPr>
              <w:t>prog</w:t>
            </w:r>
            <w:proofErr w:type="spellEnd"/>
            <w:r w:rsidRPr="00827314">
              <w:rPr>
                <w:b/>
                <w:bCs/>
                <w:sz w:val="16"/>
                <w:szCs w:val="16"/>
              </w:rPr>
              <w:t>. 2012/13)</w:t>
            </w:r>
          </w:p>
        </w:tc>
        <w:tc>
          <w:tcPr>
            <w:tcW w:w="992" w:type="pct"/>
            <w:tcBorders>
              <w:top w:val="single" w:sz="4" w:space="0" w:color="auto"/>
              <w:bottom w:val="nil"/>
            </w:tcBorders>
            <w:shd w:val="clear" w:color="auto" w:fill="auto"/>
            <w:tcMar>
              <w:top w:w="110" w:type="dxa"/>
            </w:tcMar>
            <w:vAlign w:val="center"/>
          </w:tcPr>
          <w:p w:rsidR="00B070BF" w:rsidRPr="00827314" w:rsidRDefault="00B070BF" w:rsidP="00C33D4A">
            <w:pPr>
              <w:widowControl w:val="0"/>
              <w:spacing w:after="120"/>
              <w:rPr>
                <w:b/>
                <w:sz w:val="16"/>
                <w:szCs w:val="16"/>
              </w:rPr>
            </w:pPr>
            <w:r w:rsidRPr="00BF138D">
              <w:rPr>
                <w:b/>
                <w:color w:val="993300"/>
                <w:sz w:val="16"/>
                <w:szCs w:val="16"/>
              </w:rPr>
              <w:t>Referencia actualizada a finales de 2011</w:t>
            </w:r>
            <w:r w:rsidRPr="00827314">
              <w:rPr>
                <w:b/>
                <w:sz w:val="16"/>
                <w:szCs w:val="16"/>
              </w:rPr>
              <w:t xml:space="preserve"> </w:t>
            </w:r>
          </w:p>
        </w:tc>
        <w:tc>
          <w:tcPr>
            <w:tcW w:w="1772" w:type="pct"/>
            <w:tcBorders>
              <w:top w:val="single" w:sz="4" w:space="0" w:color="auto"/>
              <w:bottom w:val="nil"/>
            </w:tcBorders>
            <w:shd w:val="clear" w:color="auto" w:fill="FFFFFF"/>
            <w:tcMar>
              <w:top w:w="110" w:type="dxa"/>
            </w:tcMar>
            <w:vAlign w:val="center"/>
          </w:tcPr>
          <w:p w:rsidR="00B070BF" w:rsidRPr="00827314" w:rsidRDefault="00B070BF" w:rsidP="00C33D4A">
            <w:pPr>
              <w:widowControl w:val="0"/>
              <w:spacing w:after="120"/>
              <w:rPr>
                <w:sz w:val="16"/>
                <w:szCs w:val="16"/>
              </w:rPr>
            </w:pPr>
            <w:r w:rsidRPr="00827314">
              <w:rPr>
                <w:b/>
                <w:bCs/>
                <w:sz w:val="16"/>
                <w:szCs w:val="16"/>
              </w:rPr>
              <w:t>Datos sobre el rendimiento</w:t>
            </w:r>
          </w:p>
        </w:tc>
        <w:tc>
          <w:tcPr>
            <w:tcW w:w="557" w:type="pct"/>
            <w:tcBorders>
              <w:top w:val="single" w:sz="4" w:space="0" w:color="auto"/>
              <w:bottom w:val="nil"/>
              <w:right w:val="single" w:sz="4" w:space="0" w:color="auto"/>
            </w:tcBorders>
            <w:shd w:val="clear" w:color="auto" w:fill="auto"/>
            <w:tcMar>
              <w:top w:w="110" w:type="dxa"/>
            </w:tcMar>
            <w:vAlign w:val="center"/>
          </w:tcPr>
          <w:p w:rsidR="00B070BF" w:rsidRPr="00827314" w:rsidRDefault="00B070BF" w:rsidP="00C33D4A">
            <w:pPr>
              <w:widowControl w:val="0"/>
              <w:spacing w:after="120"/>
              <w:jc w:val="center"/>
              <w:rPr>
                <w:b/>
                <w:bCs/>
                <w:sz w:val="16"/>
                <w:szCs w:val="16"/>
              </w:rPr>
            </w:pPr>
            <w:r w:rsidRPr="00827314">
              <w:rPr>
                <w:b/>
                <w:bCs/>
                <w:sz w:val="16"/>
                <w:szCs w:val="16"/>
              </w:rPr>
              <w:t>Clave de colores</w:t>
            </w:r>
          </w:p>
        </w:tc>
      </w:tr>
      <w:tr w:rsidR="00B070BF" w:rsidRPr="00827314" w:rsidTr="00C33D4A">
        <w:trPr>
          <w:cantSplit/>
        </w:trPr>
        <w:tc>
          <w:tcPr>
            <w:tcW w:w="874" w:type="pct"/>
            <w:tcBorders>
              <w:top w:val="nil"/>
              <w:left w:val="single" w:sz="4" w:space="0" w:color="auto"/>
              <w:bottom w:val="single" w:sz="4" w:space="0" w:color="auto"/>
            </w:tcBorders>
            <w:shd w:val="clear" w:color="auto" w:fill="auto"/>
          </w:tcPr>
          <w:p w:rsidR="00B070BF" w:rsidRPr="00827314" w:rsidRDefault="00B070BF" w:rsidP="00C33D4A">
            <w:pPr>
              <w:widowControl w:val="0"/>
              <w:rPr>
                <w:sz w:val="16"/>
                <w:szCs w:val="16"/>
              </w:rPr>
            </w:pPr>
            <w:r w:rsidRPr="00827314">
              <w:rPr>
                <w:sz w:val="16"/>
                <w:szCs w:val="16"/>
              </w:rPr>
              <w:t>Progreso en las negociaciones del CIG para la elaboración de uno o varios instrumentos jurídicos internacionales.</w:t>
            </w:r>
          </w:p>
        </w:tc>
        <w:tc>
          <w:tcPr>
            <w:tcW w:w="805" w:type="pct"/>
            <w:tcBorders>
              <w:top w:val="nil"/>
              <w:bottom w:val="single" w:sz="4" w:space="0" w:color="auto"/>
            </w:tcBorders>
            <w:shd w:val="clear" w:color="auto" w:fill="C0C0C0"/>
          </w:tcPr>
          <w:p w:rsidR="00B070BF" w:rsidRPr="00827314" w:rsidRDefault="00B070BF" w:rsidP="00C33D4A">
            <w:pPr>
              <w:widowControl w:val="0"/>
              <w:rPr>
                <w:sz w:val="16"/>
                <w:szCs w:val="16"/>
              </w:rPr>
            </w:pPr>
            <w:r w:rsidRPr="00827314">
              <w:rPr>
                <w:sz w:val="16"/>
                <w:szCs w:val="16"/>
              </w:rPr>
              <w:t>Negociaciones en curso en el marco del mandato del CIG correspondiente a 2010/11.</w:t>
            </w:r>
          </w:p>
        </w:tc>
        <w:tc>
          <w:tcPr>
            <w:tcW w:w="992" w:type="pct"/>
            <w:tcBorders>
              <w:top w:val="nil"/>
              <w:bottom w:val="single" w:sz="4" w:space="0" w:color="auto"/>
            </w:tcBorders>
            <w:shd w:val="clear" w:color="auto" w:fill="auto"/>
            <w:tcMar>
              <w:top w:w="110" w:type="dxa"/>
            </w:tcMar>
          </w:tcPr>
          <w:p w:rsidR="00B070BF" w:rsidRPr="00575660" w:rsidRDefault="00B070BF" w:rsidP="00C33D4A">
            <w:pPr>
              <w:widowControl w:val="0"/>
              <w:rPr>
                <w:b/>
                <w:color w:val="943634"/>
                <w:sz w:val="16"/>
                <w:szCs w:val="16"/>
                <w:lang w:bidi="th-TH"/>
              </w:rPr>
            </w:pPr>
            <w:r w:rsidRPr="00575660">
              <w:rPr>
                <w:b/>
                <w:color w:val="943634"/>
                <w:sz w:val="16"/>
                <w:szCs w:val="16"/>
                <w:lang w:bidi="th-TH"/>
              </w:rPr>
              <w:t xml:space="preserve">El presupuesto por programa para 2012/13, complementado por el mandato del CIG para 2012/13 establecido por la </w:t>
            </w:r>
            <w:r w:rsidRPr="00575660">
              <w:rPr>
                <w:b/>
                <w:color w:val="943634"/>
                <w:sz w:val="16"/>
                <w:szCs w:val="24"/>
                <w:lang w:bidi="th-TH"/>
              </w:rPr>
              <w:t>Asamblea General</w:t>
            </w:r>
            <w:r w:rsidRPr="00575660">
              <w:rPr>
                <w:b/>
                <w:color w:val="943634"/>
                <w:sz w:val="16"/>
                <w:szCs w:val="16"/>
                <w:lang w:bidi="th-TH"/>
              </w:rPr>
              <w:t xml:space="preserve"> de la OMPI en octubre de 2011, y el programa de trabajo del CIG para 2013 determinado por la </w:t>
            </w:r>
            <w:r w:rsidRPr="00575660">
              <w:rPr>
                <w:b/>
                <w:color w:val="943634"/>
                <w:sz w:val="16"/>
                <w:szCs w:val="24"/>
                <w:lang w:bidi="th-TH"/>
              </w:rPr>
              <w:t>Asamblea General</w:t>
            </w:r>
            <w:r w:rsidRPr="00575660">
              <w:rPr>
                <w:b/>
                <w:color w:val="943634"/>
                <w:sz w:val="16"/>
                <w:szCs w:val="16"/>
                <w:lang w:bidi="th-TH"/>
              </w:rPr>
              <w:t xml:space="preserve"> de la OMPI en septiembre de 2012.  </w:t>
            </w:r>
          </w:p>
          <w:p w:rsidR="00B070BF" w:rsidRPr="00827314" w:rsidRDefault="00B070BF" w:rsidP="00C33D4A">
            <w:pPr>
              <w:widowControl w:val="0"/>
              <w:rPr>
                <w:i/>
                <w:sz w:val="16"/>
                <w:szCs w:val="16"/>
              </w:rPr>
            </w:pPr>
          </w:p>
        </w:tc>
        <w:tc>
          <w:tcPr>
            <w:tcW w:w="1772" w:type="pct"/>
            <w:tcBorders>
              <w:top w:val="nil"/>
              <w:bottom w:val="single" w:sz="4" w:space="0" w:color="auto"/>
            </w:tcBorders>
            <w:shd w:val="clear" w:color="auto" w:fill="FFFFFF"/>
            <w:tcMar>
              <w:top w:w="110" w:type="dxa"/>
            </w:tcMar>
          </w:tcPr>
          <w:p w:rsidR="00B070BF" w:rsidRPr="00827314" w:rsidRDefault="00B070BF" w:rsidP="00C33D4A">
            <w:pPr>
              <w:widowControl w:val="0"/>
              <w:rPr>
                <w:sz w:val="16"/>
                <w:szCs w:val="16"/>
                <w:lang w:bidi="th-TH"/>
              </w:rPr>
            </w:pPr>
            <w:r w:rsidRPr="00827314">
              <w:rPr>
                <w:sz w:val="16"/>
                <w:szCs w:val="16"/>
                <w:lang w:bidi="th-TH"/>
              </w:rPr>
              <w:t>Progresos continuos en las negociaciones</w:t>
            </w:r>
          </w:p>
          <w:p w:rsidR="00B070BF" w:rsidRPr="00827314" w:rsidRDefault="00B070BF" w:rsidP="00C33D4A">
            <w:pPr>
              <w:widowControl w:val="0"/>
              <w:rPr>
                <w:sz w:val="16"/>
                <w:szCs w:val="16"/>
                <w:lang w:bidi="th-TH"/>
              </w:rPr>
            </w:pPr>
          </w:p>
          <w:p w:rsidR="00B070BF" w:rsidRPr="00827314" w:rsidRDefault="00B070BF" w:rsidP="00C33D4A">
            <w:pPr>
              <w:widowControl w:val="0"/>
              <w:rPr>
                <w:sz w:val="16"/>
                <w:szCs w:val="16"/>
                <w:lang w:bidi="th-TH"/>
              </w:rPr>
            </w:pPr>
          </w:p>
          <w:p w:rsidR="00B070BF" w:rsidRPr="00827314" w:rsidRDefault="00B070BF" w:rsidP="00C33D4A">
            <w:pPr>
              <w:widowControl w:val="0"/>
              <w:rPr>
                <w:sz w:val="16"/>
                <w:szCs w:val="16"/>
                <w:lang w:bidi="th-TH"/>
              </w:rPr>
            </w:pPr>
          </w:p>
          <w:p w:rsidR="00B070BF" w:rsidRPr="00827314" w:rsidRDefault="00B070BF" w:rsidP="00C33D4A">
            <w:pPr>
              <w:widowControl w:val="0"/>
              <w:rPr>
                <w:sz w:val="16"/>
                <w:szCs w:val="16"/>
                <w:lang w:bidi="th-TH"/>
              </w:rPr>
            </w:pPr>
          </w:p>
          <w:p w:rsidR="00B070BF" w:rsidRPr="00827314" w:rsidRDefault="00B070BF" w:rsidP="00C33D4A">
            <w:pPr>
              <w:widowControl w:val="0"/>
              <w:rPr>
                <w:sz w:val="16"/>
                <w:szCs w:val="16"/>
                <w:lang w:bidi="th-TH"/>
              </w:rPr>
            </w:pPr>
          </w:p>
          <w:p w:rsidR="00B070BF" w:rsidRPr="00827314" w:rsidRDefault="00B070BF" w:rsidP="00C33D4A">
            <w:pPr>
              <w:widowControl w:val="0"/>
              <w:rPr>
                <w:sz w:val="16"/>
                <w:szCs w:val="16"/>
                <w:lang w:bidi="th-TH"/>
              </w:rPr>
            </w:pPr>
          </w:p>
          <w:p w:rsidR="00B070BF" w:rsidRPr="00827314" w:rsidRDefault="00B070BF" w:rsidP="00C33D4A">
            <w:pPr>
              <w:widowControl w:val="0"/>
              <w:rPr>
                <w:sz w:val="16"/>
                <w:szCs w:val="16"/>
              </w:rPr>
            </w:pPr>
          </w:p>
        </w:tc>
        <w:tc>
          <w:tcPr>
            <w:tcW w:w="557" w:type="pct"/>
            <w:tcBorders>
              <w:top w:val="nil"/>
              <w:bottom w:val="single" w:sz="4" w:space="0" w:color="auto"/>
              <w:right w:val="single" w:sz="4" w:space="0" w:color="auto"/>
            </w:tcBorders>
            <w:shd w:val="clear" w:color="auto" w:fill="auto"/>
            <w:tcMar>
              <w:top w:w="110" w:type="dxa"/>
            </w:tcMar>
          </w:tcPr>
          <w:p w:rsidR="00B070BF" w:rsidRPr="00827314" w:rsidRDefault="00B070BF" w:rsidP="00C33D4A">
            <w:pPr>
              <w:widowControl w:val="0"/>
              <w:jc w:val="center"/>
              <w:rPr>
                <w:b/>
                <w:sz w:val="16"/>
                <w:szCs w:val="16"/>
              </w:rPr>
            </w:pPr>
            <w:r w:rsidRPr="009577DE">
              <w:rPr>
                <w:b/>
                <w:color w:val="008000"/>
                <w:sz w:val="16"/>
                <w:szCs w:val="16"/>
              </w:rPr>
              <w:t>Progresa con normalidad</w:t>
            </w:r>
          </w:p>
          <w:p w:rsidR="00B070BF" w:rsidRPr="00827314" w:rsidRDefault="00B070BF" w:rsidP="00C33D4A">
            <w:pPr>
              <w:widowControl w:val="0"/>
              <w:jc w:val="center"/>
              <w:rPr>
                <w:bCs/>
                <w:sz w:val="16"/>
                <w:szCs w:val="16"/>
              </w:rPr>
            </w:pPr>
          </w:p>
          <w:p w:rsidR="00B070BF" w:rsidRPr="00827314" w:rsidRDefault="00B070BF" w:rsidP="00C33D4A">
            <w:pPr>
              <w:widowControl w:val="0"/>
              <w:jc w:val="center"/>
              <w:rPr>
                <w:bCs/>
                <w:sz w:val="16"/>
                <w:szCs w:val="16"/>
              </w:rPr>
            </w:pPr>
          </w:p>
        </w:tc>
      </w:tr>
      <w:tr w:rsidR="00B070BF" w:rsidRPr="00827314" w:rsidTr="00C33D4A">
        <w:trPr>
          <w:cantSplit/>
        </w:trPr>
        <w:tc>
          <w:tcPr>
            <w:tcW w:w="5000" w:type="pct"/>
            <w:gridSpan w:val="5"/>
            <w:tcBorders>
              <w:top w:val="single" w:sz="4" w:space="0" w:color="auto"/>
              <w:left w:val="single" w:sz="4" w:space="0" w:color="auto"/>
              <w:bottom w:val="single" w:sz="4" w:space="0" w:color="auto"/>
              <w:right w:val="single" w:sz="4" w:space="0" w:color="auto"/>
            </w:tcBorders>
            <w:shd w:val="clear" w:color="auto" w:fill="CCFFFF"/>
            <w:vAlign w:val="center"/>
          </w:tcPr>
          <w:p w:rsidR="00B070BF" w:rsidRPr="00827314" w:rsidRDefault="00B070BF" w:rsidP="00C33D4A">
            <w:pPr>
              <w:keepNext/>
              <w:widowControl w:val="0"/>
              <w:tabs>
                <w:tab w:val="left" w:pos="1735"/>
              </w:tabs>
              <w:spacing w:before="120" w:after="120"/>
              <w:ind w:left="1735" w:hanging="1735"/>
              <w:rPr>
                <w:b/>
                <w:bCs/>
                <w:sz w:val="16"/>
                <w:szCs w:val="16"/>
              </w:rPr>
            </w:pPr>
            <w:r w:rsidRPr="00827314">
              <w:rPr>
                <w:b/>
                <w:bCs/>
                <w:sz w:val="16"/>
                <w:szCs w:val="16"/>
              </w:rPr>
              <w:lastRenderedPageBreak/>
              <w:t>Resultado previsto:</w:t>
            </w:r>
            <w:r w:rsidRPr="00827314">
              <w:rPr>
                <w:b/>
                <w:bCs/>
                <w:sz w:val="16"/>
                <w:szCs w:val="16"/>
              </w:rPr>
              <w:tab/>
            </w:r>
            <w:r w:rsidRPr="00827314">
              <w:rPr>
                <w:bCs/>
                <w:sz w:val="16"/>
                <w:szCs w:val="16"/>
              </w:rPr>
              <w:t xml:space="preserve"> Mejora de las capacidades en el ámbito de los recursos humanos para hacer frente al amplio espectro de exigencias que supone la utilización eficaz de la P.I. en aras del desarrollo en los países en desarrollo, PMA y países con economías en transición.</w:t>
            </w:r>
          </w:p>
        </w:tc>
      </w:tr>
      <w:tr w:rsidR="00B070BF" w:rsidRPr="00827314" w:rsidTr="00C33D4A">
        <w:trPr>
          <w:cantSplit/>
        </w:trPr>
        <w:tc>
          <w:tcPr>
            <w:tcW w:w="874" w:type="pct"/>
            <w:tcBorders>
              <w:top w:val="single" w:sz="4" w:space="0" w:color="auto"/>
              <w:left w:val="single" w:sz="4" w:space="0" w:color="auto"/>
              <w:bottom w:val="nil"/>
            </w:tcBorders>
            <w:shd w:val="clear" w:color="auto" w:fill="auto"/>
            <w:vAlign w:val="center"/>
          </w:tcPr>
          <w:p w:rsidR="00B070BF" w:rsidRPr="00827314" w:rsidRDefault="00B070BF" w:rsidP="00C33D4A">
            <w:pPr>
              <w:widowControl w:val="0"/>
              <w:spacing w:after="120"/>
              <w:rPr>
                <w:sz w:val="16"/>
                <w:szCs w:val="16"/>
              </w:rPr>
            </w:pPr>
            <w:r w:rsidRPr="00827314">
              <w:rPr>
                <w:b/>
                <w:bCs/>
                <w:sz w:val="16"/>
                <w:szCs w:val="16"/>
              </w:rPr>
              <w:t>Indicadores de rendimiento</w:t>
            </w:r>
          </w:p>
        </w:tc>
        <w:tc>
          <w:tcPr>
            <w:tcW w:w="805" w:type="pct"/>
            <w:tcBorders>
              <w:top w:val="single" w:sz="4" w:space="0" w:color="auto"/>
              <w:bottom w:val="nil"/>
            </w:tcBorders>
            <w:shd w:val="clear" w:color="auto" w:fill="C0C0C0"/>
          </w:tcPr>
          <w:p w:rsidR="00B070BF" w:rsidRPr="00827314" w:rsidRDefault="00B070BF" w:rsidP="00C33D4A">
            <w:pPr>
              <w:widowControl w:val="0"/>
              <w:spacing w:after="120"/>
              <w:rPr>
                <w:b/>
                <w:bCs/>
                <w:sz w:val="16"/>
                <w:szCs w:val="16"/>
              </w:rPr>
            </w:pPr>
            <w:r w:rsidRPr="00827314">
              <w:rPr>
                <w:b/>
                <w:bCs/>
                <w:sz w:val="16"/>
                <w:szCs w:val="16"/>
              </w:rPr>
              <w:t>Referencia (</w:t>
            </w:r>
            <w:proofErr w:type="spellStart"/>
            <w:r w:rsidRPr="00827314">
              <w:rPr>
                <w:b/>
                <w:bCs/>
                <w:sz w:val="16"/>
                <w:szCs w:val="16"/>
              </w:rPr>
              <w:t>Presup</w:t>
            </w:r>
            <w:proofErr w:type="spellEnd"/>
            <w:r w:rsidRPr="00827314">
              <w:rPr>
                <w:b/>
                <w:bCs/>
                <w:sz w:val="16"/>
                <w:szCs w:val="16"/>
              </w:rPr>
              <w:t xml:space="preserve">. por </w:t>
            </w:r>
            <w:proofErr w:type="spellStart"/>
            <w:r w:rsidRPr="00827314">
              <w:rPr>
                <w:b/>
                <w:bCs/>
                <w:sz w:val="16"/>
                <w:szCs w:val="16"/>
              </w:rPr>
              <w:t>prog</w:t>
            </w:r>
            <w:proofErr w:type="spellEnd"/>
            <w:r w:rsidRPr="00827314">
              <w:rPr>
                <w:b/>
                <w:bCs/>
                <w:sz w:val="16"/>
                <w:szCs w:val="16"/>
              </w:rPr>
              <w:t>. 2012/13)</w:t>
            </w:r>
          </w:p>
        </w:tc>
        <w:tc>
          <w:tcPr>
            <w:tcW w:w="992" w:type="pct"/>
            <w:tcBorders>
              <w:top w:val="single" w:sz="4" w:space="0" w:color="auto"/>
              <w:bottom w:val="nil"/>
            </w:tcBorders>
            <w:shd w:val="clear" w:color="auto" w:fill="auto"/>
            <w:tcMar>
              <w:top w:w="110" w:type="dxa"/>
            </w:tcMar>
            <w:vAlign w:val="center"/>
          </w:tcPr>
          <w:p w:rsidR="00B070BF" w:rsidRPr="00827314" w:rsidRDefault="00B070BF" w:rsidP="00C33D4A">
            <w:pPr>
              <w:widowControl w:val="0"/>
              <w:spacing w:after="120"/>
              <w:rPr>
                <w:b/>
                <w:sz w:val="16"/>
                <w:szCs w:val="16"/>
              </w:rPr>
            </w:pPr>
            <w:r w:rsidRPr="00BF138D">
              <w:rPr>
                <w:b/>
                <w:color w:val="993300"/>
                <w:sz w:val="16"/>
                <w:szCs w:val="16"/>
              </w:rPr>
              <w:t>Referencia actualizada a finales de 2011</w:t>
            </w:r>
          </w:p>
        </w:tc>
        <w:tc>
          <w:tcPr>
            <w:tcW w:w="1772" w:type="pct"/>
            <w:tcBorders>
              <w:top w:val="single" w:sz="4" w:space="0" w:color="auto"/>
              <w:bottom w:val="nil"/>
            </w:tcBorders>
            <w:shd w:val="clear" w:color="auto" w:fill="FFFFFF"/>
            <w:tcMar>
              <w:top w:w="110" w:type="dxa"/>
            </w:tcMar>
            <w:vAlign w:val="center"/>
          </w:tcPr>
          <w:p w:rsidR="00B070BF" w:rsidRPr="00827314" w:rsidRDefault="00B070BF" w:rsidP="00C33D4A">
            <w:pPr>
              <w:widowControl w:val="0"/>
              <w:spacing w:after="120"/>
              <w:rPr>
                <w:sz w:val="16"/>
                <w:szCs w:val="16"/>
              </w:rPr>
            </w:pPr>
            <w:r w:rsidRPr="00827314">
              <w:rPr>
                <w:b/>
                <w:bCs/>
                <w:sz w:val="16"/>
                <w:szCs w:val="16"/>
              </w:rPr>
              <w:t>Datos sobre el rendimiento</w:t>
            </w:r>
          </w:p>
        </w:tc>
        <w:tc>
          <w:tcPr>
            <w:tcW w:w="557" w:type="pct"/>
            <w:tcBorders>
              <w:top w:val="single" w:sz="4" w:space="0" w:color="auto"/>
              <w:bottom w:val="nil"/>
              <w:right w:val="single" w:sz="4" w:space="0" w:color="auto"/>
            </w:tcBorders>
            <w:shd w:val="clear" w:color="auto" w:fill="auto"/>
            <w:tcMar>
              <w:top w:w="110" w:type="dxa"/>
            </w:tcMar>
            <w:vAlign w:val="center"/>
          </w:tcPr>
          <w:p w:rsidR="00B070BF" w:rsidRPr="00827314" w:rsidRDefault="00B070BF" w:rsidP="00C33D4A">
            <w:pPr>
              <w:widowControl w:val="0"/>
              <w:spacing w:after="120"/>
              <w:jc w:val="center"/>
              <w:rPr>
                <w:b/>
                <w:bCs/>
                <w:sz w:val="16"/>
                <w:szCs w:val="16"/>
              </w:rPr>
            </w:pPr>
            <w:r w:rsidRPr="00827314">
              <w:rPr>
                <w:b/>
                <w:bCs/>
                <w:sz w:val="16"/>
                <w:szCs w:val="16"/>
              </w:rPr>
              <w:t>Clave de colores</w:t>
            </w:r>
          </w:p>
        </w:tc>
      </w:tr>
      <w:tr w:rsidR="00B070BF" w:rsidRPr="00827314" w:rsidTr="00C33D4A">
        <w:trPr>
          <w:cantSplit/>
        </w:trPr>
        <w:tc>
          <w:tcPr>
            <w:tcW w:w="874" w:type="pct"/>
            <w:tcBorders>
              <w:top w:val="nil"/>
              <w:left w:val="single" w:sz="4" w:space="0" w:color="auto"/>
              <w:bottom w:val="single" w:sz="4" w:space="0" w:color="auto"/>
            </w:tcBorders>
            <w:shd w:val="clear" w:color="auto" w:fill="FFFFFF"/>
          </w:tcPr>
          <w:p w:rsidR="00B070BF" w:rsidRPr="00827314" w:rsidRDefault="00B070BF" w:rsidP="00C33D4A">
            <w:pPr>
              <w:widowControl w:val="0"/>
              <w:rPr>
                <w:sz w:val="16"/>
                <w:szCs w:val="16"/>
              </w:rPr>
            </w:pPr>
            <w:r w:rsidRPr="00827314">
              <w:rPr>
                <w:sz w:val="16"/>
                <w:szCs w:val="16"/>
              </w:rPr>
              <w:t>Porcentaje de participantes en las actividades de la OMPI de fortalecimiento de las capacidades que manifiestan haber mejorado su capacidad de entender y aplicar los principios, sistemas e instrumentos de P.I. o de protección de los CC.TT. y las ECT, así como la gestión de las relaciones entre la P.I. y los RR.GG.</w:t>
            </w:r>
          </w:p>
          <w:p w:rsidR="00B070BF" w:rsidRPr="00827314" w:rsidRDefault="00B070BF" w:rsidP="00C33D4A">
            <w:pPr>
              <w:widowControl w:val="0"/>
              <w:rPr>
                <w:sz w:val="16"/>
                <w:szCs w:val="16"/>
                <w:lang w:bidi="th-TH"/>
              </w:rPr>
            </w:pPr>
          </w:p>
        </w:tc>
        <w:tc>
          <w:tcPr>
            <w:tcW w:w="805" w:type="pct"/>
            <w:tcBorders>
              <w:top w:val="nil"/>
              <w:bottom w:val="single" w:sz="4" w:space="0" w:color="auto"/>
            </w:tcBorders>
            <w:shd w:val="clear" w:color="auto" w:fill="C0C0C0"/>
          </w:tcPr>
          <w:p w:rsidR="00B070BF" w:rsidRPr="00827314" w:rsidRDefault="00B070BF" w:rsidP="00C33D4A">
            <w:pPr>
              <w:widowControl w:val="0"/>
              <w:rPr>
                <w:sz w:val="16"/>
                <w:szCs w:val="16"/>
                <w:lang w:bidi="th-TH"/>
              </w:rPr>
            </w:pPr>
            <w:r w:rsidRPr="00827314">
              <w:rPr>
                <w:sz w:val="16"/>
                <w:szCs w:val="16"/>
              </w:rPr>
              <w:t>Este indicador de rendimiento se utiliza por primera vez en este programa.</w:t>
            </w:r>
          </w:p>
        </w:tc>
        <w:tc>
          <w:tcPr>
            <w:tcW w:w="992" w:type="pct"/>
            <w:tcBorders>
              <w:top w:val="nil"/>
              <w:bottom w:val="single" w:sz="4" w:space="0" w:color="auto"/>
            </w:tcBorders>
            <w:shd w:val="clear" w:color="auto" w:fill="auto"/>
            <w:tcMar>
              <w:top w:w="110" w:type="dxa"/>
            </w:tcMar>
          </w:tcPr>
          <w:p w:rsidR="00B070BF" w:rsidRPr="00827314" w:rsidRDefault="00B070BF" w:rsidP="00C33D4A">
            <w:pPr>
              <w:widowControl w:val="0"/>
              <w:rPr>
                <w:sz w:val="16"/>
                <w:szCs w:val="16"/>
                <w:lang w:bidi="th-TH"/>
              </w:rPr>
            </w:pPr>
          </w:p>
        </w:tc>
        <w:tc>
          <w:tcPr>
            <w:tcW w:w="1772" w:type="pct"/>
            <w:tcBorders>
              <w:top w:val="nil"/>
              <w:bottom w:val="single" w:sz="4" w:space="0" w:color="auto"/>
            </w:tcBorders>
            <w:shd w:val="clear" w:color="auto" w:fill="FFFFFF"/>
            <w:tcMar>
              <w:top w:w="110" w:type="dxa"/>
            </w:tcMar>
          </w:tcPr>
          <w:p w:rsidR="00B070BF" w:rsidRPr="00827314" w:rsidRDefault="00B070BF" w:rsidP="00C33D4A">
            <w:pPr>
              <w:widowControl w:val="0"/>
              <w:rPr>
                <w:sz w:val="16"/>
                <w:szCs w:val="16"/>
                <w:lang w:bidi="th-TH"/>
              </w:rPr>
            </w:pPr>
            <w:r w:rsidRPr="00827314">
              <w:rPr>
                <w:sz w:val="16"/>
                <w:szCs w:val="16"/>
                <w:lang w:bidi="th-TH"/>
              </w:rPr>
              <w:t>80% (cuestionario de evaluación utilizado en relación con las tres actividades organizadas por la División de Conocimientos Tradicionales).</w:t>
            </w:r>
          </w:p>
          <w:p w:rsidR="00B070BF" w:rsidRPr="00827314" w:rsidRDefault="00B070BF" w:rsidP="00C33D4A">
            <w:pPr>
              <w:widowControl w:val="0"/>
              <w:rPr>
                <w:sz w:val="16"/>
                <w:szCs w:val="16"/>
                <w:lang w:bidi="th-TH"/>
              </w:rPr>
            </w:pPr>
          </w:p>
          <w:p w:rsidR="00B070BF" w:rsidRPr="00827314" w:rsidRDefault="00B070BF" w:rsidP="00C33D4A">
            <w:pPr>
              <w:widowControl w:val="0"/>
              <w:rPr>
                <w:sz w:val="16"/>
                <w:szCs w:val="16"/>
                <w:lang w:bidi="th-TH"/>
              </w:rPr>
            </w:pPr>
          </w:p>
          <w:p w:rsidR="00B070BF" w:rsidRPr="00827314" w:rsidRDefault="00B070BF" w:rsidP="00C33D4A">
            <w:pPr>
              <w:widowControl w:val="0"/>
              <w:rPr>
                <w:sz w:val="16"/>
                <w:szCs w:val="16"/>
                <w:lang w:bidi="th-TH"/>
              </w:rPr>
            </w:pPr>
          </w:p>
          <w:p w:rsidR="00B070BF" w:rsidRPr="00827314" w:rsidRDefault="00B070BF" w:rsidP="00C33D4A">
            <w:pPr>
              <w:widowControl w:val="0"/>
              <w:rPr>
                <w:sz w:val="16"/>
                <w:szCs w:val="16"/>
                <w:lang w:bidi="th-TH"/>
              </w:rPr>
            </w:pPr>
          </w:p>
        </w:tc>
        <w:tc>
          <w:tcPr>
            <w:tcW w:w="557" w:type="pct"/>
            <w:tcBorders>
              <w:top w:val="nil"/>
              <w:bottom w:val="single" w:sz="4" w:space="0" w:color="auto"/>
              <w:right w:val="single" w:sz="4" w:space="0" w:color="auto"/>
            </w:tcBorders>
            <w:shd w:val="clear" w:color="auto" w:fill="auto"/>
            <w:tcMar>
              <w:top w:w="110" w:type="dxa"/>
            </w:tcMar>
          </w:tcPr>
          <w:p w:rsidR="00B070BF" w:rsidRPr="00827314" w:rsidRDefault="00B070BF" w:rsidP="00C33D4A">
            <w:pPr>
              <w:widowControl w:val="0"/>
              <w:jc w:val="center"/>
              <w:rPr>
                <w:b/>
                <w:sz w:val="16"/>
                <w:szCs w:val="16"/>
              </w:rPr>
            </w:pPr>
            <w:r w:rsidRPr="009577DE">
              <w:rPr>
                <w:b/>
                <w:color w:val="008000"/>
                <w:sz w:val="16"/>
                <w:szCs w:val="16"/>
              </w:rPr>
              <w:t>Progresa con normalidad</w:t>
            </w:r>
          </w:p>
          <w:p w:rsidR="00B070BF" w:rsidRPr="00827314" w:rsidRDefault="00B070BF" w:rsidP="00C33D4A">
            <w:pPr>
              <w:widowControl w:val="0"/>
              <w:jc w:val="center"/>
              <w:rPr>
                <w:bCs/>
                <w:sz w:val="16"/>
                <w:szCs w:val="16"/>
              </w:rPr>
            </w:pPr>
          </w:p>
          <w:p w:rsidR="00B070BF" w:rsidRPr="00827314" w:rsidRDefault="00B070BF" w:rsidP="00C33D4A">
            <w:pPr>
              <w:widowControl w:val="0"/>
              <w:jc w:val="center"/>
              <w:rPr>
                <w:bCs/>
                <w:sz w:val="16"/>
                <w:szCs w:val="16"/>
              </w:rPr>
            </w:pPr>
          </w:p>
        </w:tc>
      </w:tr>
      <w:tr w:rsidR="00B070BF" w:rsidRPr="00827314" w:rsidTr="00C33D4A">
        <w:trPr>
          <w:cantSplit/>
        </w:trPr>
        <w:tc>
          <w:tcPr>
            <w:tcW w:w="5000" w:type="pct"/>
            <w:gridSpan w:val="5"/>
            <w:tcBorders>
              <w:top w:val="single" w:sz="4" w:space="0" w:color="auto"/>
              <w:left w:val="single" w:sz="4" w:space="0" w:color="auto"/>
              <w:bottom w:val="single" w:sz="4" w:space="0" w:color="auto"/>
              <w:right w:val="single" w:sz="4" w:space="0" w:color="auto"/>
            </w:tcBorders>
            <w:shd w:val="clear" w:color="auto" w:fill="CCFFFF"/>
            <w:vAlign w:val="center"/>
          </w:tcPr>
          <w:p w:rsidR="00B070BF" w:rsidRPr="00827314" w:rsidRDefault="00B070BF" w:rsidP="00C33D4A">
            <w:pPr>
              <w:keepNext/>
              <w:widowControl w:val="0"/>
              <w:tabs>
                <w:tab w:val="left" w:pos="1735"/>
              </w:tabs>
              <w:spacing w:before="120" w:after="120"/>
              <w:ind w:left="1735" w:hanging="1735"/>
              <w:rPr>
                <w:b/>
                <w:bCs/>
                <w:sz w:val="16"/>
                <w:szCs w:val="16"/>
              </w:rPr>
            </w:pPr>
            <w:r w:rsidRPr="00827314">
              <w:rPr>
                <w:b/>
                <w:bCs/>
                <w:sz w:val="16"/>
                <w:szCs w:val="16"/>
              </w:rPr>
              <w:t>Resultado previsto:</w:t>
            </w:r>
            <w:r w:rsidRPr="00827314">
              <w:rPr>
                <w:b/>
                <w:bCs/>
                <w:sz w:val="16"/>
                <w:szCs w:val="16"/>
              </w:rPr>
              <w:tab/>
            </w:r>
            <w:r w:rsidRPr="00827314">
              <w:rPr>
                <w:bCs/>
                <w:sz w:val="16"/>
                <w:szCs w:val="16"/>
              </w:rPr>
              <w:t xml:space="preserve"> Reconocimiento por los Estados miembros, las comunidades, las organizaciones y otros sectores interesados de la utilidad y eficacia de los recursos, programas e instrumentos de la OMPI.</w:t>
            </w:r>
          </w:p>
        </w:tc>
      </w:tr>
      <w:tr w:rsidR="00B070BF" w:rsidRPr="00827314" w:rsidTr="00C33D4A">
        <w:trPr>
          <w:cantSplit/>
        </w:trPr>
        <w:tc>
          <w:tcPr>
            <w:tcW w:w="874" w:type="pct"/>
            <w:tcBorders>
              <w:top w:val="single" w:sz="4" w:space="0" w:color="auto"/>
              <w:left w:val="single" w:sz="4" w:space="0" w:color="auto"/>
              <w:bottom w:val="nil"/>
            </w:tcBorders>
            <w:shd w:val="clear" w:color="auto" w:fill="auto"/>
            <w:vAlign w:val="center"/>
          </w:tcPr>
          <w:p w:rsidR="00B070BF" w:rsidRPr="00827314" w:rsidRDefault="00B070BF" w:rsidP="00C33D4A">
            <w:pPr>
              <w:keepNext/>
              <w:widowControl w:val="0"/>
              <w:spacing w:after="120"/>
              <w:rPr>
                <w:sz w:val="16"/>
                <w:szCs w:val="16"/>
              </w:rPr>
            </w:pPr>
            <w:r w:rsidRPr="00827314">
              <w:rPr>
                <w:b/>
                <w:bCs/>
                <w:sz w:val="16"/>
                <w:szCs w:val="16"/>
              </w:rPr>
              <w:t>Indicadores de rendimiento</w:t>
            </w:r>
          </w:p>
        </w:tc>
        <w:tc>
          <w:tcPr>
            <w:tcW w:w="805" w:type="pct"/>
            <w:tcBorders>
              <w:top w:val="single" w:sz="4" w:space="0" w:color="auto"/>
              <w:bottom w:val="nil"/>
            </w:tcBorders>
            <w:shd w:val="clear" w:color="auto" w:fill="C0C0C0"/>
          </w:tcPr>
          <w:p w:rsidR="00B070BF" w:rsidRPr="00827314" w:rsidRDefault="00B070BF" w:rsidP="00C33D4A">
            <w:pPr>
              <w:keepNext/>
              <w:widowControl w:val="0"/>
              <w:spacing w:after="120"/>
              <w:rPr>
                <w:b/>
                <w:bCs/>
                <w:sz w:val="16"/>
                <w:szCs w:val="16"/>
              </w:rPr>
            </w:pPr>
            <w:r w:rsidRPr="00827314">
              <w:rPr>
                <w:b/>
                <w:bCs/>
                <w:sz w:val="16"/>
                <w:szCs w:val="16"/>
              </w:rPr>
              <w:t>Referencia (</w:t>
            </w:r>
            <w:proofErr w:type="spellStart"/>
            <w:r w:rsidRPr="00827314">
              <w:rPr>
                <w:b/>
                <w:bCs/>
                <w:sz w:val="16"/>
                <w:szCs w:val="16"/>
              </w:rPr>
              <w:t>Presup</w:t>
            </w:r>
            <w:proofErr w:type="spellEnd"/>
            <w:r w:rsidRPr="00827314">
              <w:rPr>
                <w:b/>
                <w:bCs/>
                <w:sz w:val="16"/>
                <w:szCs w:val="16"/>
              </w:rPr>
              <w:t xml:space="preserve">. por </w:t>
            </w:r>
            <w:proofErr w:type="spellStart"/>
            <w:r w:rsidRPr="00827314">
              <w:rPr>
                <w:b/>
                <w:bCs/>
                <w:sz w:val="16"/>
                <w:szCs w:val="16"/>
              </w:rPr>
              <w:t>prog</w:t>
            </w:r>
            <w:proofErr w:type="spellEnd"/>
            <w:r w:rsidRPr="00827314">
              <w:rPr>
                <w:b/>
                <w:bCs/>
                <w:sz w:val="16"/>
                <w:szCs w:val="16"/>
              </w:rPr>
              <w:t>. 2012/13)</w:t>
            </w:r>
          </w:p>
        </w:tc>
        <w:tc>
          <w:tcPr>
            <w:tcW w:w="992" w:type="pct"/>
            <w:tcBorders>
              <w:top w:val="single" w:sz="4" w:space="0" w:color="auto"/>
              <w:bottom w:val="nil"/>
            </w:tcBorders>
            <w:shd w:val="clear" w:color="auto" w:fill="auto"/>
            <w:tcMar>
              <w:top w:w="110" w:type="dxa"/>
            </w:tcMar>
            <w:vAlign w:val="center"/>
          </w:tcPr>
          <w:p w:rsidR="00B070BF" w:rsidRPr="00827314" w:rsidRDefault="00B070BF" w:rsidP="00C33D4A">
            <w:pPr>
              <w:keepNext/>
              <w:widowControl w:val="0"/>
              <w:spacing w:after="120"/>
              <w:rPr>
                <w:b/>
                <w:sz w:val="16"/>
                <w:szCs w:val="16"/>
              </w:rPr>
            </w:pPr>
            <w:r w:rsidRPr="00BF138D">
              <w:rPr>
                <w:b/>
                <w:color w:val="993300"/>
                <w:sz w:val="16"/>
                <w:szCs w:val="16"/>
              </w:rPr>
              <w:t>Referencia actualizada a finales de 2011</w:t>
            </w:r>
          </w:p>
        </w:tc>
        <w:tc>
          <w:tcPr>
            <w:tcW w:w="1772" w:type="pct"/>
            <w:tcBorders>
              <w:top w:val="single" w:sz="4" w:space="0" w:color="auto"/>
              <w:bottom w:val="nil"/>
            </w:tcBorders>
            <w:shd w:val="clear" w:color="auto" w:fill="FFFFFF"/>
            <w:tcMar>
              <w:top w:w="110" w:type="dxa"/>
            </w:tcMar>
            <w:vAlign w:val="center"/>
          </w:tcPr>
          <w:p w:rsidR="00B070BF" w:rsidRPr="00827314" w:rsidRDefault="00B070BF" w:rsidP="00C33D4A">
            <w:pPr>
              <w:keepNext/>
              <w:widowControl w:val="0"/>
              <w:spacing w:after="120"/>
              <w:rPr>
                <w:sz w:val="16"/>
                <w:szCs w:val="16"/>
              </w:rPr>
            </w:pPr>
            <w:r w:rsidRPr="00827314">
              <w:rPr>
                <w:b/>
                <w:bCs/>
                <w:sz w:val="16"/>
                <w:szCs w:val="16"/>
              </w:rPr>
              <w:t>Datos sobre el rendimiento</w:t>
            </w:r>
          </w:p>
        </w:tc>
        <w:tc>
          <w:tcPr>
            <w:tcW w:w="557" w:type="pct"/>
            <w:tcBorders>
              <w:top w:val="single" w:sz="4" w:space="0" w:color="auto"/>
              <w:bottom w:val="nil"/>
              <w:right w:val="single" w:sz="4" w:space="0" w:color="auto"/>
            </w:tcBorders>
            <w:shd w:val="clear" w:color="auto" w:fill="auto"/>
            <w:tcMar>
              <w:top w:w="110" w:type="dxa"/>
            </w:tcMar>
            <w:vAlign w:val="center"/>
          </w:tcPr>
          <w:p w:rsidR="00B070BF" w:rsidRPr="00827314" w:rsidRDefault="00B070BF" w:rsidP="00C33D4A">
            <w:pPr>
              <w:keepNext/>
              <w:widowControl w:val="0"/>
              <w:spacing w:after="120"/>
              <w:jc w:val="center"/>
              <w:rPr>
                <w:b/>
                <w:bCs/>
                <w:sz w:val="16"/>
                <w:szCs w:val="16"/>
              </w:rPr>
            </w:pPr>
            <w:r w:rsidRPr="00827314">
              <w:rPr>
                <w:b/>
                <w:bCs/>
                <w:sz w:val="16"/>
                <w:szCs w:val="16"/>
              </w:rPr>
              <w:t>Clave de colores</w:t>
            </w:r>
          </w:p>
        </w:tc>
      </w:tr>
      <w:tr w:rsidR="00B070BF" w:rsidRPr="00827314" w:rsidTr="00C33D4A">
        <w:trPr>
          <w:cantSplit/>
        </w:trPr>
        <w:tc>
          <w:tcPr>
            <w:tcW w:w="874" w:type="pct"/>
            <w:tcBorders>
              <w:top w:val="nil"/>
              <w:left w:val="single" w:sz="4" w:space="0" w:color="auto"/>
              <w:bottom w:val="single" w:sz="4" w:space="0" w:color="auto"/>
            </w:tcBorders>
            <w:shd w:val="clear" w:color="auto" w:fill="FFFFFF"/>
          </w:tcPr>
          <w:p w:rsidR="00B070BF" w:rsidRPr="00827314" w:rsidRDefault="00B070BF" w:rsidP="00C33D4A">
            <w:pPr>
              <w:widowControl w:val="0"/>
              <w:rPr>
                <w:sz w:val="16"/>
                <w:szCs w:val="16"/>
                <w:lang w:bidi="th-TH"/>
              </w:rPr>
            </w:pPr>
            <w:r w:rsidRPr="00827314">
              <w:rPr>
                <w:sz w:val="16"/>
                <w:szCs w:val="16"/>
              </w:rPr>
              <w:t xml:space="preserve">Número de solicitudes de asistencia recibidas por la OMPI. </w:t>
            </w:r>
          </w:p>
        </w:tc>
        <w:tc>
          <w:tcPr>
            <w:tcW w:w="805" w:type="pct"/>
            <w:tcBorders>
              <w:top w:val="nil"/>
              <w:bottom w:val="single" w:sz="4" w:space="0" w:color="auto"/>
            </w:tcBorders>
            <w:shd w:val="clear" w:color="auto" w:fill="C0C0C0"/>
          </w:tcPr>
          <w:p w:rsidR="00B070BF" w:rsidRPr="00827314" w:rsidRDefault="00B070BF" w:rsidP="00C33D4A">
            <w:pPr>
              <w:widowControl w:val="0"/>
              <w:rPr>
                <w:sz w:val="16"/>
                <w:szCs w:val="16"/>
                <w:lang w:bidi="th-TH"/>
              </w:rPr>
            </w:pPr>
            <w:r w:rsidRPr="00827314">
              <w:rPr>
                <w:sz w:val="16"/>
                <w:szCs w:val="16"/>
              </w:rPr>
              <w:t>60 (2010/11)</w:t>
            </w:r>
          </w:p>
        </w:tc>
        <w:tc>
          <w:tcPr>
            <w:tcW w:w="992" w:type="pct"/>
            <w:tcBorders>
              <w:top w:val="nil"/>
              <w:bottom w:val="single" w:sz="4" w:space="0" w:color="auto"/>
            </w:tcBorders>
            <w:shd w:val="clear" w:color="auto" w:fill="auto"/>
            <w:tcMar>
              <w:top w:w="110" w:type="dxa"/>
            </w:tcMar>
          </w:tcPr>
          <w:p w:rsidR="00B070BF" w:rsidRPr="00827314" w:rsidRDefault="00B070BF" w:rsidP="00C33D4A">
            <w:pPr>
              <w:widowControl w:val="0"/>
              <w:rPr>
                <w:sz w:val="16"/>
                <w:szCs w:val="16"/>
                <w:lang w:bidi="th-TH"/>
              </w:rPr>
            </w:pPr>
          </w:p>
        </w:tc>
        <w:tc>
          <w:tcPr>
            <w:tcW w:w="1772" w:type="pct"/>
            <w:tcBorders>
              <w:top w:val="nil"/>
              <w:bottom w:val="single" w:sz="4" w:space="0" w:color="auto"/>
            </w:tcBorders>
            <w:shd w:val="clear" w:color="auto" w:fill="FFFFFF"/>
            <w:tcMar>
              <w:top w:w="110" w:type="dxa"/>
            </w:tcMar>
          </w:tcPr>
          <w:p w:rsidR="00B070BF" w:rsidRPr="00827314" w:rsidRDefault="00B070BF" w:rsidP="00C33D4A">
            <w:pPr>
              <w:widowControl w:val="0"/>
              <w:rPr>
                <w:sz w:val="16"/>
                <w:szCs w:val="16"/>
                <w:lang w:bidi="th-TH"/>
              </w:rPr>
            </w:pPr>
            <w:r w:rsidRPr="00827314">
              <w:rPr>
                <w:sz w:val="16"/>
                <w:szCs w:val="16"/>
                <w:lang w:bidi="th-TH"/>
              </w:rPr>
              <w:t xml:space="preserve">50 (incluidas 43 solicitudes de reuniones informativas y presentaciones de carácter general y 7 solicitudes relativas al fortalecimiento de capacidades y la asistencia técnica).  Estas cifras no incluyen las reuniones informativas relativas al CIG o la participación en reuniones de las NN.UU. y otras organizaciones intergubernamentales.  </w:t>
            </w:r>
          </w:p>
          <w:p w:rsidR="00B070BF" w:rsidRPr="00827314" w:rsidRDefault="00B070BF" w:rsidP="00C33D4A">
            <w:pPr>
              <w:widowControl w:val="0"/>
              <w:rPr>
                <w:sz w:val="16"/>
                <w:szCs w:val="16"/>
                <w:lang w:bidi="th-TH"/>
              </w:rPr>
            </w:pPr>
          </w:p>
        </w:tc>
        <w:tc>
          <w:tcPr>
            <w:tcW w:w="557" w:type="pct"/>
            <w:tcBorders>
              <w:top w:val="nil"/>
              <w:bottom w:val="single" w:sz="4" w:space="0" w:color="auto"/>
              <w:right w:val="single" w:sz="4" w:space="0" w:color="auto"/>
            </w:tcBorders>
            <w:shd w:val="clear" w:color="auto" w:fill="auto"/>
            <w:tcMar>
              <w:top w:w="110" w:type="dxa"/>
            </w:tcMar>
          </w:tcPr>
          <w:p w:rsidR="00B070BF" w:rsidRPr="00827314" w:rsidRDefault="00B070BF" w:rsidP="00C33D4A">
            <w:pPr>
              <w:widowControl w:val="0"/>
              <w:jc w:val="center"/>
              <w:rPr>
                <w:bCs/>
                <w:sz w:val="16"/>
                <w:szCs w:val="16"/>
              </w:rPr>
            </w:pPr>
          </w:p>
          <w:p w:rsidR="00B070BF" w:rsidRPr="00827314" w:rsidRDefault="00B070BF" w:rsidP="00C33D4A">
            <w:pPr>
              <w:widowControl w:val="0"/>
              <w:jc w:val="center"/>
              <w:rPr>
                <w:b/>
                <w:sz w:val="16"/>
                <w:szCs w:val="16"/>
              </w:rPr>
            </w:pPr>
            <w:r w:rsidRPr="009577DE">
              <w:rPr>
                <w:b/>
                <w:color w:val="008000"/>
                <w:sz w:val="16"/>
                <w:szCs w:val="16"/>
              </w:rPr>
              <w:t>Progresa con normalidad</w:t>
            </w:r>
          </w:p>
          <w:p w:rsidR="00B070BF" w:rsidRPr="00827314" w:rsidRDefault="00B070BF" w:rsidP="00C33D4A">
            <w:pPr>
              <w:widowControl w:val="0"/>
              <w:jc w:val="center"/>
              <w:rPr>
                <w:bCs/>
                <w:sz w:val="16"/>
                <w:szCs w:val="16"/>
              </w:rPr>
            </w:pPr>
          </w:p>
          <w:p w:rsidR="00B070BF" w:rsidRPr="00827314" w:rsidRDefault="00B070BF" w:rsidP="00C33D4A">
            <w:pPr>
              <w:widowControl w:val="0"/>
              <w:jc w:val="center"/>
              <w:rPr>
                <w:bCs/>
                <w:sz w:val="16"/>
                <w:szCs w:val="16"/>
              </w:rPr>
            </w:pPr>
          </w:p>
          <w:p w:rsidR="00B070BF" w:rsidRPr="00827314" w:rsidRDefault="00B070BF" w:rsidP="00C33D4A">
            <w:pPr>
              <w:widowControl w:val="0"/>
              <w:jc w:val="center"/>
              <w:rPr>
                <w:bCs/>
                <w:sz w:val="16"/>
                <w:szCs w:val="16"/>
              </w:rPr>
            </w:pPr>
          </w:p>
        </w:tc>
      </w:tr>
    </w:tbl>
    <w:p w:rsidR="00B070BF" w:rsidRDefault="00B070BF" w:rsidP="00B070BF">
      <w:pPr>
        <w:widowControl w:val="0"/>
        <w:jc w:val="both"/>
        <w:rPr>
          <w:sz w:val="20"/>
          <w:szCs w:val="22"/>
        </w:rPr>
      </w:pPr>
    </w:p>
    <w:p w:rsidR="00B070BF" w:rsidRDefault="00B070BF" w:rsidP="00B070BF">
      <w:pPr>
        <w:rPr>
          <w:sz w:val="18"/>
          <w:szCs w:val="18"/>
        </w:rPr>
      </w:pPr>
      <w:r>
        <w:rPr>
          <w:sz w:val="18"/>
          <w:szCs w:val="18"/>
        </w:rPr>
        <w:br w:type="page"/>
      </w:r>
    </w:p>
    <w:p w:rsidR="00B070BF" w:rsidRPr="00827314" w:rsidRDefault="00B070BF" w:rsidP="00B070BF">
      <w:pPr>
        <w:widowControl w:val="0"/>
        <w:rPr>
          <w:sz w:val="18"/>
          <w:szCs w:val="18"/>
        </w:rPr>
      </w:pPr>
    </w:p>
    <w:p w:rsidR="00B070BF" w:rsidRPr="00827314" w:rsidRDefault="00B070BF" w:rsidP="00B070BF">
      <w:pPr>
        <w:widowControl w:val="0"/>
        <w:rPr>
          <w:sz w:val="20"/>
          <w:szCs w:val="22"/>
        </w:rPr>
      </w:pPr>
      <w:r w:rsidRPr="00827314">
        <w:rPr>
          <w:sz w:val="20"/>
          <w:szCs w:val="22"/>
        </w:rPr>
        <w:t>PRESUPUESTO Y GASTOS REALES</w:t>
      </w:r>
    </w:p>
    <w:p w:rsidR="00B070BF" w:rsidRPr="0028075A" w:rsidRDefault="00B070BF" w:rsidP="00B070BF">
      <w:pPr>
        <w:widowControl w:val="0"/>
        <w:rPr>
          <w:sz w:val="20"/>
        </w:rPr>
      </w:pPr>
    </w:p>
    <w:p w:rsidR="00B070BF" w:rsidRPr="0028075A" w:rsidRDefault="00B070BF" w:rsidP="00B070BF">
      <w:pPr>
        <w:widowControl w:val="0"/>
        <w:jc w:val="center"/>
        <w:rPr>
          <w:sz w:val="20"/>
        </w:rPr>
      </w:pPr>
      <w:r w:rsidRPr="0028075A">
        <w:rPr>
          <w:sz w:val="20"/>
        </w:rPr>
        <w:t>Presupuesto y gastos reales (por resultado)</w:t>
      </w:r>
    </w:p>
    <w:p w:rsidR="00B070BF" w:rsidRPr="00827314" w:rsidRDefault="00B070BF" w:rsidP="00B070BF">
      <w:pPr>
        <w:widowControl w:val="0"/>
        <w:jc w:val="center"/>
        <w:rPr>
          <w:szCs w:val="22"/>
        </w:rPr>
      </w:pPr>
      <w:r w:rsidRPr="0028075A">
        <w:rPr>
          <w:i/>
          <w:iCs/>
          <w:sz w:val="20"/>
        </w:rPr>
        <w:t>(en miles de francos suizos)</w:t>
      </w:r>
      <w:r w:rsidRPr="0028075A">
        <w:rPr>
          <w:i/>
          <w:iCs/>
          <w:sz w:val="20"/>
        </w:rPr>
        <w:br/>
      </w:r>
      <w:r w:rsidRPr="0028075A">
        <w:rPr>
          <w:i/>
          <w:iCs/>
          <w:sz w:val="20"/>
        </w:rPr>
        <w:br/>
      </w:r>
      <w:r>
        <w:rPr>
          <w:noProof/>
          <w:lang w:val="en-US" w:eastAsia="en-US"/>
        </w:rPr>
        <w:drawing>
          <wp:inline distT="0" distB="0" distL="0" distR="0" wp14:anchorId="2CCDD96F" wp14:editId="701B4BFE">
            <wp:extent cx="5902325" cy="2446020"/>
            <wp:effectExtent l="0" t="0" r="3175" b="0"/>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902325" cy="2446020"/>
                    </a:xfrm>
                    <a:prstGeom prst="rect">
                      <a:avLst/>
                    </a:prstGeom>
                    <a:noFill/>
                    <a:ln>
                      <a:noFill/>
                    </a:ln>
                  </pic:spPr>
                </pic:pic>
              </a:graphicData>
            </a:graphic>
          </wp:inline>
        </w:drawing>
      </w:r>
    </w:p>
    <w:p w:rsidR="00B070BF" w:rsidRPr="0028075A" w:rsidRDefault="00B070BF" w:rsidP="00B070BF">
      <w:pPr>
        <w:widowControl w:val="0"/>
        <w:rPr>
          <w:sz w:val="20"/>
        </w:rPr>
      </w:pPr>
    </w:p>
    <w:p w:rsidR="00B070BF" w:rsidRPr="0028075A" w:rsidRDefault="00B070BF" w:rsidP="00B070BF">
      <w:pPr>
        <w:widowControl w:val="0"/>
        <w:rPr>
          <w:sz w:val="20"/>
        </w:rPr>
      </w:pPr>
    </w:p>
    <w:p w:rsidR="00B070BF" w:rsidRPr="0028075A" w:rsidRDefault="00B070BF" w:rsidP="00B070BF">
      <w:pPr>
        <w:widowControl w:val="0"/>
        <w:jc w:val="center"/>
        <w:rPr>
          <w:sz w:val="20"/>
        </w:rPr>
      </w:pPr>
      <w:r w:rsidRPr="0028075A">
        <w:rPr>
          <w:sz w:val="20"/>
        </w:rPr>
        <w:t>Presupuesto y gastos reales (de personal y no relativos al personal)</w:t>
      </w:r>
    </w:p>
    <w:p w:rsidR="00B070BF" w:rsidRPr="00827314" w:rsidRDefault="00B070BF" w:rsidP="00B070BF">
      <w:pPr>
        <w:widowControl w:val="0"/>
        <w:jc w:val="center"/>
      </w:pPr>
      <w:r w:rsidRPr="0028075A">
        <w:rPr>
          <w:i/>
          <w:sz w:val="20"/>
        </w:rPr>
        <w:t>(en miles de francos suizos)</w:t>
      </w:r>
      <w:r w:rsidRPr="0028075A">
        <w:rPr>
          <w:sz w:val="20"/>
        </w:rPr>
        <w:br/>
      </w:r>
      <w:r w:rsidRPr="0028075A">
        <w:rPr>
          <w:sz w:val="20"/>
        </w:rPr>
        <w:br/>
      </w:r>
      <w:r>
        <w:rPr>
          <w:noProof/>
          <w:lang w:val="en-US" w:eastAsia="en-US"/>
        </w:rPr>
        <w:drawing>
          <wp:inline distT="0" distB="0" distL="0" distR="0" wp14:anchorId="623F32DA" wp14:editId="2D8EBE79">
            <wp:extent cx="5902325" cy="1235075"/>
            <wp:effectExtent l="0" t="0" r="3175" b="3175"/>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902325" cy="1235075"/>
                    </a:xfrm>
                    <a:prstGeom prst="rect">
                      <a:avLst/>
                    </a:prstGeom>
                    <a:noFill/>
                    <a:ln>
                      <a:noFill/>
                    </a:ln>
                  </pic:spPr>
                </pic:pic>
              </a:graphicData>
            </a:graphic>
          </wp:inline>
        </w:drawing>
      </w:r>
    </w:p>
    <w:p w:rsidR="00B070BF" w:rsidRPr="00827314" w:rsidRDefault="00B070BF" w:rsidP="00B070BF">
      <w:pPr>
        <w:widowControl w:val="0"/>
      </w:pPr>
    </w:p>
    <w:p w:rsidR="00B070BF" w:rsidRPr="00927FB8" w:rsidRDefault="00B070BF" w:rsidP="00B070BF">
      <w:pPr>
        <w:widowControl w:val="0"/>
        <w:autoSpaceDE w:val="0"/>
        <w:autoSpaceDN w:val="0"/>
        <w:adjustRightInd w:val="0"/>
        <w:rPr>
          <w:sz w:val="16"/>
          <w:szCs w:val="16"/>
        </w:rPr>
      </w:pPr>
      <w:r w:rsidRPr="00927FB8">
        <w:rPr>
          <w:sz w:val="16"/>
          <w:szCs w:val="16"/>
        </w:rPr>
        <w:t>NOTAS:</w:t>
      </w:r>
    </w:p>
    <w:p w:rsidR="00B070BF" w:rsidRPr="00827314" w:rsidRDefault="00B070BF" w:rsidP="00B070BF">
      <w:pPr>
        <w:widowControl w:val="0"/>
        <w:autoSpaceDE w:val="0"/>
        <w:autoSpaceDN w:val="0"/>
        <w:adjustRightInd w:val="0"/>
        <w:rPr>
          <w:sz w:val="16"/>
          <w:szCs w:val="16"/>
        </w:rPr>
      </w:pPr>
    </w:p>
    <w:p w:rsidR="00B070BF" w:rsidRPr="00827314" w:rsidRDefault="00B070BF" w:rsidP="00B070BF">
      <w:pPr>
        <w:widowControl w:val="0"/>
        <w:autoSpaceDE w:val="0"/>
        <w:autoSpaceDN w:val="0"/>
        <w:adjustRightInd w:val="0"/>
        <w:rPr>
          <w:sz w:val="16"/>
          <w:szCs w:val="16"/>
        </w:rPr>
      </w:pPr>
      <w:r w:rsidRPr="00827314">
        <w:rPr>
          <w:sz w:val="16"/>
          <w:szCs w:val="16"/>
        </w:rPr>
        <w:t>1) El presupuesto después de las transferencias refleja el presupuesto de los programas ajustado después de las transferencias efectuadas en 2012/13 en virtud del artículo 5.5 del Reglamento Financiero.</w:t>
      </w:r>
    </w:p>
    <w:p w:rsidR="00B070BF" w:rsidRPr="00827314" w:rsidRDefault="00B070BF" w:rsidP="00B070BF">
      <w:pPr>
        <w:widowControl w:val="0"/>
        <w:autoSpaceDE w:val="0"/>
        <w:autoSpaceDN w:val="0"/>
        <w:adjustRightInd w:val="0"/>
        <w:rPr>
          <w:sz w:val="16"/>
          <w:szCs w:val="16"/>
        </w:rPr>
      </w:pPr>
    </w:p>
    <w:p w:rsidR="00B070BF" w:rsidRPr="00827314" w:rsidRDefault="00B070BF" w:rsidP="00B070BF">
      <w:pPr>
        <w:widowControl w:val="0"/>
        <w:autoSpaceDE w:val="0"/>
        <w:autoSpaceDN w:val="0"/>
        <w:adjustRightInd w:val="0"/>
        <w:rPr>
          <w:sz w:val="16"/>
          <w:szCs w:val="16"/>
        </w:rPr>
      </w:pPr>
      <w:r w:rsidRPr="00827314">
        <w:rPr>
          <w:sz w:val="16"/>
          <w:szCs w:val="16"/>
        </w:rPr>
        <w:t xml:space="preserve">2) La asignación para el personal del presupuesto de 2012/13 después de las transferencias representa los gastos reales efectuados hasta el 31 de marzo de 2013 y los importes presupuestados para los nueve meses restantes de 2013, sobre la base de costos estándar. </w:t>
      </w:r>
    </w:p>
    <w:p w:rsidR="00B070BF" w:rsidRPr="00827314" w:rsidRDefault="00B070BF" w:rsidP="00B070BF">
      <w:pPr>
        <w:widowControl w:val="0"/>
        <w:autoSpaceDE w:val="0"/>
        <w:autoSpaceDN w:val="0"/>
        <w:adjustRightInd w:val="0"/>
        <w:rPr>
          <w:sz w:val="16"/>
          <w:szCs w:val="16"/>
        </w:rPr>
      </w:pPr>
    </w:p>
    <w:p w:rsidR="00B070BF" w:rsidRPr="00827314" w:rsidRDefault="00B070BF" w:rsidP="00B070BF">
      <w:pPr>
        <w:widowControl w:val="0"/>
        <w:autoSpaceDE w:val="0"/>
        <w:autoSpaceDN w:val="0"/>
        <w:adjustRightInd w:val="0"/>
        <w:rPr>
          <w:sz w:val="16"/>
          <w:szCs w:val="16"/>
        </w:rPr>
      </w:pPr>
      <w:r w:rsidRPr="00827314">
        <w:rPr>
          <w:sz w:val="16"/>
          <w:szCs w:val="16"/>
        </w:rPr>
        <w:t>3) La asignación no relativa al personal del presupuesto de 2012/13 después de las transferencias refleja los ajustes a la baja efectuados para aumentar la eficacia en función de los costos, de conformidad con el compromiso de la Organización de reducir gastos por un importe de 10,2 millones de francos suizos en el bienio 2012/13.</w:t>
      </w:r>
    </w:p>
    <w:p w:rsidR="00B070BF" w:rsidRDefault="00B070BF" w:rsidP="00B070BF">
      <w:pPr>
        <w:widowControl w:val="0"/>
      </w:pPr>
    </w:p>
    <w:p w:rsidR="00B070BF" w:rsidRPr="00827314" w:rsidRDefault="00B070BF" w:rsidP="00B070BF">
      <w:pPr>
        <w:widowControl w:val="0"/>
      </w:pPr>
    </w:p>
    <w:p w:rsidR="00B070BF" w:rsidRPr="00827314" w:rsidRDefault="00B070BF" w:rsidP="00B070BF">
      <w:pPr>
        <w:widowControl w:val="0"/>
        <w:rPr>
          <w:sz w:val="20"/>
          <w:u w:val="single"/>
        </w:rPr>
      </w:pPr>
      <w:r>
        <w:rPr>
          <w:sz w:val="20"/>
        </w:rPr>
        <w:t xml:space="preserve">A.  </w:t>
      </w:r>
      <w:r w:rsidRPr="00827314">
        <w:rPr>
          <w:sz w:val="20"/>
          <w:u w:val="single"/>
        </w:rPr>
        <w:t>Presupuesto 2012/13 después de las transferencias</w:t>
      </w:r>
    </w:p>
    <w:p w:rsidR="00B070BF" w:rsidRPr="00827314" w:rsidRDefault="00B070BF" w:rsidP="00B070BF">
      <w:pPr>
        <w:widowControl w:val="0"/>
        <w:autoSpaceDE w:val="0"/>
        <w:autoSpaceDN w:val="0"/>
        <w:adjustRightInd w:val="0"/>
        <w:rPr>
          <w:sz w:val="20"/>
        </w:rPr>
      </w:pPr>
    </w:p>
    <w:p w:rsidR="00B070BF" w:rsidRPr="00827314" w:rsidRDefault="00B070BF" w:rsidP="00B070BF">
      <w:pPr>
        <w:widowControl w:val="0"/>
        <w:numPr>
          <w:ilvl w:val="0"/>
          <w:numId w:val="5"/>
        </w:numPr>
        <w:jc w:val="both"/>
        <w:rPr>
          <w:rFonts w:eastAsia="Batang"/>
          <w:sz w:val="20"/>
          <w:lang w:eastAsia="ko-KR"/>
        </w:rPr>
      </w:pPr>
      <w:r w:rsidRPr="00827314">
        <w:rPr>
          <w:rFonts w:eastAsia="Batang"/>
          <w:sz w:val="20"/>
          <w:lang w:eastAsia="ko-KR"/>
        </w:rPr>
        <w:t>La disminución del presupuesto después de las transferencias en relación con el resultado I.1 (Elaboración de marcos normativos internacionales equilibrados para la P.I.) refleja una reducción respecto a la asignación de recursos prevista inicialmente para la organización de una conferencia diplomática en el ámbito de la P.I. y los recursos genéticos, los conocimientos tradicionales y el folclore.</w:t>
      </w:r>
    </w:p>
    <w:p w:rsidR="00B070BF" w:rsidRPr="00827314" w:rsidRDefault="00B070BF" w:rsidP="00B070BF">
      <w:pPr>
        <w:widowControl w:val="0"/>
        <w:jc w:val="both"/>
        <w:rPr>
          <w:rFonts w:eastAsia="Batang"/>
          <w:sz w:val="20"/>
          <w:lang w:eastAsia="ko-KR"/>
        </w:rPr>
      </w:pPr>
    </w:p>
    <w:p w:rsidR="00B070BF" w:rsidRPr="00827314" w:rsidRDefault="00B070BF" w:rsidP="00B070BF">
      <w:pPr>
        <w:widowControl w:val="0"/>
        <w:jc w:val="both"/>
        <w:rPr>
          <w:rFonts w:eastAsia="Batang"/>
          <w:sz w:val="20"/>
          <w:u w:val="single"/>
          <w:lang w:eastAsia="ko-KR"/>
        </w:rPr>
      </w:pPr>
      <w:r w:rsidRPr="00827314">
        <w:rPr>
          <w:rFonts w:eastAsia="Batang"/>
          <w:sz w:val="20"/>
          <w:lang w:eastAsia="ko-KR"/>
        </w:rPr>
        <w:t>B.</w:t>
      </w:r>
      <w:r>
        <w:rPr>
          <w:rFonts w:eastAsia="Batang"/>
          <w:sz w:val="20"/>
          <w:lang w:eastAsia="ko-KR"/>
        </w:rPr>
        <w:t xml:space="preserve"> </w:t>
      </w:r>
      <w:r w:rsidRPr="00827314">
        <w:rPr>
          <w:rFonts w:eastAsia="Batang"/>
          <w:sz w:val="20"/>
          <w:lang w:eastAsia="ko-KR"/>
        </w:rPr>
        <w:t xml:space="preserve"> </w:t>
      </w:r>
      <w:r w:rsidRPr="00827314">
        <w:rPr>
          <w:rFonts w:eastAsia="Batang"/>
          <w:sz w:val="20"/>
          <w:u w:val="single"/>
          <w:lang w:eastAsia="ko-KR"/>
        </w:rPr>
        <w:t>Utilización del presupuesto 2012</w:t>
      </w:r>
    </w:p>
    <w:p w:rsidR="00B070BF" w:rsidRPr="00827314" w:rsidRDefault="00B070BF" w:rsidP="00B070BF">
      <w:pPr>
        <w:widowControl w:val="0"/>
        <w:jc w:val="both"/>
        <w:rPr>
          <w:rFonts w:eastAsia="Batang"/>
          <w:sz w:val="20"/>
          <w:lang w:eastAsia="ko-KR"/>
        </w:rPr>
      </w:pPr>
    </w:p>
    <w:p w:rsidR="00B070BF" w:rsidRPr="00827314" w:rsidRDefault="00B070BF" w:rsidP="00B070BF">
      <w:pPr>
        <w:widowControl w:val="0"/>
        <w:numPr>
          <w:ilvl w:val="0"/>
          <w:numId w:val="5"/>
        </w:numPr>
        <w:jc w:val="both"/>
        <w:rPr>
          <w:rFonts w:eastAsia="Batang"/>
          <w:sz w:val="20"/>
          <w:lang w:eastAsia="ko-KR"/>
        </w:rPr>
      </w:pPr>
      <w:r w:rsidRPr="00827314">
        <w:rPr>
          <w:rFonts w:eastAsia="Batang"/>
          <w:sz w:val="20"/>
          <w:lang w:eastAsia="ko-KR"/>
        </w:rPr>
        <w:t>La utilización del presupuesto se mantiene entre el 40% y el 60% en el primer año del bienio y progresa con normalidad.</w:t>
      </w:r>
    </w:p>
    <w:p w:rsidR="00B070BF" w:rsidRPr="00927FB8" w:rsidRDefault="00B070BF" w:rsidP="00B070BF">
      <w:pPr>
        <w:pStyle w:val="Heading2"/>
        <w:tabs>
          <w:tab w:val="left" w:pos="2835"/>
        </w:tabs>
        <w:rPr>
          <w:b/>
          <w:lang w:val="es-ES_tradnl"/>
        </w:rPr>
      </w:pPr>
      <w:bookmarkStart w:id="18" w:name="_Toc359846789"/>
      <w:bookmarkStart w:id="19" w:name="_Toc359949313"/>
      <w:r w:rsidRPr="00927FB8">
        <w:rPr>
          <w:b/>
          <w:lang w:val="es-ES_tradnl"/>
        </w:rPr>
        <w:lastRenderedPageBreak/>
        <w:t xml:space="preserve">PROGRAMA 5 </w:t>
      </w:r>
      <w:r>
        <w:rPr>
          <w:b/>
          <w:lang w:val="es-ES_tradnl"/>
        </w:rPr>
        <w:tab/>
      </w:r>
      <w:r w:rsidRPr="00927FB8">
        <w:rPr>
          <w:b/>
          <w:lang w:val="es-ES_tradnl"/>
        </w:rPr>
        <w:t>SISTEMA DEL PCT</w:t>
      </w:r>
      <w:bookmarkEnd w:id="18"/>
      <w:bookmarkEnd w:id="19"/>
    </w:p>
    <w:p w:rsidR="00B070BF" w:rsidRDefault="00B070BF" w:rsidP="00B070BF">
      <w:pPr>
        <w:widowControl w:val="0"/>
        <w:rPr>
          <w:sz w:val="18"/>
          <w:szCs w:val="18"/>
          <w:lang w:val="es-ES_tradnl"/>
        </w:rPr>
      </w:pPr>
    </w:p>
    <w:p w:rsidR="00B070BF" w:rsidRPr="00AB16BB" w:rsidRDefault="00B070BF" w:rsidP="00B070BF">
      <w:pPr>
        <w:widowControl w:val="0"/>
        <w:rPr>
          <w:sz w:val="18"/>
          <w:szCs w:val="18"/>
          <w:lang w:val="es-ES_tradnl"/>
        </w:rPr>
      </w:pPr>
    </w:p>
    <w:p w:rsidR="00B070BF" w:rsidRPr="00AB16BB" w:rsidRDefault="00B070BF" w:rsidP="00B070BF">
      <w:pPr>
        <w:widowControl w:val="0"/>
        <w:tabs>
          <w:tab w:val="left" w:pos="2268"/>
        </w:tabs>
        <w:rPr>
          <w:b/>
          <w:szCs w:val="22"/>
          <w:lang w:val="es-ES_tradnl"/>
        </w:rPr>
      </w:pPr>
      <w:r w:rsidRPr="00AB16BB">
        <w:rPr>
          <w:b/>
          <w:szCs w:val="22"/>
          <w:lang w:val="es-ES_tradnl"/>
        </w:rPr>
        <w:t xml:space="preserve">Director del Programa </w:t>
      </w:r>
      <w:r>
        <w:rPr>
          <w:b/>
          <w:szCs w:val="22"/>
          <w:lang w:val="es-ES_tradnl"/>
        </w:rPr>
        <w:tab/>
      </w:r>
      <w:r w:rsidRPr="00AB16BB">
        <w:rPr>
          <w:b/>
          <w:szCs w:val="22"/>
          <w:lang w:val="es-ES_tradnl"/>
        </w:rPr>
        <w:t>Sr. J. Pooley</w:t>
      </w:r>
    </w:p>
    <w:p w:rsidR="00B070BF" w:rsidRPr="00AB16BB" w:rsidRDefault="00B070BF" w:rsidP="00B070BF">
      <w:pPr>
        <w:widowControl w:val="0"/>
        <w:rPr>
          <w:sz w:val="20"/>
          <w:lang w:val="es-ES_tradnl"/>
        </w:rPr>
      </w:pPr>
    </w:p>
    <w:p w:rsidR="00B070BF" w:rsidRPr="00AB16BB" w:rsidRDefault="00B070BF" w:rsidP="00B070BF">
      <w:pPr>
        <w:widowControl w:val="0"/>
        <w:rPr>
          <w:bCs/>
          <w:sz w:val="20"/>
          <w:lang w:val="es-ES_tradnl"/>
        </w:rPr>
      </w:pPr>
    </w:p>
    <w:p w:rsidR="00B070BF" w:rsidRPr="00AB16BB" w:rsidRDefault="00B070BF" w:rsidP="00B070BF">
      <w:pPr>
        <w:widowControl w:val="0"/>
        <w:spacing w:line="260" w:lineRule="atLeast"/>
        <w:rPr>
          <w:bCs/>
          <w:szCs w:val="22"/>
          <w:lang w:val="es-ES_tradnl"/>
        </w:rPr>
      </w:pPr>
      <w:r w:rsidRPr="00AB16BB">
        <w:rPr>
          <w:bCs/>
          <w:sz w:val="20"/>
          <w:szCs w:val="22"/>
          <w:lang w:val="es-ES_tradnl"/>
        </w:rPr>
        <w:t>RESEÑA DE LOS AVANCES LOGRADOS EN 2012</w:t>
      </w:r>
    </w:p>
    <w:p w:rsidR="00B070BF" w:rsidRPr="00AB16BB" w:rsidRDefault="00B070BF" w:rsidP="00B070BF">
      <w:pPr>
        <w:widowControl w:val="0"/>
        <w:jc w:val="both"/>
        <w:rPr>
          <w:szCs w:val="22"/>
          <w:lang w:val="es-ES_tradnl"/>
        </w:rPr>
      </w:pPr>
    </w:p>
    <w:p w:rsidR="00B070BF" w:rsidRPr="00AB16BB" w:rsidRDefault="00B070BF" w:rsidP="00B070BF">
      <w:pPr>
        <w:widowControl w:val="0"/>
        <w:numPr>
          <w:ilvl w:val="0"/>
          <w:numId w:val="13"/>
        </w:numPr>
        <w:jc w:val="both"/>
        <w:rPr>
          <w:sz w:val="20"/>
        </w:rPr>
      </w:pPr>
      <w:r w:rsidRPr="00AB16BB">
        <w:rPr>
          <w:sz w:val="20"/>
        </w:rPr>
        <w:t>La Oficina Internacional recibió aproximadamente 196.200 ejemplares en 2012, lo que supone un aumento del 9% en relación con 2011.  El porcentaje de solicitudes presentadas enteramente por medios electrónicos siguió aumentando en 2012, y actualmente constituye el 90,5% de todas las solicitudes que se presentan.  Si bien el inglés sigue siendo, de lejos, el idioma más utilizado en las solicitudes, su importancia se ha reducido en favor del japonés, el chino y el coreano.  El porcentaje de solicitudes PCT presentadas en japonés, chino y coreano ha crecido del 33% en 2011 al 35% en 2012.  El costo medio de tramitación de una solicitud PCT publicada se redujo en un 9% en 2012 en relación con 2011, con una cifra de 680 francos suizos.  Este descenso se explica por el hecho de que en 2012 se publicó un 8,9% más de solicitudes que en 2011, mientras que los costos generales se redujeron ligeramente.  La calidad del examen de los requisitos de forma se incrementó exponencialmente en el primer trimestre de 2012.  Sin embargo, se redujo de nuevo durante los dos trimestres siguientes, principalmente debido al aumento de las demoras en la nueva publicación de las solicitudes PCT y en la transmisión de la notificación de recepción de la solicitud PCT.</w:t>
      </w:r>
    </w:p>
    <w:p w:rsidR="00B070BF" w:rsidRPr="00AB16BB" w:rsidRDefault="00B070BF" w:rsidP="00B070BF">
      <w:pPr>
        <w:widowControl w:val="0"/>
        <w:jc w:val="both"/>
      </w:pPr>
    </w:p>
    <w:p w:rsidR="00B070BF" w:rsidRPr="00AB16BB" w:rsidRDefault="00B070BF" w:rsidP="00B070BF">
      <w:pPr>
        <w:widowControl w:val="0"/>
        <w:numPr>
          <w:ilvl w:val="0"/>
          <w:numId w:val="13"/>
        </w:numPr>
        <w:jc w:val="both"/>
        <w:rPr>
          <w:sz w:val="20"/>
        </w:rPr>
      </w:pPr>
      <w:r w:rsidRPr="00AB16BB">
        <w:rPr>
          <w:sz w:val="20"/>
        </w:rPr>
        <w:t>La Oficina Internacional organizó diversas actividades de cooperación diseñadas a medida con los Estados miembros del PCT, las oficinas y Administraciones internacionales, así como con los países interesados en adherirse al PCT.  Las actividades incluían, entre otras, la formación del personal y cuestiones técnicas, jurídicas, operativas y administrativas para garantizar una aplicación más adecuada del PCT y promover su uso, tanto en el ámbito nacional como regional.  En 2012, se celebraron unos 47 seminarios y talleres en 28 países que contaron con la participación de oficinas, administraciones, universidades, institutos de investigación y otras partes interesadas pertenecientes a 62 países y  organizaciones regionales.  Estas actividades se destinaron particularmente a las oficinas de los países en desarrollo y de los PMA.  Se continuó fomentando el intercambio electrónico de documentos y datos entre la Oficina Internacional y las oficinas, lo que supuso que en 2012 el 92% de los documentos que remitieron las oficinas a la Oficina Internacional estuvieran en formato electrónico.  Las informaciones sobre las actividades de asistencia técnica relativas al PCT en el bienio 2010/11 se presentaron al Grupo de Trabajo del PCT en 2012.  Asimismo, la Oficina Internacional continuó recabando de forma sistemática los comentarios de los Estados miembros del PCT, las oficinas y las Administraciones internacionales para evaluar los resultados y mejorar estas actividades de cooperación en el futuro.</w:t>
      </w:r>
    </w:p>
    <w:p w:rsidR="00B070BF" w:rsidRPr="00AB16BB" w:rsidRDefault="00B070BF" w:rsidP="00B070BF">
      <w:pPr>
        <w:widowControl w:val="0"/>
        <w:autoSpaceDE w:val="0"/>
        <w:autoSpaceDN w:val="0"/>
        <w:adjustRightInd w:val="0"/>
        <w:jc w:val="both"/>
        <w:rPr>
          <w:sz w:val="20"/>
        </w:rPr>
      </w:pPr>
    </w:p>
    <w:p w:rsidR="00B070BF" w:rsidRPr="00AB16BB" w:rsidRDefault="00B070BF" w:rsidP="00B070BF">
      <w:pPr>
        <w:widowControl w:val="0"/>
        <w:numPr>
          <w:ilvl w:val="0"/>
          <w:numId w:val="13"/>
        </w:numPr>
        <w:jc w:val="both"/>
        <w:rPr>
          <w:sz w:val="20"/>
        </w:rPr>
      </w:pPr>
      <w:r w:rsidRPr="00AB16BB">
        <w:rPr>
          <w:sz w:val="20"/>
        </w:rPr>
        <w:t xml:space="preserve">En 2012, se logró una mayor sensibilización sobre la importancia del PCT entre usuarios actuales y potenciales mediante diversos medios (67 seminarios y talleres, 39 presentaciones, 15 seminarios en Internet y la asistencia del PCT a dos ferias).  Además,  la Oficina Internacional entró en contacto con investigadores, conferenciantes e inventores de ciertas universidades e institutos técnicos, respondió a 12.584 consultas y  trató 1.279 casos especiales, incluidas 87 solicitudes para restaurar la reivindicación de la prioridad por parte de las oficinas receptoras de la Oficina Internacional.  Unos 4.572 estudiantes procedentes de 148 países se inscribieron en el curso de enseñanza a distancia de introducción del PCT (disponible en 10 idiomas).  En cuanto a la difusión de información relativa al PCT, se publicaron 11 números del boletín </w:t>
      </w:r>
      <w:r w:rsidRPr="00AB16BB">
        <w:rPr>
          <w:i/>
          <w:sz w:val="20"/>
        </w:rPr>
        <w:t xml:space="preserve">PCT </w:t>
      </w:r>
      <w:proofErr w:type="spellStart"/>
      <w:r w:rsidRPr="00AB16BB">
        <w:rPr>
          <w:i/>
          <w:sz w:val="20"/>
        </w:rPr>
        <w:t>Newsletter</w:t>
      </w:r>
      <w:proofErr w:type="spellEnd"/>
      <w:r w:rsidRPr="00AB16BB">
        <w:rPr>
          <w:sz w:val="20"/>
        </w:rPr>
        <w:t xml:space="preserve">, 48 números de </w:t>
      </w:r>
      <w:proofErr w:type="spellStart"/>
      <w:r w:rsidRPr="00AB16BB">
        <w:rPr>
          <w:i/>
          <w:sz w:val="20"/>
        </w:rPr>
        <w:t>Official</w:t>
      </w:r>
      <w:proofErr w:type="spellEnd"/>
      <w:r w:rsidRPr="00AB16BB">
        <w:rPr>
          <w:i/>
          <w:sz w:val="20"/>
        </w:rPr>
        <w:t xml:space="preserve"> </w:t>
      </w:r>
      <w:proofErr w:type="spellStart"/>
      <w:r w:rsidRPr="00AB16BB">
        <w:rPr>
          <w:i/>
          <w:sz w:val="20"/>
        </w:rPr>
        <w:t>Notices</w:t>
      </w:r>
      <w:proofErr w:type="spellEnd"/>
      <w:r w:rsidRPr="00AB16BB">
        <w:rPr>
          <w:i/>
          <w:sz w:val="20"/>
        </w:rPr>
        <w:t xml:space="preserve"> (PCT </w:t>
      </w:r>
      <w:proofErr w:type="spellStart"/>
      <w:r w:rsidRPr="00AB16BB">
        <w:rPr>
          <w:i/>
          <w:sz w:val="20"/>
        </w:rPr>
        <w:t>Gazette</w:t>
      </w:r>
      <w:proofErr w:type="spellEnd"/>
      <w:r w:rsidRPr="00AB16BB">
        <w:rPr>
          <w:i/>
          <w:sz w:val="20"/>
        </w:rPr>
        <w:t>)</w:t>
      </w:r>
      <w:r w:rsidRPr="00AB16BB">
        <w:rPr>
          <w:sz w:val="20"/>
        </w:rPr>
        <w:t>,  73 modificaciones a la Guía para el solicitante del PCT, así como versiones actualizadas del Reglamento del PCT, de las Instrucciones Administrativas del PCT, de las Directrices para las Oficinas receptoras, de las Directrices de búsqueda internacional y de examen preliminar del PCT y de los acuerdos suscritos con las Administraciones encargadas de la búsqueda internacional y del examen preliminar.</w:t>
      </w:r>
    </w:p>
    <w:p w:rsidR="00B070BF" w:rsidRPr="00AB16BB" w:rsidRDefault="00B070BF" w:rsidP="00B070BF">
      <w:pPr>
        <w:widowControl w:val="0"/>
        <w:jc w:val="both"/>
        <w:rPr>
          <w:sz w:val="20"/>
        </w:rPr>
      </w:pPr>
    </w:p>
    <w:p w:rsidR="00B070BF" w:rsidRPr="00AB16BB" w:rsidRDefault="00B070BF" w:rsidP="00B070BF">
      <w:pPr>
        <w:widowControl w:val="0"/>
        <w:numPr>
          <w:ilvl w:val="0"/>
          <w:numId w:val="13"/>
        </w:numPr>
        <w:jc w:val="both"/>
        <w:rPr>
          <w:sz w:val="20"/>
        </w:rPr>
      </w:pPr>
      <w:r w:rsidRPr="00AB16BB">
        <w:rPr>
          <w:sz w:val="20"/>
        </w:rPr>
        <w:t xml:space="preserve">En 2010, el Grupo de Trabajo del PCT respaldó las recomendaciones para mejorar el PCT (“la hoja de ruta del PCT”).  Aunque la hoja de ruta del PCT incluía algunas medidas concretas,  el objetivo principal consistía en analizar de qué manera el Tratado estaba proporcionando beneficios a todas las partes interesadas, a saber, los solicitantes, las oficinas nacionales y el público en general;  así como alentar a los usuarios a hacer un mejor uso del sistema con el fin de mejorar los resultados.  Para ello, sería necesario adoptar medidas administrativas y técnicas y no necesariamente modificaciones al Reglamento.  La hoja de ruta del PCT “Progresa con normalidad” y se han realizado avances significativos en los siguientes aspectos:  a) ahora la agenda del PCT presenta principalmente productos de calidad que incluyen los informes de búsqueda internacional, las opiniones escritas; así como una </w:t>
      </w:r>
      <w:r w:rsidRPr="00AB16BB">
        <w:rPr>
          <w:sz w:val="20"/>
        </w:rPr>
        <w:lastRenderedPageBreak/>
        <w:t>mejor administración en la Oficina Internacional y las oficinas nacionales;  b) como resultado del debate entre las partes interesadas a escala nacional, se ha reconocido la utilidad de los productos de gran calidad del PCT;  así como la importancia del PCT para el funcionamiento del sistema internacional de patentes;  c) las partes interesadas han comprendido mejor la función que desempeña el PCT en la difusión eficaz de información técnica;  y c) existe una mayor comprensión de la necesidad que tienen los Estados contratantes de solicitudes internacionales de productos PCT de gran calidad, de la capacidad de los Estados contratantes para realizar sus propias búsquedas y exámenes de manera eficaz;  así como las necesidades de asistencia técnica permanente de los países en desarrollo y los menos adelantados en esta materia.</w:t>
      </w:r>
    </w:p>
    <w:p w:rsidR="00B070BF" w:rsidRPr="00AB16BB" w:rsidRDefault="00B070BF" w:rsidP="00B070BF">
      <w:pPr>
        <w:widowControl w:val="0"/>
        <w:jc w:val="both"/>
        <w:rPr>
          <w:bCs/>
          <w:sz w:val="20"/>
        </w:rPr>
      </w:pPr>
    </w:p>
    <w:p w:rsidR="00B070BF" w:rsidRPr="00AB16BB" w:rsidRDefault="00B070BF" w:rsidP="00B070BF">
      <w:pPr>
        <w:widowControl w:val="0"/>
        <w:jc w:val="both"/>
        <w:rPr>
          <w:bCs/>
          <w:szCs w:val="22"/>
        </w:rPr>
      </w:pPr>
    </w:p>
    <w:p w:rsidR="00B070BF" w:rsidRPr="00AB16BB" w:rsidRDefault="00B070BF" w:rsidP="00B070BF">
      <w:pPr>
        <w:widowControl w:val="0"/>
        <w:jc w:val="both"/>
        <w:rPr>
          <w:bCs/>
          <w:szCs w:val="22"/>
          <w:lang w:val="es-ES_tradnl"/>
        </w:rPr>
      </w:pPr>
      <w:r w:rsidRPr="00AB16BB">
        <w:rPr>
          <w:bCs/>
          <w:sz w:val="20"/>
          <w:szCs w:val="22"/>
          <w:lang w:val="es-ES_tradnl"/>
        </w:rPr>
        <w:t xml:space="preserve">APLICACIÓN DE LA AGENDA PARA EL DESARROLLO </w:t>
      </w:r>
    </w:p>
    <w:p w:rsidR="00B070BF" w:rsidRPr="00AB16BB" w:rsidRDefault="00B070BF" w:rsidP="00B070BF">
      <w:pPr>
        <w:widowControl w:val="0"/>
        <w:autoSpaceDE w:val="0"/>
        <w:autoSpaceDN w:val="0"/>
        <w:adjustRightInd w:val="0"/>
        <w:rPr>
          <w:b/>
          <w:bCs/>
          <w:color w:val="000000"/>
          <w:szCs w:val="22"/>
          <w:lang w:val="es-ES_tradnl"/>
        </w:rPr>
      </w:pPr>
    </w:p>
    <w:p w:rsidR="00B070BF" w:rsidRPr="00AB16BB" w:rsidRDefault="00B070BF" w:rsidP="00B070BF">
      <w:pPr>
        <w:widowControl w:val="0"/>
        <w:numPr>
          <w:ilvl w:val="0"/>
          <w:numId w:val="13"/>
        </w:numPr>
        <w:jc w:val="both"/>
        <w:rPr>
          <w:sz w:val="20"/>
          <w:lang w:eastAsia="ja-JP" w:bidi="th-TH"/>
        </w:rPr>
      </w:pPr>
      <w:r w:rsidRPr="00AB16BB">
        <w:rPr>
          <w:sz w:val="20"/>
          <w:lang w:val="es-ES_tradnl" w:eastAsia="ja-JP" w:bidi="th-TH"/>
        </w:rPr>
        <w:t xml:space="preserve">Una parte importante del trabajo del programa consiste en la promoción del sistema del PCT y el desarrollo de la cooperación y asistencia técnicas a los países en desarrollo y a los PMA.  </w:t>
      </w:r>
      <w:r w:rsidRPr="00AB16BB">
        <w:rPr>
          <w:sz w:val="20"/>
        </w:rPr>
        <w:t xml:space="preserve">Las </w:t>
      </w:r>
      <w:r w:rsidRPr="00AB16BB">
        <w:rPr>
          <w:sz w:val="20"/>
          <w:lang w:eastAsia="ja-JP" w:bidi="th-TH"/>
        </w:rPr>
        <w:t>actividades de formación y fortalecimiento de las capacidades se realizan con el fin de asistir a los Estados miembros en el fortalecimiento de la capacidad nacional para la protección de la creatividad y la innovación nacional, en consonancia con la Agenda para el Desarrollo (recomendación 11).  Las actividades están basadas en la demanda, orientadas al desarrollo y son transparentes (recomendación 1), ya que se conciben en coordinación con organizadores locales teniendo en cuenta el grado de sensibilización o el conocimiento técnico sobre el PCT y las competencias de los participantes en relación con el PCT.  Estas actividades contribuyen a fortalecer la capacidad de los Estados miembros del PCT para proteger las invenciones a través del PCT mejorando los conocimientos y las competencias locales para la utilización del sistema del PCT.</w:t>
      </w:r>
    </w:p>
    <w:p w:rsidR="00B070BF" w:rsidRPr="00AB16BB" w:rsidRDefault="00B070BF" w:rsidP="00B070BF">
      <w:pPr>
        <w:widowControl w:val="0"/>
        <w:jc w:val="both"/>
        <w:rPr>
          <w:rFonts w:eastAsia="MS Mincho"/>
          <w:sz w:val="20"/>
          <w:lang w:eastAsia="ja-JP" w:bidi="th-TH"/>
        </w:rPr>
      </w:pPr>
    </w:p>
    <w:p w:rsidR="00B070BF" w:rsidRPr="00AB16BB" w:rsidRDefault="00B070BF" w:rsidP="00B070BF">
      <w:pPr>
        <w:widowControl w:val="0"/>
        <w:numPr>
          <w:ilvl w:val="0"/>
          <w:numId w:val="13"/>
        </w:numPr>
        <w:jc w:val="both"/>
        <w:rPr>
          <w:sz w:val="20"/>
        </w:rPr>
      </w:pPr>
      <w:r w:rsidRPr="00AB16BB">
        <w:rPr>
          <w:sz w:val="20"/>
        </w:rPr>
        <w:t>Asimismo, durante su quinta sesión (29 de mayo al 1 de junio de 2012) el Grupo de Trabajo del PCT tomó nota de un informe presentado por la Oficina Internacional sobre la marcha de la puesta en práctica de las recomendaciones para mejorar el funcionamiento del PCT que fueron respaldadas por el Grupo de Trabajo durante su tercera sesión.  Dichas recomendaciones se relacionan con la forma de proceder para que el futuro desarrollo del PCT se ajuste a las recomendaciones pertinentes de la Agenda para el Desarrollo y especialmente, a las categorías A y C.  El objetivo principal de estas mejoras que debían ser emprendidas por la Secretaría, los solicitantes, los Estados Contratantes y las oficinas nacionales (desempeñando sus funciones a escala nacional e internacional) consistía en dotar de mayor eficacia al Sistema del PCT, tanto en la tramitación de las solicitudes de patente como en el respaldo de la transferencia de tecnología y la asistencia técnica a los países en desarrollo.  Asimismo, el Grupo de Trabajo tomó nota de un estudio preparado por la Oficina Internacional sobre la coordinación de la asistencia técnica y la financiación de los proyectos de asistencia técnica para los países en desarrollo en el marco del artículo 51 del PCT.  También tomó nota del contenido de un estudio en el que se evalúan los resultados del sistema del PCT en cuanto a la consecución del objetivo de difundir información técnica y facilitar el acceso a la tecnología y organizar la asistencia técnica para los países en desarrollo.</w:t>
      </w:r>
    </w:p>
    <w:p w:rsidR="00B070BF" w:rsidRPr="00AB16BB" w:rsidRDefault="00B070BF" w:rsidP="00B070BF">
      <w:pPr>
        <w:widowControl w:val="0"/>
        <w:rPr>
          <w:rFonts w:eastAsia="MS Mincho"/>
          <w:sz w:val="20"/>
          <w:lang w:eastAsia="ja-JP" w:bidi="th-TH"/>
        </w:rPr>
      </w:pPr>
    </w:p>
    <w:p w:rsidR="00B070BF" w:rsidRPr="00AB16BB" w:rsidRDefault="00B070BF" w:rsidP="00B070BF">
      <w:pPr>
        <w:widowControl w:val="0"/>
        <w:rPr>
          <w:rFonts w:eastAsia="MS Mincho"/>
          <w:sz w:val="20"/>
          <w:lang w:eastAsia="ja-JP" w:bidi="th-TH"/>
        </w:rPr>
      </w:pPr>
    </w:p>
    <w:p w:rsidR="00B070BF" w:rsidRDefault="00B070BF" w:rsidP="00B070BF">
      <w:pPr>
        <w:widowControl w:val="0"/>
        <w:rPr>
          <w:rFonts w:eastAsia="MS Mincho"/>
          <w:sz w:val="20"/>
          <w:lang w:eastAsia="ja-JP" w:bidi="th-TH"/>
        </w:rPr>
      </w:pPr>
      <w:r w:rsidRPr="00927FB8">
        <w:rPr>
          <w:rFonts w:eastAsia="MS Mincho"/>
          <w:sz w:val="20"/>
          <w:lang w:eastAsia="ja-JP" w:bidi="th-TH"/>
        </w:rPr>
        <w:t>DATOS SOBRE EL RENDIMIENTO</w:t>
      </w:r>
    </w:p>
    <w:p w:rsidR="00B070BF" w:rsidRPr="00927FB8" w:rsidRDefault="00B070BF" w:rsidP="00B070BF">
      <w:pPr>
        <w:widowControl w:val="0"/>
        <w:rPr>
          <w:rFonts w:eastAsia="MS Mincho"/>
          <w:sz w:val="20"/>
          <w:lang w:eastAsia="ja-JP" w:bidi="th-TH"/>
        </w:rPr>
      </w:pPr>
    </w:p>
    <w:tbl>
      <w:tblPr>
        <w:tblW w:w="5000" w:type="pct"/>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670"/>
        <w:gridCol w:w="1538"/>
        <w:gridCol w:w="1750"/>
        <w:gridCol w:w="3534"/>
        <w:gridCol w:w="1079"/>
      </w:tblGrid>
      <w:tr w:rsidR="00B070BF" w:rsidRPr="00827314" w:rsidTr="00C33D4A">
        <w:tc>
          <w:tcPr>
            <w:tcW w:w="5000" w:type="pct"/>
            <w:gridSpan w:val="5"/>
            <w:tcBorders>
              <w:top w:val="single" w:sz="4" w:space="0" w:color="auto"/>
              <w:bottom w:val="single" w:sz="4" w:space="0" w:color="auto"/>
            </w:tcBorders>
            <w:shd w:val="clear" w:color="auto" w:fill="CCFFFF"/>
            <w:vAlign w:val="center"/>
          </w:tcPr>
          <w:p w:rsidR="00B070BF" w:rsidRPr="00827314" w:rsidRDefault="00B070BF" w:rsidP="00C33D4A">
            <w:pPr>
              <w:widowControl w:val="0"/>
              <w:tabs>
                <w:tab w:val="left" w:pos="1735"/>
              </w:tabs>
              <w:spacing w:before="120" w:after="120"/>
              <w:ind w:left="1735" w:hanging="1735"/>
              <w:rPr>
                <w:b/>
                <w:bCs/>
                <w:sz w:val="16"/>
                <w:szCs w:val="16"/>
              </w:rPr>
            </w:pPr>
            <w:r w:rsidRPr="00827314">
              <w:rPr>
                <w:b/>
                <w:bCs/>
                <w:sz w:val="16"/>
                <w:szCs w:val="16"/>
              </w:rPr>
              <w:t>Resultado previsto:</w:t>
            </w:r>
            <w:r w:rsidRPr="00827314">
              <w:rPr>
                <w:b/>
                <w:bCs/>
                <w:sz w:val="16"/>
                <w:szCs w:val="16"/>
              </w:rPr>
              <w:tab/>
            </w:r>
            <w:r w:rsidRPr="00827314">
              <w:rPr>
                <w:bCs/>
                <w:sz w:val="16"/>
                <w:szCs w:val="16"/>
              </w:rPr>
              <w:t xml:space="preserve"> Utilización estratégica del PCT, con conocimiento de causa, por todos los innovadores que puedan aprovecharlo.</w:t>
            </w:r>
          </w:p>
        </w:tc>
      </w:tr>
      <w:tr w:rsidR="00B070BF" w:rsidRPr="00827314" w:rsidTr="00C33D4A">
        <w:tc>
          <w:tcPr>
            <w:tcW w:w="874" w:type="pct"/>
            <w:tcBorders>
              <w:top w:val="single" w:sz="4" w:space="0" w:color="auto"/>
            </w:tcBorders>
            <w:shd w:val="clear" w:color="auto" w:fill="auto"/>
            <w:vAlign w:val="center"/>
          </w:tcPr>
          <w:p w:rsidR="00B070BF" w:rsidRPr="00827314" w:rsidRDefault="00B070BF" w:rsidP="00C33D4A">
            <w:pPr>
              <w:widowControl w:val="0"/>
              <w:spacing w:after="120"/>
              <w:rPr>
                <w:sz w:val="16"/>
                <w:szCs w:val="16"/>
              </w:rPr>
            </w:pPr>
            <w:r w:rsidRPr="00827314">
              <w:rPr>
                <w:b/>
                <w:bCs/>
                <w:sz w:val="16"/>
                <w:szCs w:val="16"/>
              </w:rPr>
              <w:t>Indicadores de rendimiento</w:t>
            </w:r>
          </w:p>
        </w:tc>
        <w:tc>
          <w:tcPr>
            <w:tcW w:w="805" w:type="pct"/>
            <w:tcBorders>
              <w:top w:val="single" w:sz="4" w:space="0" w:color="auto"/>
            </w:tcBorders>
            <w:shd w:val="clear" w:color="auto" w:fill="C0C0C0"/>
          </w:tcPr>
          <w:p w:rsidR="00B070BF" w:rsidRPr="00827314" w:rsidRDefault="00B070BF" w:rsidP="00C33D4A">
            <w:pPr>
              <w:widowControl w:val="0"/>
              <w:spacing w:after="120"/>
              <w:rPr>
                <w:b/>
                <w:bCs/>
                <w:sz w:val="16"/>
                <w:szCs w:val="16"/>
              </w:rPr>
            </w:pPr>
            <w:r w:rsidRPr="00827314">
              <w:rPr>
                <w:b/>
                <w:bCs/>
                <w:sz w:val="16"/>
                <w:szCs w:val="16"/>
              </w:rPr>
              <w:t>Referencia (</w:t>
            </w:r>
            <w:proofErr w:type="spellStart"/>
            <w:r w:rsidRPr="00827314">
              <w:rPr>
                <w:b/>
                <w:bCs/>
                <w:sz w:val="16"/>
                <w:szCs w:val="16"/>
              </w:rPr>
              <w:t>Presup</w:t>
            </w:r>
            <w:proofErr w:type="spellEnd"/>
            <w:r w:rsidRPr="00827314">
              <w:rPr>
                <w:b/>
                <w:bCs/>
                <w:sz w:val="16"/>
                <w:szCs w:val="16"/>
              </w:rPr>
              <w:t xml:space="preserve">. por </w:t>
            </w:r>
            <w:proofErr w:type="spellStart"/>
            <w:r w:rsidRPr="00827314">
              <w:rPr>
                <w:b/>
                <w:bCs/>
                <w:sz w:val="16"/>
                <w:szCs w:val="16"/>
              </w:rPr>
              <w:t>prog</w:t>
            </w:r>
            <w:proofErr w:type="spellEnd"/>
            <w:r w:rsidRPr="00827314">
              <w:rPr>
                <w:b/>
                <w:bCs/>
                <w:sz w:val="16"/>
                <w:szCs w:val="16"/>
              </w:rPr>
              <w:t>. 2012/13)</w:t>
            </w:r>
          </w:p>
        </w:tc>
        <w:tc>
          <w:tcPr>
            <w:tcW w:w="916" w:type="pct"/>
            <w:tcBorders>
              <w:top w:val="single" w:sz="4" w:space="0" w:color="auto"/>
            </w:tcBorders>
            <w:shd w:val="clear" w:color="auto" w:fill="auto"/>
            <w:tcMar>
              <w:top w:w="110" w:type="dxa"/>
            </w:tcMar>
            <w:vAlign w:val="center"/>
          </w:tcPr>
          <w:p w:rsidR="00B070BF" w:rsidRPr="00793D61" w:rsidRDefault="00B070BF" w:rsidP="00C33D4A">
            <w:pPr>
              <w:widowControl w:val="0"/>
              <w:spacing w:after="120"/>
              <w:rPr>
                <w:b/>
                <w:color w:val="943634"/>
                <w:sz w:val="16"/>
                <w:szCs w:val="16"/>
              </w:rPr>
            </w:pPr>
            <w:r w:rsidRPr="00BF138D">
              <w:rPr>
                <w:b/>
                <w:color w:val="993300"/>
                <w:sz w:val="16"/>
                <w:szCs w:val="16"/>
              </w:rPr>
              <w:t>Referencia actualizada a finales de 2011</w:t>
            </w:r>
            <w:r w:rsidRPr="00793D61">
              <w:rPr>
                <w:b/>
                <w:color w:val="943634"/>
                <w:sz w:val="16"/>
                <w:szCs w:val="16"/>
              </w:rPr>
              <w:t xml:space="preserve"> </w:t>
            </w:r>
          </w:p>
        </w:tc>
        <w:tc>
          <w:tcPr>
            <w:tcW w:w="1848" w:type="pct"/>
            <w:tcBorders>
              <w:top w:val="single" w:sz="4" w:space="0" w:color="auto"/>
            </w:tcBorders>
            <w:shd w:val="clear" w:color="auto" w:fill="FFFFFF"/>
            <w:tcMar>
              <w:top w:w="110" w:type="dxa"/>
            </w:tcMar>
            <w:vAlign w:val="center"/>
          </w:tcPr>
          <w:p w:rsidR="00B070BF" w:rsidRPr="00827314" w:rsidRDefault="00B070BF" w:rsidP="00C33D4A">
            <w:pPr>
              <w:widowControl w:val="0"/>
              <w:spacing w:after="120"/>
              <w:rPr>
                <w:sz w:val="16"/>
                <w:szCs w:val="16"/>
              </w:rPr>
            </w:pPr>
            <w:r w:rsidRPr="00827314">
              <w:rPr>
                <w:b/>
                <w:bCs/>
                <w:sz w:val="16"/>
                <w:szCs w:val="16"/>
              </w:rPr>
              <w:t>Datos sobre el rendimiento</w:t>
            </w:r>
          </w:p>
        </w:tc>
        <w:tc>
          <w:tcPr>
            <w:tcW w:w="557" w:type="pct"/>
            <w:tcBorders>
              <w:top w:val="single" w:sz="4" w:space="0" w:color="auto"/>
            </w:tcBorders>
            <w:shd w:val="clear" w:color="auto" w:fill="auto"/>
            <w:tcMar>
              <w:top w:w="110" w:type="dxa"/>
            </w:tcMar>
            <w:vAlign w:val="center"/>
          </w:tcPr>
          <w:p w:rsidR="00B070BF" w:rsidRPr="00827314" w:rsidRDefault="00B070BF" w:rsidP="00C33D4A">
            <w:pPr>
              <w:widowControl w:val="0"/>
              <w:spacing w:after="120"/>
              <w:jc w:val="center"/>
              <w:rPr>
                <w:b/>
                <w:bCs/>
                <w:sz w:val="16"/>
                <w:szCs w:val="16"/>
              </w:rPr>
            </w:pPr>
            <w:r w:rsidRPr="00827314">
              <w:rPr>
                <w:b/>
                <w:bCs/>
                <w:sz w:val="16"/>
                <w:szCs w:val="16"/>
              </w:rPr>
              <w:t>Clave de colores</w:t>
            </w:r>
          </w:p>
        </w:tc>
      </w:tr>
      <w:tr w:rsidR="00B070BF" w:rsidRPr="00827314" w:rsidTr="00C33D4A">
        <w:tc>
          <w:tcPr>
            <w:tcW w:w="874" w:type="pct"/>
            <w:shd w:val="clear" w:color="auto" w:fill="auto"/>
          </w:tcPr>
          <w:p w:rsidR="00B070BF" w:rsidRPr="00827314" w:rsidRDefault="00B070BF" w:rsidP="00C33D4A">
            <w:pPr>
              <w:widowControl w:val="0"/>
              <w:rPr>
                <w:sz w:val="16"/>
                <w:szCs w:val="16"/>
              </w:rPr>
            </w:pPr>
            <w:r w:rsidRPr="00827314">
              <w:rPr>
                <w:sz w:val="16"/>
                <w:szCs w:val="16"/>
              </w:rPr>
              <w:t>Presentación de solicitudes PCT.</w:t>
            </w:r>
          </w:p>
        </w:tc>
        <w:tc>
          <w:tcPr>
            <w:tcW w:w="805" w:type="pct"/>
            <w:shd w:val="clear" w:color="auto" w:fill="C0C0C0"/>
          </w:tcPr>
          <w:p w:rsidR="00B070BF" w:rsidRPr="00827314" w:rsidRDefault="00B070BF" w:rsidP="00C33D4A">
            <w:pPr>
              <w:widowControl w:val="0"/>
              <w:rPr>
                <w:sz w:val="16"/>
                <w:szCs w:val="16"/>
              </w:rPr>
            </w:pPr>
            <w:r w:rsidRPr="00827314">
              <w:rPr>
                <w:sz w:val="16"/>
                <w:szCs w:val="16"/>
              </w:rPr>
              <w:t>Presentación de solicitudes PCT.</w:t>
            </w:r>
          </w:p>
        </w:tc>
        <w:tc>
          <w:tcPr>
            <w:tcW w:w="916" w:type="pct"/>
            <w:shd w:val="clear" w:color="auto" w:fill="auto"/>
            <w:tcMar>
              <w:top w:w="110" w:type="dxa"/>
            </w:tcMar>
          </w:tcPr>
          <w:p w:rsidR="00B070BF" w:rsidRPr="00793D61" w:rsidRDefault="00B070BF" w:rsidP="00C33D4A">
            <w:pPr>
              <w:widowControl w:val="0"/>
              <w:rPr>
                <w:color w:val="943634"/>
                <w:sz w:val="16"/>
                <w:szCs w:val="16"/>
                <w:lang w:bidi="th-TH"/>
              </w:rPr>
            </w:pPr>
            <w:r w:rsidRPr="00793D61">
              <w:rPr>
                <w:color w:val="943634"/>
                <w:sz w:val="16"/>
                <w:szCs w:val="16"/>
                <w:lang w:bidi="th-TH"/>
              </w:rPr>
              <w:t>181.900</w:t>
            </w:r>
          </w:p>
        </w:tc>
        <w:tc>
          <w:tcPr>
            <w:tcW w:w="1848" w:type="pct"/>
            <w:shd w:val="clear" w:color="auto" w:fill="FFFFFF"/>
            <w:tcMar>
              <w:top w:w="110" w:type="dxa"/>
            </w:tcMar>
          </w:tcPr>
          <w:p w:rsidR="00B070BF" w:rsidRPr="00827314" w:rsidRDefault="00B070BF" w:rsidP="00C33D4A">
            <w:pPr>
              <w:widowControl w:val="0"/>
              <w:rPr>
                <w:sz w:val="16"/>
                <w:szCs w:val="16"/>
                <w:lang w:bidi="th-TH"/>
              </w:rPr>
            </w:pPr>
            <w:r w:rsidRPr="00827314">
              <w:rPr>
                <w:sz w:val="16"/>
                <w:szCs w:val="16"/>
                <w:lang w:bidi="th-TH"/>
              </w:rPr>
              <w:t>196.200 (2012)</w:t>
            </w:r>
          </w:p>
          <w:p w:rsidR="00B070BF" w:rsidRPr="00827314" w:rsidRDefault="00B070BF" w:rsidP="00C33D4A">
            <w:pPr>
              <w:widowControl w:val="0"/>
              <w:rPr>
                <w:sz w:val="16"/>
                <w:szCs w:val="16"/>
                <w:lang w:bidi="th-TH"/>
              </w:rPr>
            </w:pPr>
          </w:p>
          <w:p w:rsidR="00B070BF" w:rsidRPr="00827314" w:rsidRDefault="00B070BF" w:rsidP="00C33D4A">
            <w:pPr>
              <w:widowControl w:val="0"/>
              <w:rPr>
                <w:sz w:val="16"/>
                <w:szCs w:val="16"/>
                <w:lang w:bidi="th-TH"/>
              </w:rPr>
            </w:pPr>
          </w:p>
        </w:tc>
        <w:tc>
          <w:tcPr>
            <w:tcW w:w="557" w:type="pct"/>
            <w:shd w:val="clear" w:color="auto" w:fill="auto"/>
            <w:tcMar>
              <w:top w:w="110" w:type="dxa"/>
            </w:tcMar>
          </w:tcPr>
          <w:p w:rsidR="00B070BF" w:rsidRPr="00827314" w:rsidRDefault="00B070BF" w:rsidP="00C33D4A">
            <w:pPr>
              <w:widowControl w:val="0"/>
              <w:jc w:val="center"/>
              <w:rPr>
                <w:b/>
                <w:sz w:val="16"/>
                <w:szCs w:val="16"/>
              </w:rPr>
            </w:pPr>
            <w:r w:rsidRPr="009577DE">
              <w:rPr>
                <w:b/>
                <w:color w:val="008000"/>
                <w:sz w:val="16"/>
                <w:szCs w:val="16"/>
              </w:rPr>
              <w:t>Progresa con normalidad</w:t>
            </w:r>
          </w:p>
          <w:p w:rsidR="00B070BF" w:rsidRPr="00827314" w:rsidRDefault="00B070BF" w:rsidP="00C33D4A">
            <w:pPr>
              <w:widowControl w:val="0"/>
              <w:jc w:val="center"/>
              <w:rPr>
                <w:b/>
                <w:sz w:val="16"/>
                <w:szCs w:val="16"/>
              </w:rPr>
            </w:pPr>
          </w:p>
        </w:tc>
      </w:tr>
      <w:tr w:rsidR="00B070BF" w:rsidRPr="00827314" w:rsidTr="00C33D4A">
        <w:tc>
          <w:tcPr>
            <w:tcW w:w="874" w:type="pct"/>
            <w:tcBorders>
              <w:bottom w:val="single" w:sz="4" w:space="0" w:color="auto"/>
            </w:tcBorders>
            <w:shd w:val="clear" w:color="auto" w:fill="auto"/>
          </w:tcPr>
          <w:p w:rsidR="00B070BF" w:rsidRPr="00827314" w:rsidRDefault="00B070BF" w:rsidP="00C33D4A">
            <w:pPr>
              <w:keepNext/>
              <w:widowControl w:val="0"/>
              <w:rPr>
                <w:sz w:val="16"/>
                <w:szCs w:val="16"/>
              </w:rPr>
            </w:pPr>
            <w:r w:rsidRPr="00827314">
              <w:rPr>
                <w:sz w:val="16"/>
                <w:szCs w:val="16"/>
              </w:rPr>
              <w:lastRenderedPageBreak/>
              <w:t>Proporción de solicitudes PCT que entran en la fase nacional sobre el total de las solicitudes internacionales presentadas.</w:t>
            </w:r>
          </w:p>
        </w:tc>
        <w:tc>
          <w:tcPr>
            <w:tcW w:w="805" w:type="pct"/>
            <w:tcBorders>
              <w:bottom w:val="single" w:sz="4" w:space="0" w:color="auto"/>
            </w:tcBorders>
            <w:shd w:val="clear" w:color="auto" w:fill="C0C0C0"/>
          </w:tcPr>
          <w:p w:rsidR="00B070BF" w:rsidRPr="00827314" w:rsidRDefault="00B070BF" w:rsidP="00C33D4A">
            <w:pPr>
              <w:keepNext/>
              <w:widowControl w:val="0"/>
              <w:rPr>
                <w:sz w:val="16"/>
                <w:szCs w:val="16"/>
              </w:rPr>
            </w:pPr>
            <w:r w:rsidRPr="00827314">
              <w:rPr>
                <w:sz w:val="16"/>
                <w:szCs w:val="16"/>
              </w:rPr>
              <w:t>Proporción de entradas en la fase nacional del PCT sobre las solicitudes internacionales presentadas (fin de 2011).</w:t>
            </w:r>
          </w:p>
        </w:tc>
        <w:tc>
          <w:tcPr>
            <w:tcW w:w="916" w:type="pct"/>
            <w:tcBorders>
              <w:bottom w:val="single" w:sz="4" w:space="0" w:color="auto"/>
            </w:tcBorders>
            <w:shd w:val="clear" w:color="auto" w:fill="auto"/>
            <w:tcMar>
              <w:top w:w="110" w:type="dxa"/>
            </w:tcMar>
          </w:tcPr>
          <w:p w:rsidR="00B070BF" w:rsidRPr="00793D61" w:rsidRDefault="00B070BF" w:rsidP="00C33D4A">
            <w:pPr>
              <w:keepNext/>
              <w:widowControl w:val="0"/>
              <w:rPr>
                <w:color w:val="943634"/>
                <w:sz w:val="16"/>
                <w:szCs w:val="16"/>
                <w:lang w:bidi="th-TH"/>
              </w:rPr>
            </w:pPr>
            <w:r w:rsidRPr="00793D61">
              <w:rPr>
                <w:color w:val="943634"/>
                <w:sz w:val="16"/>
                <w:szCs w:val="16"/>
                <w:lang w:bidi="th-TH"/>
              </w:rPr>
              <w:t>54,2% en 2010</w:t>
            </w:r>
            <w:r w:rsidRPr="00793D61">
              <w:rPr>
                <w:color w:val="943634"/>
                <w:sz w:val="16"/>
                <w:szCs w:val="16"/>
                <w:vertAlign w:val="superscript"/>
              </w:rPr>
              <w:footnoteReference w:id="5"/>
            </w:r>
          </w:p>
        </w:tc>
        <w:tc>
          <w:tcPr>
            <w:tcW w:w="1848" w:type="pct"/>
            <w:tcBorders>
              <w:bottom w:val="single" w:sz="4" w:space="0" w:color="auto"/>
            </w:tcBorders>
            <w:shd w:val="clear" w:color="auto" w:fill="FFFFFF"/>
            <w:tcMar>
              <w:top w:w="110" w:type="dxa"/>
            </w:tcMar>
          </w:tcPr>
          <w:p w:rsidR="00B070BF" w:rsidRPr="00827314" w:rsidRDefault="00B070BF" w:rsidP="00C33D4A">
            <w:pPr>
              <w:keepNext/>
              <w:widowControl w:val="0"/>
              <w:rPr>
                <w:sz w:val="16"/>
                <w:szCs w:val="16"/>
                <w:lang w:bidi="th-TH"/>
              </w:rPr>
            </w:pPr>
            <w:r w:rsidRPr="00827314">
              <w:rPr>
                <w:sz w:val="16"/>
                <w:szCs w:val="16"/>
                <w:lang w:bidi="th-TH"/>
              </w:rPr>
              <w:t>54,9% en 2011</w:t>
            </w:r>
          </w:p>
          <w:p w:rsidR="00B070BF" w:rsidRPr="00827314" w:rsidRDefault="00B070BF" w:rsidP="00C33D4A">
            <w:pPr>
              <w:keepNext/>
              <w:widowControl w:val="0"/>
              <w:rPr>
                <w:sz w:val="16"/>
                <w:szCs w:val="16"/>
                <w:lang w:bidi="th-TH"/>
              </w:rPr>
            </w:pPr>
          </w:p>
          <w:p w:rsidR="00B070BF" w:rsidRPr="00827314" w:rsidRDefault="00B070BF" w:rsidP="00C33D4A">
            <w:pPr>
              <w:keepNext/>
              <w:widowControl w:val="0"/>
              <w:rPr>
                <w:sz w:val="16"/>
                <w:szCs w:val="16"/>
                <w:lang w:bidi="th-TH"/>
              </w:rPr>
            </w:pPr>
          </w:p>
          <w:p w:rsidR="00B070BF" w:rsidRPr="00827314" w:rsidRDefault="00B070BF" w:rsidP="00C33D4A">
            <w:pPr>
              <w:keepNext/>
              <w:widowControl w:val="0"/>
              <w:rPr>
                <w:sz w:val="16"/>
                <w:szCs w:val="16"/>
                <w:lang w:bidi="th-TH"/>
              </w:rPr>
            </w:pPr>
          </w:p>
          <w:p w:rsidR="00B070BF" w:rsidRPr="00827314" w:rsidRDefault="00B070BF" w:rsidP="00C33D4A">
            <w:pPr>
              <w:keepNext/>
              <w:widowControl w:val="0"/>
              <w:rPr>
                <w:sz w:val="16"/>
                <w:szCs w:val="16"/>
                <w:lang w:bidi="th-TH"/>
              </w:rPr>
            </w:pPr>
          </w:p>
          <w:p w:rsidR="00B070BF" w:rsidRPr="00827314" w:rsidRDefault="00B070BF" w:rsidP="00C33D4A">
            <w:pPr>
              <w:keepNext/>
              <w:widowControl w:val="0"/>
              <w:rPr>
                <w:sz w:val="16"/>
                <w:szCs w:val="16"/>
                <w:lang w:bidi="th-TH"/>
              </w:rPr>
            </w:pPr>
          </w:p>
          <w:p w:rsidR="00B070BF" w:rsidRPr="00827314" w:rsidRDefault="00B070BF" w:rsidP="00C33D4A">
            <w:pPr>
              <w:keepNext/>
              <w:widowControl w:val="0"/>
              <w:rPr>
                <w:sz w:val="16"/>
                <w:szCs w:val="16"/>
                <w:lang w:bidi="th-TH"/>
              </w:rPr>
            </w:pPr>
          </w:p>
        </w:tc>
        <w:tc>
          <w:tcPr>
            <w:tcW w:w="557" w:type="pct"/>
            <w:tcBorders>
              <w:bottom w:val="single" w:sz="4" w:space="0" w:color="auto"/>
            </w:tcBorders>
            <w:shd w:val="clear" w:color="auto" w:fill="auto"/>
            <w:tcMar>
              <w:top w:w="110" w:type="dxa"/>
            </w:tcMar>
          </w:tcPr>
          <w:p w:rsidR="00B070BF" w:rsidRPr="00827314" w:rsidRDefault="00B070BF" w:rsidP="00C33D4A">
            <w:pPr>
              <w:keepNext/>
              <w:widowControl w:val="0"/>
              <w:jc w:val="center"/>
              <w:rPr>
                <w:b/>
                <w:sz w:val="16"/>
                <w:szCs w:val="16"/>
              </w:rPr>
            </w:pPr>
            <w:r w:rsidRPr="009577DE">
              <w:rPr>
                <w:b/>
                <w:color w:val="008000"/>
                <w:sz w:val="16"/>
                <w:szCs w:val="16"/>
              </w:rPr>
              <w:t>Progresa con normalidad</w:t>
            </w:r>
          </w:p>
          <w:p w:rsidR="00B070BF" w:rsidRPr="00827314" w:rsidRDefault="00B070BF" w:rsidP="00C33D4A">
            <w:pPr>
              <w:keepNext/>
              <w:widowControl w:val="0"/>
              <w:rPr>
                <w:b/>
                <w:sz w:val="16"/>
                <w:szCs w:val="16"/>
              </w:rPr>
            </w:pPr>
          </w:p>
        </w:tc>
      </w:tr>
      <w:tr w:rsidR="00B070BF" w:rsidRPr="00827314" w:rsidTr="00C33D4A">
        <w:tc>
          <w:tcPr>
            <w:tcW w:w="5000" w:type="pct"/>
            <w:gridSpan w:val="5"/>
            <w:tcBorders>
              <w:top w:val="single" w:sz="4" w:space="0" w:color="auto"/>
              <w:bottom w:val="single" w:sz="4" w:space="0" w:color="auto"/>
            </w:tcBorders>
            <w:shd w:val="clear" w:color="auto" w:fill="CCFFFF"/>
            <w:vAlign w:val="center"/>
          </w:tcPr>
          <w:p w:rsidR="00B070BF" w:rsidRPr="00827314" w:rsidRDefault="00B070BF" w:rsidP="00C33D4A">
            <w:pPr>
              <w:widowControl w:val="0"/>
              <w:tabs>
                <w:tab w:val="left" w:pos="1735"/>
              </w:tabs>
              <w:spacing w:before="120" w:after="120"/>
              <w:ind w:left="1735" w:hanging="1735"/>
              <w:rPr>
                <w:b/>
                <w:bCs/>
                <w:sz w:val="16"/>
                <w:szCs w:val="16"/>
              </w:rPr>
            </w:pPr>
            <w:r w:rsidRPr="00827314">
              <w:rPr>
                <w:b/>
                <w:bCs/>
                <w:sz w:val="16"/>
                <w:szCs w:val="16"/>
              </w:rPr>
              <w:t>Resultado previsto:</w:t>
            </w:r>
            <w:r w:rsidRPr="00827314">
              <w:rPr>
                <w:b/>
                <w:bCs/>
                <w:sz w:val="16"/>
                <w:szCs w:val="16"/>
              </w:rPr>
              <w:tab/>
            </w:r>
            <w:r w:rsidRPr="00827314">
              <w:rPr>
                <w:bCs/>
                <w:sz w:val="16"/>
                <w:szCs w:val="16"/>
              </w:rPr>
              <w:t xml:space="preserve"> Fortalecimiento de las relaciones con los usuarios del PCT y las oficinas.</w:t>
            </w:r>
          </w:p>
        </w:tc>
      </w:tr>
      <w:tr w:rsidR="00B070BF" w:rsidRPr="00827314" w:rsidTr="00C33D4A">
        <w:tc>
          <w:tcPr>
            <w:tcW w:w="874" w:type="pct"/>
            <w:tcBorders>
              <w:top w:val="single" w:sz="4" w:space="0" w:color="auto"/>
            </w:tcBorders>
            <w:shd w:val="clear" w:color="auto" w:fill="auto"/>
            <w:vAlign w:val="center"/>
          </w:tcPr>
          <w:p w:rsidR="00B070BF" w:rsidRPr="00827314" w:rsidRDefault="00B070BF" w:rsidP="00C33D4A">
            <w:pPr>
              <w:widowControl w:val="0"/>
              <w:spacing w:after="120"/>
              <w:rPr>
                <w:sz w:val="16"/>
                <w:szCs w:val="16"/>
              </w:rPr>
            </w:pPr>
            <w:r w:rsidRPr="00827314">
              <w:rPr>
                <w:b/>
                <w:bCs/>
                <w:sz w:val="16"/>
                <w:szCs w:val="16"/>
              </w:rPr>
              <w:t>Indicadores de rendimiento</w:t>
            </w:r>
          </w:p>
        </w:tc>
        <w:tc>
          <w:tcPr>
            <w:tcW w:w="805" w:type="pct"/>
            <w:tcBorders>
              <w:top w:val="single" w:sz="4" w:space="0" w:color="auto"/>
            </w:tcBorders>
            <w:shd w:val="clear" w:color="auto" w:fill="C0C0C0"/>
          </w:tcPr>
          <w:p w:rsidR="00B070BF" w:rsidRPr="00827314" w:rsidRDefault="00B070BF" w:rsidP="00C33D4A">
            <w:pPr>
              <w:widowControl w:val="0"/>
              <w:spacing w:after="120"/>
              <w:rPr>
                <w:b/>
                <w:bCs/>
                <w:sz w:val="16"/>
                <w:szCs w:val="16"/>
              </w:rPr>
            </w:pPr>
            <w:r w:rsidRPr="00827314">
              <w:rPr>
                <w:b/>
                <w:bCs/>
                <w:sz w:val="16"/>
                <w:szCs w:val="16"/>
              </w:rPr>
              <w:t>Referencia (</w:t>
            </w:r>
            <w:proofErr w:type="spellStart"/>
            <w:r w:rsidRPr="00827314">
              <w:rPr>
                <w:b/>
                <w:bCs/>
                <w:sz w:val="16"/>
                <w:szCs w:val="16"/>
              </w:rPr>
              <w:t>Presup</w:t>
            </w:r>
            <w:proofErr w:type="spellEnd"/>
            <w:r w:rsidRPr="00827314">
              <w:rPr>
                <w:b/>
                <w:bCs/>
                <w:sz w:val="16"/>
                <w:szCs w:val="16"/>
              </w:rPr>
              <w:t xml:space="preserve">. por </w:t>
            </w:r>
            <w:proofErr w:type="spellStart"/>
            <w:r w:rsidRPr="00827314">
              <w:rPr>
                <w:b/>
                <w:bCs/>
                <w:sz w:val="16"/>
                <w:szCs w:val="16"/>
              </w:rPr>
              <w:t>prog</w:t>
            </w:r>
            <w:proofErr w:type="spellEnd"/>
            <w:r w:rsidRPr="00827314">
              <w:rPr>
                <w:b/>
                <w:bCs/>
                <w:sz w:val="16"/>
                <w:szCs w:val="16"/>
              </w:rPr>
              <w:t>. 2012/13)</w:t>
            </w:r>
          </w:p>
        </w:tc>
        <w:tc>
          <w:tcPr>
            <w:tcW w:w="916" w:type="pct"/>
            <w:tcBorders>
              <w:top w:val="single" w:sz="4" w:space="0" w:color="auto"/>
            </w:tcBorders>
            <w:shd w:val="clear" w:color="auto" w:fill="auto"/>
            <w:tcMar>
              <w:top w:w="110" w:type="dxa"/>
            </w:tcMar>
            <w:vAlign w:val="center"/>
          </w:tcPr>
          <w:p w:rsidR="00B070BF" w:rsidRPr="00827314" w:rsidRDefault="00B070BF" w:rsidP="00C33D4A">
            <w:pPr>
              <w:widowControl w:val="0"/>
              <w:spacing w:after="120"/>
              <w:rPr>
                <w:b/>
                <w:sz w:val="16"/>
                <w:szCs w:val="16"/>
              </w:rPr>
            </w:pPr>
            <w:r w:rsidRPr="00BF138D">
              <w:rPr>
                <w:b/>
                <w:color w:val="993300"/>
                <w:sz w:val="16"/>
                <w:szCs w:val="16"/>
              </w:rPr>
              <w:t>Referencia actualizada a finales de 2011</w:t>
            </w:r>
          </w:p>
        </w:tc>
        <w:tc>
          <w:tcPr>
            <w:tcW w:w="1848" w:type="pct"/>
            <w:tcBorders>
              <w:top w:val="single" w:sz="4" w:space="0" w:color="auto"/>
            </w:tcBorders>
            <w:shd w:val="clear" w:color="auto" w:fill="FFFFFF"/>
            <w:tcMar>
              <w:top w:w="110" w:type="dxa"/>
            </w:tcMar>
            <w:vAlign w:val="center"/>
          </w:tcPr>
          <w:p w:rsidR="00B070BF" w:rsidRPr="00827314" w:rsidRDefault="00B070BF" w:rsidP="00C33D4A">
            <w:pPr>
              <w:widowControl w:val="0"/>
              <w:spacing w:after="120"/>
              <w:rPr>
                <w:sz w:val="16"/>
                <w:szCs w:val="16"/>
              </w:rPr>
            </w:pPr>
            <w:r w:rsidRPr="00827314">
              <w:rPr>
                <w:b/>
                <w:bCs/>
                <w:sz w:val="16"/>
                <w:szCs w:val="16"/>
              </w:rPr>
              <w:t>Datos sobre el rendimiento</w:t>
            </w:r>
          </w:p>
        </w:tc>
        <w:tc>
          <w:tcPr>
            <w:tcW w:w="557" w:type="pct"/>
            <w:tcBorders>
              <w:top w:val="single" w:sz="4" w:space="0" w:color="auto"/>
            </w:tcBorders>
            <w:shd w:val="clear" w:color="auto" w:fill="auto"/>
            <w:tcMar>
              <w:top w:w="110" w:type="dxa"/>
            </w:tcMar>
            <w:vAlign w:val="center"/>
          </w:tcPr>
          <w:p w:rsidR="00B070BF" w:rsidRPr="00827314" w:rsidRDefault="00B070BF" w:rsidP="00C33D4A">
            <w:pPr>
              <w:widowControl w:val="0"/>
              <w:spacing w:after="120"/>
              <w:jc w:val="center"/>
              <w:rPr>
                <w:b/>
                <w:bCs/>
                <w:sz w:val="16"/>
                <w:szCs w:val="16"/>
              </w:rPr>
            </w:pPr>
            <w:r w:rsidRPr="00827314">
              <w:rPr>
                <w:b/>
                <w:bCs/>
                <w:sz w:val="16"/>
                <w:szCs w:val="16"/>
              </w:rPr>
              <w:t>Clave de colores</w:t>
            </w:r>
          </w:p>
        </w:tc>
      </w:tr>
      <w:tr w:rsidR="00B070BF" w:rsidRPr="00827314" w:rsidTr="00C33D4A">
        <w:tc>
          <w:tcPr>
            <w:tcW w:w="874" w:type="pct"/>
            <w:shd w:val="clear" w:color="auto" w:fill="FFFFFF"/>
          </w:tcPr>
          <w:p w:rsidR="00B070BF" w:rsidRPr="00827314" w:rsidRDefault="00B070BF" w:rsidP="00C33D4A">
            <w:pPr>
              <w:widowControl w:val="0"/>
              <w:rPr>
                <w:sz w:val="16"/>
                <w:szCs w:val="16"/>
              </w:rPr>
            </w:pPr>
            <w:r w:rsidRPr="00827314">
              <w:rPr>
                <w:sz w:val="16"/>
                <w:szCs w:val="16"/>
              </w:rPr>
              <w:t>Satisfacción de las oficinas y las administraciones internacionales con las actividades de cooperación en el marco del PCT.</w:t>
            </w:r>
          </w:p>
        </w:tc>
        <w:tc>
          <w:tcPr>
            <w:tcW w:w="805" w:type="pct"/>
            <w:shd w:val="clear" w:color="auto" w:fill="C0C0C0"/>
          </w:tcPr>
          <w:p w:rsidR="00B070BF" w:rsidRPr="00827314" w:rsidRDefault="00B070BF" w:rsidP="00C33D4A">
            <w:pPr>
              <w:widowControl w:val="0"/>
              <w:spacing w:after="120"/>
              <w:rPr>
                <w:bCs/>
                <w:sz w:val="16"/>
                <w:szCs w:val="16"/>
              </w:rPr>
            </w:pPr>
            <w:r w:rsidRPr="00827314">
              <w:rPr>
                <w:bCs/>
                <w:sz w:val="16"/>
                <w:szCs w:val="16"/>
              </w:rPr>
              <w:t xml:space="preserve">30 oficinas y administraciones internacionales manifestaron satisfacción con las actividades de cooperación en el marco del PCT (2010) (es decir, el 91% de las 33 que aprovecharon las actividades de cooperación en el marco del PCT y el 46% del total de 65 que expresaron su opinión al respecto). </w:t>
            </w:r>
          </w:p>
          <w:p w:rsidR="00B070BF" w:rsidRPr="00827314" w:rsidRDefault="00B070BF" w:rsidP="00C33D4A">
            <w:pPr>
              <w:widowControl w:val="0"/>
              <w:rPr>
                <w:sz w:val="16"/>
                <w:szCs w:val="16"/>
              </w:rPr>
            </w:pPr>
          </w:p>
        </w:tc>
        <w:tc>
          <w:tcPr>
            <w:tcW w:w="916" w:type="pct"/>
            <w:shd w:val="clear" w:color="auto" w:fill="auto"/>
            <w:tcMar>
              <w:top w:w="110" w:type="dxa"/>
            </w:tcMar>
          </w:tcPr>
          <w:p w:rsidR="00B070BF" w:rsidRPr="00793D61" w:rsidRDefault="00B070BF" w:rsidP="00C33D4A">
            <w:pPr>
              <w:widowControl w:val="0"/>
              <w:rPr>
                <w:color w:val="943634"/>
                <w:sz w:val="16"/>
                <w:szCs w:val="16"/>
                <w:lang w:bidi="th-TH"/>
              </w:rPr>
            </w:pPr>
            <w:r w:rsidRPr="00793D61">
              <w:rPr>
                <w:color w:val="943634"/>
                <w:sz w:val="16"/>
                <w:szCs w:val="16"/>
                <w:lang w:bidi="th-TH"/>
              </w:rPr>
              <w:t>59 (95% de los 62 beneficiarios de las actividades de cooperación en el marco del PCT;  86% de los 69 encuestados)</w:t>
            </w:r>
          </w:p>
        </w:tc>
        <w:tc>
          <w:tcPr>
            <w:tcW w:w="1848" w:type="pct"/>
            <w:shd w:val="clear" w:color="auto" w:fill="FFFFFF"/>
            <w:tcMar>
              <w:top w:w="110" w:type="dxa"/>
            </w:tcMar>
          </w:tcPr>
          <w:p w:rsidR="00B070BF" w:rsidRPr="00827314" w:rsidRDefault="00B070BF" w:rsidP="00C33D4A">
            <w:pPr>
              <w:widowControl w:val="0"/>
              <w:rPr>
                <w:sz w:val="16"/>
                <w:szCs w:val="16"/>
                <w:lang w:bidi="th-TH"/>
              </w:rPr>
            </w:pPr>
            <w:r w:rsidRPr="00827314">
              <w:rPr>
                <w:sz w:val="16"/>
                <w:szCs w:val="16"/>
                <w:lang w:bidi="th-TH"/>
              </w:rPr>
              <w:t>56 (95% de los 59 beneficiarios de las actividades de cooperación en el marco del PCT;  85% de los 66 encuestados)</w:t>
            </w:r>
          </w:p>
          <w:p w:rsidR="00B070BF" w:rsidRPr="00827314" w:rsidRDefault="00B070BF" w:rsidP="00C33D4A">
            <w:pPr>
              <w:widowControl w:val="0"/>
              <w:rPr>
                <w:sz w:val="16"/>
                <w:szCs w:val="16"/>
                <w:lang w:bidi="th-TH"/>
              </w:rPr>
            </w:pPr>
          </w:p>
          <w:p w:rsidR="00B070BF" w:rsidRPr="00827314" w:rsidRDefault="00B070BF" w:rsidP="00C33D4A">
            <w:pPr>
              <w:widowControl w:val="0"/>
              <w:rPr>
                <w:sz w:val="16"/>
                <w:szCs w:val="16"/>
                <w:lang w:bidi="th-TH"/>
              </w:rPr>
            </w:pPr>
          </w:p>
          <w:p w:rsidR="00B070BF" w:rsidRPr="00827314" w:rsidRDefault="00B070BF" w:rsidP="00C33D4A">
            <w:pPr>
              <w:widowControl w:val="0"/>
              <w:rPr>
                <w:sz w:val="16"/>
                <w:szCs w:val="16"/>
                <w:lang w:bidi="th-TH"/>
              </w:rPr>
            </w:pPr>
          </w:p>
          <w:p w:rsidR="00B070BF" w:rsidRPr="00827314" w:rsidRDefault="00B070BF" w:rsidP="00C33D4A">
            <w:pPr>
              <w:widowControl w:val="0"/>
              <w:rPr>
                <w:sz w:val="16"/>
                <w:szCs w:val="16"/>
                <w:lang w:bidi="th-TH"/>
              </w:rPr>
            </w:pPr>
          </w:p>
          <w:p w:rsidR="00B070BF" w:rsidRPr="00827314" w:rsidRDefault="00B070BF" w:rsidP="00C33D4A">
            <w:pPr>
              <w:widowControl w:val="0"/>
              <w:rPr>
                <w:sz w:val="16"/>
                <w:szCs w:val="16"/>
                <w:lang w:bidi="th-TH"/>
              </w:rPr>
            </w:pPr>
          </w:p>
          <w:p w:rsidR="00B070BF" w:rsidRPr="00827314" w:rsidRDefault="00B070BF" w:rsidP="00C33D4A">
            <w:pPr>
              <w:widowControl w:val="0"/>
              <w:rPr>
                <w:sz w:val="16"/>
                <w:szCs w:val="16"/>
                <w:lang w:bidi="th-TH"/>
              </w:rPr>
            </w:pPr>
          </w:p>
        </w:tc>
        <w:tc>
          <w:tcPr>
            <w:tcW w:w="557" w:type="pct"/>
            <w:shd w:val="clear" w:color="auto" w:fill="auto"/>
            <w:tcMar>
              <w:top w:w="110" w:type="dxa"/>
            </w:tcMar>
          </w:tcPr>
          <w:p w:rsidR="00B070BF" w:rsidRPr="00827314" w:rsidRDefault="00B070BF" w:rsidP="00C33D4A">
            <w:pPr>
              <w:widowControl w:val="0"/>
              <w:jc w:val="center"/>
              <w:rPr>
                <w:b/>
                <w:sz w:val="16"/>
                <w:szCs w:val="16"/>
              </w:rPr>
            </w:pPr>
            <w:r w:rsidRPr="009577DE">
              <w:rPr>
                <w:b/>
                <w:color w:val="008000"/>
                <w:sz w:val="16"/>
                <w:szCs w:val="16"/>
              </w:rPr>
              <w:t>Progresa con normalidad</w:t>
            </w:r>
          </w:p>
          <w:p w:rsidR="00B070BF" w:rsidRPr="00827314" w:rsidRDefault="00B070BF" w:rsidP="00C33D4A">
            <w:pPr>
              <w:widowControl w:val="0"/>
              <w:jc w:val="center"/>
              <w:rPr>
                <w:bCs/>
                <w:sz w:val="16"/>
                <w:szCs w:val="16"/>
              </w:rPr>
            </w:pPr>
          </w:p>
          <w:p w:rsidR="00B070BF" w:rsidRPr="00827314" w:rsidRDefault="00B070BF" w:rsidP="00C33D4A">
            <w:pPr>
              <w:widowControl w:val="0"/>
              <w:jc w:val="center"/>
              <w:rPr>
                <w:bCs/>
                <w:sz w:val="16"/>
                <w:szCs w:val="16"/>
              </w:rPr>
            </w:pPr>
          </w:p>
        </w:tc>
      </w:tr>
      <w:tr w:rsidR="00B070BF" w:rsidRPr="00827314" w:rsidTr="00C33D4A">
        <w:tc>
          <w:tcPr>
            <w:tcW w:w="874" w:type="pct"/>
            <w:shd w:val="clear" w:color="auto" w:fill="auto"/>
          </w:tcPr>
          <w:p w:rsidR="00B070BF" w:rsidRPr="00827314" w:rsidRDefault="00B070BF" w:rsidP="00C33D4A">
            <w:pPr>
              <w:widowControl w:val="0"/>
              <w:rPr>
                <w:sz w:val="16"/>
                <w:szCs w:val="16"/>
              </w:rPr>
            </w:pPr>
            <w:r w:rsidRPr="00827314">
              <w:rPr>
                <w:sz w:val="16"/>
                <w:szCs w:val="16"/>
              </w:rPr>
              <w:t>Contactos significativos con los usuarios del PCT</w:t>
            </w:r>
          </w:p>
        </w:tc>
        <w:tc>
          <w:tcPr>
            <w:tcW w:w="805" w:type="pct"/>
            <w:shd w:val="clear" w:color="auto" w:fill="B3B3B3"/>
          </w:tcPr>
          <w:p w:rsidR="00B070BF" w:rsidRPr="00827314" w:rsidRDefault="00B070BF" w:rsidP="00C33D4A">
            <w:pPr>
              <w:widowControl w:val="0"/>
              <w:rPr>
                <w:sz w:val="16"/>
                <w:szCs w:val="16"/>
              </w:rPr>
            </w:pPr>
            <w:r w:rsidRPr="00827314">
              <w:rPr>
                <w:sz w:val="16"/>
                <w:szCs w:val="16"/>
              </w:rPr>
              <w:t>A determinar fin de 2011.</w:t>
            </w:r>
          </w:p>
        </w:tc>
        <w:tc>
          <w:tcPr>
            <w:tcW w:w="916" w:type="pct"/>
            <w:shd w:val="clear" w:color="auto" w:fill="auto"/>
            <w:tcMar>
              <w:top w:w="110" w:type="dxa"/>
            </w:tcMar>
          </w:tcPr>
          <w:p w:rsidR="00B070BF" w:rsidRPr="00793D61" w:rsidRDefault="00B070BF" w:rsidP="00C33D4A">
            <w:pPr>
              <w:widowControl w:val="0"/>
              <w:rPr>
                <w:color w:val="943634"/>
                <w:sz w:val="16"/>
                <w:szCs w:val="16"/>
                <w:lang w:bidi="th-TH"/>
              </w:rPr>
            </w:pPr>
            <w:r w:rsidRPr="00793D61">
              <w:rPr>
                <w:color w:val="943634"/>
                <w:sz w:val="16"/>
                <w:szCs w:val="16"/>
                <w:lang w:bidi="th-TH"/>
              </w:rPr>
              <w:t>70</w:t>
            </w:r>
          </w:p>
        </w:tc>
        <w:tc>
          <w:tcPr>
            <w:tcW w:w="1848" w:type="pct"/>
            <w:shd w:val="clear" w:color="auto" w:fill="FFFFFF"/>
            <w:tcMar>
              <w:top w:w="110" w:type="dxa"/>
            </w:tcMar>
          </w:tcPr>
          <w:p w:rsidR="00B070BF" w:rsidRPr="00827314" w:rsidRDefault="00B070BF" w:rsidP="00C33D4A">
            <w:pPr>
              <w:widowControl w:val="0"/>
              <w:rPr>
                <w:sz w:val="16"/>
                <w:szCs w:val="16"/>
                <w:lang w:bidi="th-TH"/>
              </w:rPr>
            </w:pPr>
            <w:r w:rsidRPr="00827314">
              <w:rPr>
                <w:sz w:val="16"/>
                <w:szCs w:val="16"/>
                <w:lang w:bidi="th-TH"/>
              </w:rPr>
              <w:t>39 presentaciones y/o debates exhaustivos con compañías y entidades usuarias importantes del PCT.</w:t>
            </w:r>
          </w:p>
        </w:tc>
        <w:tc>
          <w:tcPr>
            <w:tcW w:w="557" w:type="pct"/>
            <w:shd w:val="clear" w:color="auto" w:fill="auto"/>
          </w:tcPr>
          <w:p w:rsidR="00B070BF" w:rsidRPr="00827314" w:rsidRDefault="00B070BF" w:rsidP="00C33D4A">
            <w:pPr>
              <w:widowControl w:val="0"/>
              <w:jc w:val="center"/>
              <w:rPr>
                <w:b/>
                <w:sz w:val="16"/>
                <w:szCs w:val="16"/>
              </w:rPr>
            </w:pPr>
            <w:r w:rsidRPr="009577DE">
              <w:rPr>
                <w:b/>
                <w:color w:val="008000"/>
                <w:sz w:val="16"/>
                <w:szCs w:val="16"/>
              </w:rPr>
              <w:t>Progresa con normalidad</w:t>
            </w:r>
          </w:p>
          <w:p w:rsidR="00B070BF" w:rsidRPr="00827314" w:rsidRDefault="00B070BF" w:rsidP="00C33D4A">
            <w:pPr>
              <w:widowControl w:val="0"/>
              <w:jc w:val="center"/>
              <w:rPr>
                <w:b/>
                <w:sz w:val="16"/>
                <w:szCs w:val="16"/>
              </w:rPr>
            </w:pPr>
          </w:p>
          <w:p w:rsidR="00B070BF" w:rsidRPr="00827314" w:rsidRDefault="00B070BF" w:rsidP="00C33D4A">
            <w:pPr>
              <w:widowControl w:val="0"/>
              <w:jc w:val="center"/>
              <w:rPr>
                <w:b/>
                <w:sz w:val="16"/>
                <w:szCs w:val="16"/>
              </w:rPr>
            </w:pPr>
          </w:p>
          <w:p w:rsidR="00B070BF" w:rsidRPr="00827314" w:rsidRDefault="00B070BF" w:rsidP="00C33D4A">
            <w:pPr>
              <w:widowControl w:val="0"/>
              <w:rPr>
                <w:b/>
                <w:sz w:val="16"/>
                <w:szCs w:val="16"/>
              </w:rPr>
            </w:pPr>
            <w:r w:rsidRPr="00827314">
              <w:rPr>
                <w:b/>
                <w:sz w:val="16"/>
                <w:szCs w:val="16"/>
              </w:rPr>
              <w:br/>
            </w:r>
          </w:p>
        </w:tc>
      </w:tr>
      <w:tr w:rsidR="00B070BF" w:rsidRPr="00827314" w:rsidTr="00C33D4A">
        <w:tc>
          <w:tcPr>
            <w:tcW w:w="874" w:type="pct"/>
            <w:tcBorders>
              <w:bottom w:val="single" w:sz="4" w:space="0" w:color="auto"/>
            </w:tcBorders>
            <w:shd w:val="clear" w:color="auto" w:fill="auto"/>
          </w:tcPr>
          <w:p w:rsidR="00B070BF" w:rsidRPr="00827314" w:rsidRDefault="00B070BF" w:rsidP="00C33D4A">
            <w:pPr>
              <w:widowControl w:val="0"/>
              <w:rPr>
                <w:sz w:val="16"/>
                <w:szCs w:val="16"/>
              </w:rPr>
            </w:pPr>
            <w:r w:rsidRPr="00827314">
              <w:rPr>
                <w:sz w:val="16"/>
                <w:szCs w:val="16"/>
              </w:rPr>
              <w:t>Mayor información proporcionada por los usuarios del PCT sobre el desempeño global del sistema.</w:t>
            </w:r>
          </w:p>
          <w:p w:rsidR="00B070BF" w:rsidRPr="00827314" w:rsidRDefault="00B070BF" w:rsidP="00C33D4A">
            <w:pPr>
              <w:widowControl w:val="0"/>
              <w:rPr>
                <w:sz w:val="16"/>
                <w:szCs w:val="16"/>
              </w:rPr>
            </w:pPr>
          </w:p>
        </w:tc>
        <w:tc>
          <w:tcPr>
            <w:tcW w:w="805" w:type="pct"/>
            <w:tcBorders>
              <w:bottom w:val="single" w:sz="4" w:space="0" w:color="auto"/>
            </w:tcBorders>
            <w:shd w:val="clear" w:color="auto" w:fill="B3B3B3"/>
          </w:tcPr>
          <w:p w:rsidR="00B070BF" w:rsidRPr="00827314" w:rsidRDefault="00B070BF" w:rsidP="00C33D4A">
            <w:pPr>
              <w:widowControl w:val="0"/>
              <w:rPr>
                <w:sz w:val="16"/>
                <w:szCs w:val="16"/>
              </w:rPr>
            </w:pPr>
            <w:r w:rsidRPr="00827314">
              <w:rPr>
                <w:sz w:val="16"/>
                <w:szCs w:val="16"/>
              </w:rPr>
              <w:t>A determinar fin de 2011.</w:t>
            </w:r>
          </w:p>
        </w:tc>
        <w:tc>
          <w:tcPr>
            <w:tcW w:w="916" w:type="pct"/>
            <w:tcBorders>
              <w:bottom w:val="single" w:sz="4" w:space="0" w:color="auto"/>
            </w:tcBorders>
            <w:shd w:val="clear" w:color="auto" w:fill="auto"/>
            <w:tcMar>
              <w:top w:w="110" w:type="dxa"/>
            </w:tcMar>
          </w:tcPr>
          <w:p w:rsidR="00B070BF" w:rsidRPr="00793D61" w:rsidRDefault="00B070BF" w:rsidP="00C33D4A">
            <w:pPr>
              <w:widowControl w:val="0"/>
              <w:rPr>
                <w:color w:val="943634"/>
                <w:sz w:val="16"/>
                <w:szCs w:val="16"/>
                <w:lang w:bidi="th-TH"/>
              </w:rPr>
            </w:pPr>
            <w:r w:rsidRPr="00793D61">
              <w:rPr>
                <w:color w:val="943634"/>
                <w:sz w:val="16"/>
                <w:szCs w:val="16"/>
                <w:lang w:bidi="th-TH"/>
              </w:rPr>
              <w:t>116 solicitudes de información</w:t>
            </w:r>
          </w:p>
        </w:tc>
        <w:tc>
          <w:tcPr>
            <w:tcW w:w="1848" w:type="pct"/>
            <w:tcBorders>
              <w:bottom w:val="single" w:sz="4" w:space="0" w:color="auto"/>
            </w:tcBorders>
            <w:shd w:val="clear" w:color="auto" w:fill="FFFFFF"/>
            <w:tcMar>
              <w:top w:w="110" w:type="dxa"/>
            </w:tcMar>
          </w:tcPr>
          <w:p w:rsidR="00B070BF" w:rsidRPr="00827314" w:rsidRDefault="00B070BF" w:rsidP="00C33D4A">
            <w:pPr>
              <w:widowControl w:val="0"/>
              <w:rPr>
                <w:sz w:val="16"/>
                <w:szCs w:val="16"/>
                <w:lang w:bidi="th-TH"/>
              </w:rPr>
            </w:pPr>
            <w:r w:rsidRPr="00827314">
              <w:rPr>
                <w:sz w:val="16"/>
                <w:szCs w:val="16"/>
                <w:lang w:bidi="th-TH"/>
              </w:rPr>
              <w:t>101 solicitudes de información formuladas en todos los seminarios (62) y presentaciones (39)</w:t>
            </w:r>
          </w:p>
          <w:p w:rsidR="00B070BF" w:rsidRPr="00827314" w:rsidRDefault="00B070BF" w:rsidP="00C33D4A">
            <w:pPr>
              <w:widowControl w:val="0"/>
              <w:jc w:val="right"/>
              <w:rPr>
                <w:sz w:val="16"/>
                <w:szCs w:val="16"/>
                <w:lang w:bidi="th-TH"/>
              </w:rPr>
            </w:pPr>
          </w:p>
          <w:p w:rsidR="00B070BF" w:rsidRPr="00827314" w:rsidRDefault="00B070BF" w:rsidP="00C33D4A">
            <w:pPr>
              <w:widowControl w:val="0"/>
              <w:rPr>
                <w:sz w:val="16"/>
                <w:szCs w:val="16"/>
                <w:lang w:bidi="th-TH"/>
              </w:rPr>
            </w:pPr>
            <w:r w:rsidRPr="00827314">
              <w:rPr>
                <w:sz w:val="16"/>
                <w:szCs w:val="16"/>
                <w:lang w:bidi="th-TH"/>
              </w:rPr>
              <w:t>Aproximadamente en 15 casos se recibieron comentarios de los usuarios del PCT sobre el desempeño global del sistema.</w:t>
            </w:r>
          </w:p>
        </w:tc>
        <w:tc>
          <w:tcPr>
            <w:tcW w:w="557" w:type="pct"/>
            <w:tcBorders>
              <w:bottom w:val="single" w:sz="4" w:space="0" w:color="auto"/>
            </w:tcBorders>
            <w:shd w:val="clear" w:color="auto" w:fill="auto"/>
            <w:tcMar>
              <w:top w:w="110" w:type="dxa"/>
            </w:tcMar>
            <w:vAlign w:val="center"/>
          </w:tcPr>
          <w:p w:rsidR="00B070BF" w:rsidRPr="00827314" w:rsidRDefault="00B070BF" w:rsidP="00C33D4A">
            <w:pPr>
              <w:widowControl w:val="0"/>
              <w:jc w:val="center"/>
              <w:rPr>
                <w:b/>
                <w:sz w:val="16"/>
                <w:szCs w:val="16"/>
              </w:rPr>
            </w:pPr>
            <w:r w:rsidRPr="009577DE">
              <w:rPr>
                <w:b/>
                <w:color w:val="008000"/>
                <w:sz w:val="16"/>
                <w:szCs w:val="16"/>
              </w:rPr>
              <w:t>Progresa con normalidad</w:t>
            </w:r>
          </w:p>
          <w:p w:rsidR="00B070BF" w:rsidRPr="00827314" w:rsidRDefault="00B070BF" w:rsidP="00C33D4A">
            <w:pPr>
              <w:widowControl w:val="0"/>
              <w:jc w:val="center"/>
              <w:rPr>
                <w:b/>
                <w:sz w:val="16"/>
                <w:szCs w:val="16"/>
              </w:rPr>
            </w:pPr>
          </w:p>
          <w:p w:rsidR="00B070BF" w:rsidRPr="00827314" w:rsidRDefault="00B070BF" w:rsidP="00C33D4A">
            <w:pPr>
              <w:widowControl w:val="0"/>
              <w:jc w:val="center"/>
              <w:rPr>
                <w:b/>
                <w:sz w:val="16"/>
                <w:szCs w:val="16"/>
              </w:rPr>
            </w:pPr>
          </w:p>
          <w:p w:rsidR="00B070BF" w:rsidRPr="00827314" w:rsidRDefault="00B070BF" w:rsidP="00C33D4A">
            <w:pPr>
              <w:widowControl w:val="0"/>
              <w:jc w:val="center"/>
              <w:rPr>
                <w:b/>
                <w:sz w:val="16"/>
                <w:szCs w:val="16"/>
              </w:rPr>
            </w:pPr>
          </w:p>
          <w:p w:rsidR="00B070BF" w:rsidRPr="00827314" w:rsidRDefault="00B070BF" w:rsidP="00C33D4A">
            <w:pPr>
              <w:widowControl w:val="0"/>
              <w:rPr>
                <w:b/>
                <w:sz w:val="16"/>
                <w:szCs w:val="16"/>
              </w:rPr>
            </w:pPr>
          </w:p>
          <w:p w:rsidR="00B070BF" w:rsidRPr="00827314" w:rsidRDefault="00B070BF" w:rsidP="00C33D4A">
            <w:pPr>
              <w:widowControl w:val="0"/>
              <w:rPr>
                <w:b/>
                <w:sz w:val="16"/>
                <w:szCs w:val="16"/>
              </w:rPr>
            </w:pPr>
          </w:p>
          <w:p w:rsidR="00B070BF" w:rsidRPr="00827314" w:rsidRDefault="00B070BF" w:rsidP="00C33D4A">
            <w:pPr>
              <w:widowControl w:val="0"/>
              <w:spacing w:after="120"/>
              <w:jc w:val="center"/>
              <w:rPr>
                <w:b/>
                <w:sz w:val="16"/>
                <w:szCs w:val="16"/>
              </w:rPr>
            </w:pPr>
          </w:p>
        </w:tc>
      </w:tr>
    </w:tbl>
    <w:p w:rsidR="00B070BF" w:rsidRPr="00827314" w:rsidRDefault="00B070BF" w:rsidP="00B070BF">
      <w:pPr>
        <w:widowControl w:val="0"/>
      </w:pPr>
    </w:p>
    <w:tbl>
      <w:tblPr>
        <w:tblW w:w="5000" w:type="pct"/>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628"/>
        <w:gridCol w:w="1519"/>
        <w:gridCol w:w="1726"/>
        <w:gridCol w:w="3619"/>
        <w:gridCol w:w="1079"/>
      </w:tblGrid>
      <w:tr w:rsidR="00B070BF" w:rsidRPr="00827314" w:rsidTr="00C33D4A">
        <w:tc>
          <w:tcPr>
            <w:tcW w:w="5000" w:type="pct"/>
            <w:gridSpan w:val="5"/>
            <w:tcBorders>
              <w:top w:val="single" w:sz="4" w:space="0" w:color="auto"/>
              <w:bottom w:val="single" w:sz="4" w:space="0" w:color="auto"/>
            </w:tcBorders>
            <w:shd w:val="clear" w:color="auto" w:fill="CCFFFF"/>
            <w:vAlign w:val="center"/>
          </w:tcPr>
          <w:p w:rsidR="00B070BF" w:rsidRPr="00827314" w:rsidRDefault="00B070BF" w:rsidP="00C33D4A">
            <w:pPr>
              <w:widowControl w:val="0"/>
              <w:tabs>
                <w:tab w:val="left" w:pos="1735"/>
              </w:tabs>
              <w:spacing w:before="120" w:after="120"/>
              <w:ind w:left="1735" w:hanging="1735"/>
              <w:rPr>
                <w:b/>
                <w:bCs/>
                <w:sz w:val="16"/>
                <w:szCs w:val="16"/>
              </w:rPr>
            </w:pPr>
            <w:r w:rsidRPr="00827314">
              <w:rPr>
                <w:b/>
                <w:bCs/>
                <w:sz w:val="16"/>
                <w:szCs w:val="16"/>
              </w:rPr>
              <w:t>Resultado previsto:</w:t>
            </w:r>
            <w:r w:rsidRPr="00827314">
              <w:rPr>
                <w:b/>
                <w:bCs/>
                <w:sz w:val="16"/>
                <w:szCs w:val="16"/>
              </w:rPr>
              <w:tab/>
            </w:r>
            <w:r w:rsidRPr="00827314">
              <w:rPr>
                <w:bCs/>
                <w:sz w:val="16"/>
                <w:szCs w:val="16"/>
              </w:rPr>
              <w:t xml:space="preserve"> Perfeccionamiento del sistema del PCT en su conjunto.</w:t>
            </w:r>
          </w:p>
        </w:tc>
      </w:tr>
      <w:tr w:rsidR="00B070BF" w:rsidRPr="00827314" w:rsidTr="00C33D4A">
        <w:tc>
          <w:tcPr>
            <w:tcW w:w="867" w:type="pct"/>
            <w:tcBorders>
              <w:top w:val="single" w:sz="4" w:space="0" w:color="auto"/>
            </w:tcBorders>
            <w:shd w:val="clear" w:color="auto" w:fill="auto"/>
            <w:vAlign w:val="center"/>
          </w:tcPr>
          <w:p w:rsidR="00B070BF" w:rsidRPr="00827314" w:rsidRDefault="00B070BF" w:rsidP="00C33D4A">
            <w:pPr>
              <w:widowControl w:val="0"/>
              <w:spacing w:after="120"/>
              <w:rPr>
                <w:sz w:val="16"/>
                <w:szCs w:val="16"/>
              </w:rPr>
            </w:pPr>
            <w:r w:rsidRPr="00827314">
              <w:rPr>
                <w:b/>
                <w:bCs/>
                <w:sz w:val="16"/>
                <w:szCs w:val="16"/>
              </w:rPr>
              <w:t>Indicadores de rendimiento</w:t>
            </w:r>
          </w:p>
        </w:tc>
        <w:tc>
          <w:tcPr>
            <w:tcW w:w="810" w:type="pct"/>
            <w:tcBorders>
              <w:top w:val="single" w:sz="4" w:space="0" w:color="auto"/>
            </w:tcBorders>
            <w:shd w:val="clear" w:color="auto" w:fill="C0C0C0"/>
          </w:tcPr>
          <w:p w:rsidR="00B070BF" w:rsidRPr="00827314" w:rsidRDefault="00B070BF" w:rsidP="00C33D4A">
            <w:pPr>
              <w:widowControl w:val="0"/>
              <w:spacing w:after="120"/>
              <w:rPr>
                <w:b/>
                <w:bCs/>
                <w:sz w:val="16"/>
                <w:szCs w:val="16"/>
              </w:rPr>
            </w:pPr>
            <w:r w:rsidRPr="00827314">
              <w:rPr>
                <w:b/>
                <w:bCs/>
                <w:sz w:val="16"/>
                <w:szCs w:val="16"/>
              </w:rPr>
              <w:t>Referencia (</w:t>
            </w:r>
            <w:proofErr w:type="spellStart"/>
            <w:r w:rsidRPr="00827314">
              <w:rPr>
                <w:b/>
                <w:bCs/>
                <w:sz w:val="16"/>
                <w:szCs w:val="16"/>
              </w:rPr>
              <w:t>Presup</w:t>
            </w:r>
            <w:proofErr w:type="spellEnd"/>
            <w:r w:rsidRPr="00827314">
              <w:rPr>
                <w:b/>
                <w:bCs/>
                <w:sz w:val="16"/>
                <w:szCs w:val="16"/>
              </w:rPr>
              <w:t xml:space="preserve">. por </w:t>
            </w:r>
            <w:proofErr w:type="spellStart"/>
            <w:r w:rsidRPr="00827314">
              <w:rPr>
                <w:b/>
                <w:bCs/>
                <w:sz w:val="16"/>
                <w:szCs w:val="16"/>
              </w:rPr>
              <w:t>prog</w:t>
            </w:r>
            <w:proofErr w:type="spellEnd"/>
            <w:r w:rsidRPr="00827314">
              <w:rPr>
                <w:b/>
                <w:bCs/>
                <w:sz w:val="16"/>
                <w:szCs w:val="16"/>
              </w:rPr>
              <w:t>. 2012/13)</w:t>
            </w:r>
          </w:p>
        </w:tc>
        <w:tc>
          <w:tcPr>
            <w:tcW w:w="918" w:type="pct"/>
            <w:tcBorders>
              <w:top w:val="single" w:sz="4" w:space="0" w:color="auto"/>
            </w:tcBorders>
            <w:shd w:val="clear" w:color="auto" w:fill="auto"/>
            <w:tcMar>
              <w:top w:w="110" w:type="dxa"/>
            </w:tcMar>
            <w:vAlign w:val="center"/>
          </w:tcPr>
          <w:p w:rsidR="00B070BF" w:rsidRPr="00827314" w:rsidRDefault="00B070BF" w:rsidP="00C33D4A">
            <w:pPr>
              <w:widowControl w:val="0"/>
              <w:spacing w:after="120"/>
              <w:rPr>
                <w:b/>
                <w:sz w:val="16"/>
                <w:szCs w:val="16"/>
              </w:rPr>
            </w:pPr>
            <w:r w:rsidRPr="00BF138D">
              <w:rPr>
                <w:b/>
                <w:color w:val="993300"/>
                <w:sz w:val="16"/>
                <w:szCs w:val="16"/>
              </w:rPr>
              <w:t>Referencia actualizada a finales de 2011</w:t>
            </w:r>
            <w:r w:rsidRPr="00827314">
              <w:rPr>
                <w:b/>
                <w:sz w:val="16"/>
                <w:szCs w:val="16"/>
              </w:rPr>
              <w:t xml:space="preserve"> </w:t>
            </w:r>
          </w:p>
        </w:tc>
        <w:tc>
          <w:tcPr>
            <w:tcW w:w="1907" w:type="pct"/>
            <w:tcBorders>
              <w:top w:val="single" w:sz="4" w:space="0" w:color="auto"/>
            </w:tcBorders>
            <w:shd w:val="clear" w:color="auto" w:fill="FFFFFF"/>
            <w:tcMar>
              <w:top w:w="110" w:type="dxa"/>
            </w:tcMar>
            <w:vAlign w:val="center"/>
          </w:tcPr>
          <w:p w:rsidR="00B070BF" w:rsidRPr="00827314" w:rsidRDefault="00B070BF" w:rsidP="00C33D4A">
            <w:pPr>
              <w:widowControl w:val="0"/>
              <w:spacing w:after="120"/>
              <w:rPr>
                <w:sz w:val="16"/>
                <w:szCs w:val="16"/>
              </w:rPr>
            </w:pPr>
            <w:r w:rsidRPr="00827314">
              <w:rPr>
                <w:b/>
                <w:bCs/>
                <w:sz w:val="16"/>
                <w:szCs w:val="16"/>
              </w:rPr>
              <w:t>Datos sobre el rendimiento</w:t>
            </w:r>
          </w:p>
        </w:tc>
        <w:tc>
          <w:tcPr>
            <w:tcW w:w="498" w:type="pct"/>
            <w:tcBorders>
              <w:top w:val="single" w:sz="4" w:space="0" w:color="auto"/>
            </w:tcBorders>
            <w:shd w:val="clear" w:color="auto" w:fill="auto"/>
            <w:tcMar>
              <w:top w:w="110" w:type="dxa"/>
            </w:tcMar>
            <w:vAlign w:val="center"/>
          </w:tcPr>
          <w:p w:rsidR="00B070BF" w:rsidRPr="00827314" w:rsidRDefault="00B070BF" w:rsidP="00C33D4A">
            <w:pPr>
              <w:widowControl w:val="0"/>
              <w:spacing w:after="120"/>
              <w:jc w:val="center"/>
              <w:rPr>
                <w:b/>
                <w:bCs/>
                <w:sz w:val="16"/>
                <w:szCs w:val="16"/>
              </w:rPr>
            </w:pPr>
            <w:r w:rsidRPr="00827314">
              <w:rPr>
                <w:b/>
                <w:bCs/>
                <w:sz w:val="16"/>
                <w:szCs w:val="16"/>
              </w:rPr>
              <w:t>Clave de colores</w:t>
            </w:r>
          </w:p>
        </w:tc>
      </w:tr>
      <w:tr w:rsidR="00B070BF" w:rsidRPr="00827314" w:rsidTr="00C33D4A">
        <w:tc>
          <w:tcPr>
            <w:tcW w:w="867" w:type="pct"/>
            <w:tcBorders>
              <w:bottom w:val="single" w:sz="4" w:space="0" w:color="auto"/>
            </w:tcBorders>
            <w:shd w:val="clear" w:color="auto" w:fill="FFFFFF"/>
          </w:tcPr>
          <w:p w:rsidR="00B070BF" w:rsidRPr="00827314" w:rsidRDefault="00B070BF" w:rsidP="00C33D4A">
            <w:pPr>
              <w:widowControl w:val="0"/>
              <w:rPr>
                <w:sz w:val="16"/>
                <w:szCs w:val="16"/>
              </w:rPr>
            </w:pPr>
            <w:r w:rsidRPr="00827314">
              <w:rPr>
                <w:sz w:val="16"/>
                <w:szCs w:val="16"/>
              </w:rPr>
              <w:t xml:space="preserve">Progresos en la aplicación de las recomendaciones respaldadas por el Grupo de Trabajo del PCT en 2010 acerca de la forma de mejorar el funcionamiento del </w:t>
            </w:r>
            <w:r w:rsidRPr="00827314">
              <w:rPr>
                <w:sz w:val="16"/>
                <w:szCs w:val="16"/>
              </w:rPr>
              <w:lastRenderedPageBreak/>
              <w:t>PCT, concretamente en relación con los seis grupos de cuestiones que figuran a continuación: i) retrasos:  mejorar la calidad de las patentes concedidas; ii) puntualidad en la fase internacional; iii) calidad en las búsquedas internacionales y en los exámenes preliminares; iv) incentivos para que los solicitantes hagan un uso eficaz del sistema;  lagunas en materia de competencias y de mano de obra; v) cuestiones relativas a los costos;  coherencia y disponibilidad de salvaguardias; vi) asistencia técnica;  información y transferencia de tecnología en el marco del PCT.</w:t>
            </w:r>
          </w:p>
          <w:p w:rsidR="00B070BF" w:rsidRPr="00827314" w:rsidRDefault="00B070BF" w:rsidP="00C33D4A">
            <w:pPr>
              <w:widowControl w:val="0"/>
              <w:rPr>
                <w:sz w:val="16"/>
                <w:szCs w:val="16"/>
              </w:rPr>
            </w:pPr>
          </w:p>
        </w:tc>
        <w:tc>
          <w:tcPr>
            <w:tcW w:w="810" w:type="pct"/>
            <w:tcBorders>
              <w:bottom w:val="single" w:sz="4" w:space="0" w:color="auto"/>
            </w:tcBorders>
            <w:shd w:val="clear" w:color="auto" w:fill="C0C0C0"/>
          </w:tcPr>
          <w:p w:rsidR="00B070BF" w:rsidRPr="00827314" w:rsidRDefault="00B070BF" w:rsidP="00C33D4A">
            <w:pPr>
              <w:widowControl w:val="0"/>
              <w:rPr>
                <w:sz w:val="16"/>
                <w:szCs w:val="16"/>
              </w:rPr>
            </w:pPr>
            <w:r w:rsidRPr="00827314">
              <w:rPr>
                <w:sz w:val="16"/>
                <w:szCs w:val="16"/>
              </w:rPr>
              <w:lastRenderedPageBreak/>
              <w:t>Decisiones adoptadas en 2011 por los órganos correspondientes del PCT.</w:t>
            </w:r>
          </w:p>
        </w:tc>
        <w:tc>
          <w:tcPr>
            <w:tcW w:w="918" w:type="pct"/>
            <w:tcBorders>
              <w:bottom w:val="single" w:sz="4" w:space="0" w:color="auto"/>
            </w:tcBorders>
            <w:shd w:val="clear" w:color="auto" w:fill="auto"/>
            <w:tcMar>
              <w:top w:w="110" w:type="dxa"/>
            </w:tcMar>
          </w:tcPr>
          <w:p w:rsidR="00B070BF" w:rsidRPr="00827314" w:rsidRDefault="00B070BF" w:rsidP="00C33D4A">
            <w:pPr>
              <w:widowControl w:val="0"/>
              <w:rPr>
                <w:sz w:val="16"/>
                <w:szCs w:val="16"/>
                <w:lang w:bidi="th-TH"/>
              </w:rPr>
            </w:pPr>
          </w:p>
        </w:tc>
        <w:tc>
          <w:tcPr>
            <w:tcW w:w="1907" w:type="pct"/>
            <w:tcBorders>
              <w:bottom w:val="single" w:sz="4" w:space="0" w:color="auto"/>
            </w:tcBorders>
            <w:shd w:val="clear" w:color="auto" w:fill="FFFFFF"/>
            <w:tcMar>
              <w:top w:w="110" w:type="dxa"/>
            </w:tcMar>
          </w:tcPr>
          <w:p w:rsidR="00B070BF" w:rsidRPr="00927FB8" w:rsidRDefault="00B070BF" w:rsidP="00C33D4A">
            <w:pPr>
              <w:widowControl w:val="0"/>
              <w:ind w:firstLine="33"/>
              <w:rPr>
                <w:sz w:val="16"/>
                <w:szCs w:val="16"/>
                <w:lang w:bidi="th-TH"/>
              </w:rPr>
            </w:pPr>
            <w:r w:rsidRPr="00575660">
              <w:rPr>
                <w:sz w:val="16"/>
                <w:szCs w:val="16"/>
                <w:lang w:bidi="th-TH"/>
              </w:rPr>
              <w:t xml:space="preserve">La hoja de ruta del PCT Progresa con normalidad y se han realizado avances significativos en los siguientes aspectos:  a) en el orden del día del PCT </w:t>
            </w:r>
            <w:r w:rsidRPr="00927FB8">
              <w:rPr>
                <w:sz w:val="16"/>
                <w:szCs w:val="16"/>
                <w:lang w:bidi="th-TH"/>
              </w:rPr>
              <w:t xml:space="preserve">se destaca ahora la calidad de los productos brindados, entre otros, los informes de búsqueda internacionales y las opiniones escritas, así como la administración de la Oficina Internacional y las oficinas nacionales;  b) los debates entre las partes </w:t>
            </w:r>
            <w:r w:rsidRPr="00927FB8">
              <w:rPr>
                <w:sz w:val="16"/>
                <w:szCs w:val="16"/>
                <w:lang w:bidi="th-TH"/>
              </w:rPr>
              <w:lastRenderedPageBreak/>
              <w:t>interesadas a nivel nacional reconocen la utilidad de alta calidad de los productos del PCT y la importancia del PCT para el funcionamiento del sistema internacional de patentes;  c) las partes interesadas comprenden mejor el papel del PCT en la difusión eficaz de información técnica;  y d) mejor comprensión de las necesidades de las Partes Contratantes respecto a la alta calidad de las solicitudes internacionales y de los productos del PCT con el fin de fortalecer las capacidades de las Partes Contratantes para realizar su propia búsqueda y examen, así como de las necesidades de prestación de asistencia técnica continua al respecto a los países en desarrollo y menos desarrollados.</w:t>
            </w:r>
          </w:p>
          <w:p w:rsidR="00B070BF" w:rsidRPr="00927FB8" w:rsidRDefault="00B070BF" w:rsidP="00C33D4A">
            <w:pPr>
              <w:widowControl w:val="0"/>
              <w:rPr>
                <w:sz w:val="16"/>
                <w:szCs w:val="16"/>
                <w:lang w:bidi="th-TH"/>
              </w:rPr>
            </w:pPr>
          </w:p>
          <w:p w:rsidR="00B070BF" w:rsidRPr="00927FB8" w:rsidRDefault="00B070BF" w:rsidP="00C33D4A">
            <w:pPr>
              <w:widowControl w:val="0"/>
              <w:rPr>
                <w:sz w:val="16"/>
                <w:szCs w:val="16"/>
                <w:lang w:bidi="th-TH"/>
              </w:rPr>
            </w:pPr>
          </w:p>
          <w:p w:rsidR="00B070BF" w:rsidRPr="00927FB8" w:rsidRDefault="00B070BF" w:rsidP="00C33D4A">
            <w:pPr>
              <w:widowControl w:val="0"/>
              <w:rPr>
                <w:sz w:val="16"/>
                <w:szCs w:val="16"/>
                <w:lang w:bidi="th-TH"/>
              </w:rPr>
            </w:pPr>
          </w:p>
        </w:tc>
        <w:tc>
          <w:tcPr>
            <w:tcW w:w="498" w:type="pct"/>
            <w:tcBorders>
              <w:bottom w:val="single" w:sz="4" w:space="0" w:color="auto"/>
            </w:tcBorders>
            <w:shd w:val="clear" w:color="auto" w:fill="auto"/>
            <w:tcMar>
              <w:top w:w="110" w:type="dxa"/>
            </w:tcMar>
          </w:tcPr>
          <w:p w:rsidR="00B070BF" w:rsidRPr="00827314" w:rsidRDefault="00B070BF" w:rsidP="00C33D4A">
            <w:pPr>
              <w:widowControl w:val="0"/>
              <w:jc w:val="center"/>
              <w:rPr>
                <w:b/>
                <w:sz w:val="16"/>
                <w:szCs w:val="16"/>
              </w:rPr>
            </w:pPr>
            <w:r w:rsidRPr="009577DE">
              <w:rPr>
                <w:b/>
                <w:color w:val="008000"/>
                <w:sz w:val="16"/>
                <w:szCs w:val="16"/>
              </w:rPr>
              <w:lastRenderedPageBreak/>
              <w:t>Progresa con normalidad</w:t>
            </w:r>
          </w:p>
          <w:p w:rsidR="00B070BF" w:rsidRPr="00827314" w:rsidRDefault="00B070BF" w:rsidP="00C33D4A">
            <w:pPr>
              <w:widowControl w:val="0"/>
              <w:jc w:val="center"/>
              <w:rPr>
                <w:bCs/>
                <w:sz w:val="16"/>
                <w:szCs w:val="16"/>
              </w:rPr>
            </w:pPr>
          </w:p>
          <w:p w:rsidR="00B070BF" w:rsidRPr="00827314" w:rsidRDefault="00B070BF" w:rsidP="00C33D4A">
            <w:pPr>
              <w:widowControl w:val="0"/>
              <w:jc w:val="center"/>
              <w:rPr>
                <w:bCs/>
                <w:sz w:val="16"/>
                <w:szCs w:val="16"/>
              </w:rPr>
            </w:pPr>
          </w:p>
        </w:tc>
      </w:tr>
    </w:tbl>
    <w:p w:rsidR="00B070BF" w:rsidRDefault="00B070BF" w:rsidP="00B070BF">
      <w:pPr>
        <w:widowControl w:val="0"/>
        <w:tabs>
          <w:tab w:val="left" w:pos="3095"/>
        </w:tabs>
        <w:rPr>
          <w:b/>
          <w:sz w:val="20"/>
          <w:lang w:val="es-ES_tradnl"/>
        </w:rPr>
      </w:pPr>
    </w:p>
    <w:tbl>
      <w:tblPr>
        <w:tblW w:w="5000" w:type="pct"/>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588"/>
        <w:gridCol w:w="1479"/>
        <w:gridCol w:w="1686"/>
        <w:gridCol w:w="3579"/>
        <w:gridCol w:w="1239"/>
      </w:tblGrid>
      <w:tr w:rsidR="00B070BF" w:rsidRPr="00827314" w:rsidTr="00C33D4A">
        <w:tc>
          <w:tcPr>
            <w:tcW w:w="5000" w:type="pct"/>
            <w:gridSpan w:val="5"/>
            <w:tcBorders>
              <w:top w:val="single" w:sz="4" w:space="0" w:color="auto"/>
              <w:bottom w:val="single" w:sz="4" w:space="0" w:color="auto"/>
            </w:tcBorders>
            <w:shd w:val="clear" w:color="auto" w:fill="CCFFFF"/>
            <w:vAlign w:val="center"/>
          </w:tcPr>
          <w:p w:rsidR="00B070BF" w:rsidRPr="00827314" w:rsidRDefault="00B070BF" w:rsidP="00C33D4A">
            <w:pPr>
              <w:widowControl w:val="0"/>
              <w:tabs>
                <w:tab w:val="left" w:pos="1735"/>
              </w:tabs>
              <w:spacing w:before="120" w:after="120"/>
              <w:ind w:left="1735" w:hanging="1735"/>
              <w:rPr>
                <w:b/>
                <w:bCs/>
                <w:sz w:val="16"/>
                <w:szCs w:val="16"/>
              </w:rPr>
            </w:pPr>
            <w:r w:rsidRPr="00827314">
              <w:rPr>
                <w:b/>
                <w:bCs/>
                <w:sz w:val="16"/>
                <w:szCs w:val="16"/>
              </w:rPr>
              <w:t>Resultados previstos:</w:t>
            </w:r>
            <w:r w:rsidRPr="00827314">
              <w:rPr>
                <w:b/>
                <w:bCs/>
                <w:sz w:val="16"/>
                <w:szCs w:val="16"/>
              </w:rPr>
              <w:tab/>
            </w:r>
            <w:r w:rsidRPr="00827314">
              <w:rPr>
                <w:sz w:val="16"/>
                <w:szCs w:val="16"/>
              </w:rPr>
              <w:t xml:space="preserve">Mejor </w:t>
            </w:r>
            <w:r w:rsidRPr="006A2B46">
              <w:rPr>
                <w:bCs/>
                <w:sz w:val="16"/>
                <w:szCs w:val="16"/>
              </w:rPr>
              <w:t>funcionamiento</w:t>
            </w:r>
            <w:r w:rsidRPr="00827314">
              <w:rPr>
                <w:sz w:val="16"/>
                <w:szCs w:val="16"/>
              </w:rPr>
              <w:t xml:space="preserve"> de la Oficina Internacional (véase el Anexo VI)</w:t>
            </w:r>
          </w:p>
        </w:tc>
      </w:tr>
      <w:tr w:rsidR="00B070BF" w:rsidRPr="00827314" w:rsidTr="00C33D4A">
        <w:tc>
          <w:tcPr>
            <w:tcW w:w="867" w:type="pct"/>
            <w:tcBorders>
              <w:top w:val="single" w:sz="4" w:space="0" w:color="auto"/>
            </w:tcBorders>
            <w:shd w:val="clear" w:color="auto" w:fill="auto"/>
            <w:vAlign w:val="center"/>
          </w:tcPr>
          <w:p w:rsidR="00B070BF" w:rsidRPr="00827314" w:rsidRDefault="00B070BF" w:rsidP="00C33D4A">
            <w:pPr>
              <w:widowControl w:val="0"/>
              <w:spacing w:after="120"/>
              <w:rPr>
                <w:sz w:val="16"/>
                <w:szCs w:val="16"/>
              </w:rPr>
            </w:pPr>
            <w:r w:rsidRPr="00827314">
              <w:rPr>
                <w:b/>
                <w:bCs/>
                <w:sz w:val="16"/>
                <w:szCs w:val="16"/>
              </w:rPr>
              <w:t>Indicadores de rendimiento</w:t>
            </w:r>
          </w:p>
        </w:tc>
        <w:tc>
          <w:tcPr>
            <w:tcW w:w="810" w:type="pct"/>
            <w:tcBorders>
              <w:top w:val="single" w:sz="4" w:space="0" w:color="auto"/>
            </w:tcBorders>
            <w:shd w:val="clear" w:color="auto" w:fill="C0C0C0"/>
          </w:tcPr>
          <w:p w:rsidR="00B070BF" w:rsidRPr="00827314" w:rsidRDefault="00B070BF" w:rsidP="00C33D4A">
            <w:pPr>
              <w:widowControl w:val="0"/>
              <w:spacing w:after="120"/>
              <w:rPr>
                <w:b/>
                <w:bCs/>
                <w:sz w:val="16"/>
                <w:szCs w:val="16"/>
              </w:rPr>
            </w:pPr>
            <w:r w:rsidRPr="00827314">
              <w:rPr>
                <w:b/>
                <w:bCs/>
                <w:sz w:val="16"/>
                <w:szCs w:val="16"/>
              </w:rPr>
              <w:t>Referencia (</w:t>
            </w:r>
            <w:proofErr w:type="spellStart"/>
            <w:r w:rsidRPr="00827314">
              <w:rPr>
                <w:b/>
                <w:bCs/>
                <w:sz w:val="16"/>
                <w:szCs w:val="16"/>
              </w:rPr>
              <w:t>Presup</w:t>
            </w:r>
            <w:proofErr w:type="spellEnd"/>
            <w:r w:rsidRPr="00827314">
              <w:rPr>
                <w:b/>
                <w:bCs/>
                <w:sz w:val="16"/>
                <w:szCs w:val="16"/>
              </w:rPr>
              <w:t xml:space="preserve">. por </w:t>
            </w:r>
            <w:proofErr w:type="spellStart"/>
            <w:r w:rsidRPr="00827314">
              <w:rPr>
                <w:b/>
                <w:bCs/>
                <w:sz w:val="16"/>
                <w:szCs w:val="16"/>
              </w:rPr>
              <w:t>prog</w:t>
            </w:r>
            <w:proofErr w:type="spellEnd"/>
            <w:r w:rsidRPr="00827314">
              <w:rPr>
                <w:b/>
                <w:bCs/>
                <w:sz w:val="16"/>
                <w:szCs w:val="16"/>
              </w:rPr>
              <w:t>. 2012/13)</w:t>
            </w:r>
          </w:p>
        </w:tc>
        <w:tc>
          <w:tcPr>
            <w:tcW w:w="918" w:type="pct"/>
            <w:tcBorders>
              <w:top w:val="single" w:sz="4" w:space="0" w:color="auto"/>
            </w:tcBorders>
            <w:shd w:val="clear" w:color="auto" w:fill="auto"/>
            <w:tcMar>
              <w:top w:w="110" w:type="dxa"/>
            </w:tcMar>
            <w:vAlign w:val="center"/>
          </w:tcPr>
          <w:p w:rsidR="00B070BF" w:rsidRPr="00827314" w:rsidRDefault="00B070BF" w:rsidP="00C33D4A">
            <w:pPr>
              <w:widowControl w:val="0"/>
              <w:spacing w:after="120"/>
              <w:rPr>
                <w:b/>
                <w:sz w:val="16"/>
                <w:szCs w:val="16"/>
              </w:rPr>
            </w:pPr>
            <w:r w:rsidRPr="00BF138D">
              <w:rPr>
                <w:b/>
                <w:color w:val="993300"/>
                <w:sz w:val="16"/>
                <w:szCs w:val="16"/>
              </w:rPr>
              <w:t>Referencia actualizada a finales de 2011</w:t>
            </w:r>
            <w:r w:rsidRPr="00827314">
              <w:rPr>
                <w:b/>
                <w:sz w:val="16"/>
                <w:szCs w:val="16"/>
              </w:rPr>
              <w:t xml:space="preserve"> </w:t>
            </w:r>
          </w:p>
        </w:tc>
        <w:tc>
          <w:tcPr>
            <w:tcW w:w="1907" w:type="pct"/>
            <w:tcBorders>
              <w:top w:val="single" w:sz="4" w:space="0" w:color="auto"/>
            </w:tcBorders>
            <w:shd w:val="clear" w:color="auto" w:fill="FFFFFF"/>
            <w:tcMar>
              <w:top w:w="110" w:type="dxa"/>
            </w:tcMar>
            <w:vAlign w:val="center"/>
          </w:tcPr>
          <w:p w:rsidR="00B070BF" w:rsidRPr="00827314" w:rsidRDefault="00B070BF" w:rsidP="00C33D4A">
            <w:pPr>
              <w:widowControl w:val="0"/>
              <w:spacing w:after="120"/>
              <w:rPr>
                <w:sz w:val="16"/>
                <w:szCs w:val="16"/>
              </w:rPr>
            </w:pPr>
            <w:r w:rsidRPr="00827314">
              <w:rPr>
                <w:b/>
                <w:bCs/>
                <w:sz w:val="16"/>
                <w:szCs w:val="16"/>
              </w:rPr>
              <w:t>Datos sobre el rendimiento</w:t>
            </w:r>
          </w:p>
        </w:tc>
        <w:tc>
          <w:tcPr>
            <w:tcW w:w="498" w:type="pct"/>
            <w:tcBorders>
              <w:top w:val="single" w:sz="4" w:space="0" w:color="auto"/>
            </w:tcBorders>
            <w:shd w:val="clear" w:color="auto" w:fill="auto"/>
            <w:tcMar>
              <w:top w:w="110" w:type="dxa"/>
            </w:tcMar>
            <w:vAlign w:val="center"/>
          </w:tcPr>
          <w:p w:rsidR="00B070BF" w:rsidRPr="00827314" w:rsidRDefault="00B070BF" w:rsidP="00C33D4A">
            <w:pPr>
              <w:widowControl w:val="0"/>
              <w:spacing w:after="120"/>
              <w:jc w:val="center"/>
              <w:rPr>
                <w:b/>
                <w:bCs/>
                <w:sz w:val="16"/>
                <w:szCs w:val="16"/>
              </w:rPr>
            </w:pPr>
            <w:r w:rsidRPr="00827314">
              <w:rPr>
                <w:b/>
                <w:bCs/>
                <w:sz w:val="16"/>
                <w:szCs w:val="16"/>
              </w:rPr>
              <w:t>Clave de colores</w:t>
            </w:r>
          </w:p>
        </w:tc>
      </w:tr>
      <w:tr w:rsidR="00B070BF" w:rsidRPr="00827314" w:rsidTr="00C33D4A">
        <w:tc>
          <w:tcPr>
            <w:tcW w:w="867" w:type="pct"/>
            <w:shd w:val="clear" w:color="auto" w:fill="FFFFFF"/>
          </w:tcPr>
          <w:p w:rsidR="00B070BF" w:rsidRPr="00827314" w:rsidRDefault="00B070BF" w:rsidP="00C33D4A">
            <w:pPr>
              <w:widowControl w:val="0"/>
              <w:rPr>
                <w:sz w:val="16"/>
                <w:szCs w:val="16"/>
              </w:rPr>
            </w:pPr>
            <w:r w:rsidRPr="00827314">
              <w:rPr>
                <w:sz w:val="16"/>
                <w:szCs w:val="16"/>
              </w:rPr>
              <w:t>Costo unitario de tramitación de las solicitudes.</w:t>
            </w:r>
          </w:p>
          <w:p w:rsidR="00B070BF" w:rsidRPr="00827314" w:rsidRDefault="00B070BF" w:rsidP="00C33D4A">
            <w:pPr>
              <w:widowControl w:val="0"/>
              <w:rPr>
                <w:sz w:val="16"/>
                <w:szCs w:val="16"/>
              </w:rPr>
            </w:pPr>
          </w:p>
        </w:tc>
        <w:tc>
          <w:tcPr>
            <w:tcW w:w="810" w:type="pct"/>
            <w:shd w:val="clear" w:color="auto" w:fill="C0C0C0"/>
          </w:tcPr>
          <w:p w:rsidR="00B070BF" w:rsidRPr="00827314" w:rsidRDefault="00B070BF" w:rsidP="00C33D4A">
            <w:pPr>
              <w:widowControl w:val="0"/>
              <w:rPr>
                <w:sz w:val="16"/>
                <w:szCs w:val="16"/>
              </w:rPr>
            </w:pPr>
            <w:r w:rsidRPr="00827314">
              <w:rPr>
                <w:sz w:val="16"/>
                <w:szCs w:val="16"/>
              </w:rPr>
              <w:t>Costo unitario en 2011.</w:t>
            </w:r>
          </w:p>
        </w:tc>
        <w:tc>
          <w:tcPr>
            <w:tcW w:w="918" w:type="pct"/>
            <w:shd w:val="clear" w:color="auto" w:fill="auto"/>
            <w:tcMar>
              <w:top w:w="110" w:type="dxa"/>
            </w:tcMar>
          </w:tcPr>
          <w:p w:rsidR="00B070BF" w:rsidRPr="00793D61" w:rsidRDefault="00B070BF" w:rsidP="00C33D4A">
            <w:pPr>
              <w:widowControl w:val="0"/>
              <w:rPr>
                <w:color w:val="943634"/>
                <w:sz w:val="16"/>
                <w:szCs w:val="16"/>
              </w:rPr>
            </w:pPr>
            <w:r w:rsidRPr="00793D61">
              <w:rPr>
                <w:color w:val="943634"/>
                <w:sz w:val="16"/>
                <w:szCs w:val="16"/>
              </w:rPr>
              <w:t>747 francos suizos</w:t>
            </w:r>
          </w:p>
        </w:tc>
        <w:tc>
          <w:tcPr>
            <w:tcW w:w="1907" w:type="pct"/>
            <w:shd w:val="clear" w:color="auto" w:fill="FFFFFF"/>
            <w:tcMar>
              <w:top w:w="110" w:type="dxa"/>
            </w:tcMar>
          </w:tcPr>
          <w:p w:rsidR="00B070BF" w:rsidRPr="00827314" w:rsidRDefault="00B070BF" w:rsidP="00C33D4A">
            <w:pPr>
              <w:widowControl w:val="0"/>
              <w:rPr>
                <w:sz w:val="16"/>
                <w:szCs w:val="16"/>
                <w:lang w:bidi="th-TH"/>
              </w:rPr>
            </w:pPr>
            <w:r w:rsidRPr="00827314">
              <w:rPr>
                <w:sz w:val="16"/>
                <w:szCs w:val="16"/>
                <w:lang w:bidi="th-TH"/>
              </w:rPr>
              <w:t>680 francos suizos</w:t>
            </w:r>
          </w:p>
          <w:p w:rsidR="00B070BF" w:rsidRPr="00827314" w:rsidRDefault="00B070BF" w:rsidP="00C33D4A">
            <w:pPr>
              <w:widowControl w:val="0"/>
              <w:rPr>
                <w:sz w:val="16"/>
                <w:szCs w:val="16"/>
                <w:lang w:bidi="th-TH"/>
              </w:rPr>
            </w:pPr>
          </w:p>
          <w:p w:rsidR="00B070BF" w:rsidRPr="00827314" w:rsidRDefault="00B070BF" w:rsidP="00C33D4A">
            <w:pPr>
              <w:widowControl w:val="0"/>
              <w:rPr>
                <w:sz w:val="16"/>
                <w:szCs w:val="16"/>
                <w:lang w:bidi="th-TH"/>
              </w:rPr>
            </w:pPr>
          </w:p>
        </w:tc>
        <w:tc>
          <w:tcPr>
            <w:tcW w:w="498" w:type="pct"/>
            <w:shd w:val="clear" w:color="auto" w:fill="auto"/>
            <w:tcMar>
              <w:top w:w="110" w:type="dxa"/>
            </w:tcMar>
          </w:tcPr>
          <w:p w:rsidR="00B070BF" w:rsidRPr="00827314" w:rsidRDefault="00B070BF" w:rsidP="00C33D4A">
            <w:pPr>
              <w:widowControl w:val="0"/>
              <w:jc w:val="center"/>
              <w:rPr>
                <w:b/>
                <w:sz w:val="16"/>
                <w:szCs w:val="16"/>
              </w:rPr>
            </w:pPr>
            <w:r w:rsidRPr="009577DE">
              <w:rPr>
                <w:b/>
                <w:color w:val="008000"/>
                <w:sz w:val="16"/>
                <w:szCs w:val="16"/>
              </w:rPr>
              <w:t>Progresa con normalidad</w:t>
            </w:r>
          </w:p>
          <w:p w:rsidR="00B070BF" w:rsidRPr="00827314" w:rsidRDefault="00B070BF" w:rsidP="00C33D4A">
            <w:pPr>
              <w:widowControl w:val="0"/>
              <w:jc w:val="center"/>
              <w:rPr>
                <w:b/>
                <w:sz w:val="16"/>
                <w:szCs w:val="16"/>
              </w:rPr>
            </w:pPr>
          </w:p>
          <w:p w:rsidR="00B070BF" w:rsidRPr="00827314" w:rsidRDefault="00B070BF" w:rsidP="00C33D4A">
            <w:pPr>
              <w:widowControl w:val="0"/>
              <w:jc w:val="center"/>
              <w:rPr>
                <w:b/>
                <w:sz w:val="16"/>
                <w:szCs w:val="16"/>
              </w:rPr>
            </w:pPr>
          </w:p>
        </w:tc>
      </w:tr>
      <w:tr w:rsidR="00B070BF" w:rsidRPr="00827314" w:rsidTr="00C33D4A">
        <w:tc>
          <w:tcPr>
            <w:tcW w:w="867" w:type="pct"/>
            <w:shd w:val="clear" w:color="auto" w:fill="auto"/>
          </w:tcPr>
          <w:p w:rsidR="00B070BF" w:rsidRPr="00827314" w:rsidRDefault="00B070BF" w:rsidP="00C33D4A">
            <w:pPr>
              <w:widowControl w:val="0"/>
              <w:rPr>
                <w:sz w:val="16"/>
                <w:szCs w:val="16"/>
              </w:rPr>
            </w:pPr>
            <w:r w:rsidRPr="00827314">
              <w:rPr>
                <w:sz w:val="16"/>
                <w:szCs w:val="16"/>
              </w:rPr>
              <w:t>Productividad en el examen de las formalidades.</w:t>
            </w:r>
          </w:p>
          <w:p w:rsidR="00B070BF" w:rsidRPr="00827314" w:rsidRDefault="00B070BF" w:rsidP="00C33D4A">
            <w:pPr>
              <w:widowControl w:val="0"/>
              <w:rPr>
                <w:sz w:val="16"/>
                <w:szCs w:val="16"/>
              </w:rPr>
            </w:pPr>
          </w:p>
        </w:tc>
        <w:tc>
          <w:tcPr>
            <w:tcW w:w="810" w:type="pct"/>
            <w:shd w:val="clear" w:color="auto" w:fill="B3B3B3"/>
          </w:tcPr>
          <w:p w:rsidR="00B070BF" w:rsidRPr="00827314" w:rsidRDefault="00B070BF" w:rsidP="00C33D4A">
            <w:pPr>
              <w:widowControl w:val="0"/>
              <w:rPr>
                <w:sz w:val="16"/>
                <w:szCs w:val="16"/>
              </w:rPr>
            </w:pPr>
            <w:r w:rsidRPr="00827314">
              <w:rPr>
                <w:sz w:val="16"/>
                <w:szCs w:val="16"/>
              </w:rPr>
              <w:t>Productividad en 2011.</w:t>
            </w:r>
          </w:p>
        </w:tc>
        <w:tc>
          <w:tcPr>
            <w:tcW w:w="918" w:type="pct"/>
            <w:shd w:val="clear" w:color="auto" w:fill="auto"/>
            <w:tcMar>
              <w:top w:w="110" w:type="dxa"/>
            </w:tcMar>
          </w:tcPr>
          <w:p w:rsidR="00B070BF" w:rsidRPr="00793D61" w:rsidRDefault="00B070BF" w:rsidP="00C33D4A">
            <w:pPr>
              <w:pStyle w:val="Footer"/>
              <w:widowControl w:val="0"/>
              <w:rPr>
                <w:rStyle w:val="FootnoteReference"/>
                <w:color w:val="943634"/>
              </w:rPr>
            </w:pPr>
            <w:r w:rsidRPr="00793D61">
              <w:rPr>
                <w:rStyle w:val="FootnoteReference"/>
                <w:color w:val="943634"/>
              </w:rPr>
              <w:t>7%</w:t>
            </w:r>
          </w:p>
        </w:tc>
        <w:tc>
          <w:tcPr>
            <w:tcW w:w="1907" w:type="pct"/>
            <w:shd w:val="clear" w:color="auto" w:fill="FFFFFF"/>
            <w:tcMar>
              <w:top w:w="110" w:type="dxa"/>
            </w:tcMar>
          </w:tcPr>
          <w:p w:rsidR="00B070BF" w:rsidRPr="00827314" w:rsidRDefault="00B070BF" w:rsidP="00C33D4A">
            <w:pPr>
              <w:widowControl w:val="0"/>
              <w:rPr>
                <w:sz w:val="16"/>
                <w:szCs w:val="16"/>
                <w:lang w:bidi="th-TH"/>
              </w:rPr>
            </w:pPr>
            <w:r w:rsidRPr="00827314">
              <w:rPr>
                <w:sz w:val="16"/>
                <w:szCs w:val="16"/>
                <w:lang w:bidi="th-TH"/>
              </w:rPr>
              <w:t>10%</w:t>
            </w:r>
          </w:p>
          <w:p w:rsidR="00B070BF" w:rsidRPr="00827314" w:rsidRDefault="00B070BF" w:rsidP="00C33D4A">
            <w:pPr>
              <w:widowControl w:val="0"/>
              <w:rPr>
                <w:sz w:val="16"/>
                <w:szCs w:val="16"/>
                <w:lang w:bidi="th-TH"/>
              </w:rPr>
            </w:pPr>
          </w:p>
          <w:p w:rsidR="00B070BF" w:rsidRPr="00827314" w:rsidRDefault="00B070BF" w:rsidP="00C33D4A">
            <w:pPr>
              <w:widowControl w:val="0"/>
              <w:rPr>
                <w:sz w:val="16"/>
                <w:szCs w:val="16"/>
                <w:lang w:bidi="th-TH"/>
              </w:rPr>
            </w:pPr>
          </w:p>
        </w:tc>
        <w:tc>
          <w:tcPr>
            <w:tcW w:w="498" w:type="pct"/>
            <w:shd w:val="clear" w:color="auto" w:fill="auto"/>
          </w:tcPr>
          <w:p w:rsidR="00B070BF" w:rsidRPr="00827314" w:rsidRDefault="00B070BF" w:rsidP="00C33D4A">
            <w:pPr>
              <w:widowControl w:val="0"/>
              <w:jc w:val="center"/>
              <w:rPr>
                <w:b/>
                <w:sz w:val="16"/>
                <w:szCs w:val="16"/>
              </w:rPr>
            </w:pPr>
            <w:r w:rsidRPr="009577DE">
              <w:rPr>
                <w:b/>
                <w:color w:val="008000"/>
                <w:sz w:val="16"/>
                <w:szCs w:val="16"/>
              </w:rPr>
              <w:t>Progresa con normalidad</w:t>
            </w:r>
          </w:p>
          <w:p w:rsidR="00B070BF" w:rsidRPr="00827314" w:rsidRDefault="00B070BF" w:rsidP="00C33D4A">
            <w:pPr>
              <w:widowControl w:val="0"/>
              <w:jc w:val="center"/>
              <w:rPr>
                <w:b/>
                <w:sz w:val="16"/>
                <w:szCs w:val="16"/>
              </w:rPr>
            </w:pPr>
          </w:p>
        </w:tc>
      </w:tr>
      <w:tr w:rsidR="00B070BF" w:rsidRPr="00827314" w:rsidTr="00C33D4A">
        <w:tc>
          <w:tcPr>
            <w:tcW w:w="867" w:type="pct"/>
            <w:shd w:val="clear" w:color="auto" w:fill="auto"/>
          </w:tcPr>
          <w:p w:rsidR="00B070BF" w:rsidRPr="00827314" w:rsidRDefault="00B070BF" w:rsidP="00C33D4A">
            <w:pPr>
              <w:widowControl w:val="0"/>
              <w:rPr>
                <w:sz w:val="16"/>
                <w:szCs w:val="16"/>
              </w:rPr>
            </w:pPr>
            <w:r w:rsidRPr="00827314">
              <w:rPr>
                <w:sz w:val="16"/>
                <w:szCs w:val="16"/>
              </w:rPr>
              <w:t>Calidad del examen de las formalidades.</w:t>
            </w:r>
          </w:p>
        </w:tc>
        <w:tc>
          <w:tcPr>
            <w:tcW w:w="810" w:type="pct"/>
            <w:shd w:val="clear" w:color="auto" w:fill="B3B3B3"/>
          </w:tcPr>
          <w:p w:rsidR="00B070BF" w:rsidRPr="00827314" w:rsidRDefault="00B070BF" w:rsidP="00C33D4A">
            <w:pPr>
              <w:widowControl w:val="0"/>
              <w:rPr>
                <w:sz w:val="16"/>
                <w:szCs w:val="16"/>
              </w:rPr>
            </w:pPr>
            <w:r w:rsidRPr="00827314">
              <w:rPr>
                <w:sz w:val="16"/>
                <w:szCs w:val="16"/>
              </w:rPr>
              <w:t>Media de los últimos tres años.</w:t>
            </w:r>
          </w:p>
        </w:tc>
        <w:tc>
          <w:tcPr>
            <w:tcW w:w="918" w:type="pct"/>
            <w:shd w:val="clear" w:color="auto" w:fill="auto"/>
            <w:tcMar>
              <w:top w:w="110" w:type="dxa"/>
            </w:tcMar>
          </w:tcPr>
          <w:p w:rsidR="00B070BF" w:rsidRPr="00793D61" w:rsidRDefault="00B070BF" w:rsidP="00C33D4A">
            <w:pPr>
              <w:pStyle w:val="Footer"/>
              <w:widowControl w:val="0"/>
              <w:rPr>
                <w:rStyle w:val="FootnoteReference"/>
                <w:color w:val="943634"/>
              </w:rPr>
            </w:pPr>
            <w:r w:rsidRPr="00793D61">
              <w:rPr>
                <w:rStyle w:val="FootnoteReference"/>
                <w:color w:val="943634"/>
              </w:rPr>
              <w:t>90,56%</w:t>
            </w:r>
          </w:p>
        </w:tc>
        <w:tc>
          <w:tcPr>
            <w:tcW w:w="1907" w:type="pct"/>
            <w:shd w:val="clear" w:color="auto" w:fill="FFFFFF"/>
            <w:tcMar>
              <w:top w:w="110" w:type="dxa"/>
            </w:tcMar>
          </w:tcPr>
          <w:p w:rsidR="00B070BF" w:rsidRPr="00827314" w:rsidRDefault="00B070BF" w:rsidP="00C33D4A">
            <w:pPr>
              <w:widowControl w:val="0"/>
              <w:rPr>
                <w:sz w:val="16"/>
                <w:szCs w:val="16"/>
                <w:lang w:bidi="th-TH"/>
              </w:rPr>
            </w:pPr>
            <w:r w:rsidRPr="00827314">
              <w:rPr>
                <w:sz w:val="16"/>
                <w:szCs w:val="16"/>
                <w:lang w:bidi="th-TH"/>
              </w:rPr>
              <w:t>90,06%</w:t>
            </w:r>
          </w:p>
        </w:tc>
        <w:tc>
          <w:tcPr>
            <w:tcW w:w="498" w:type="pct"/>
            <w:shd w:val="clear" w:color="auto" w:fill="auto"/>
            <w:tcMar>
              <w:top w:w="110" w:type="dxa"/>
            </w:tcMar>
            <w:vAlign w:val="center"/>
          </w:tcPr>
          <w:p w:rsidR="00B070BF" w:rsidRPr="00827314" w:rsidRDefault="00B070BF" w:rsidP="00C33D4A">
            <w:pPr>
              <w:widowControl w:val="0"/>
              <w:jc w:val="center"/>
              <w:rPr>
                <w:b/>
                <w:sz w:val="16"/>
                <w:szCs w:val="16"/>
              </w:rPr>
            </w:pPr>
            <w:r w:rsidRPr="009577DE">
              <w:rPr>
                <w:b/>
                <w:color w:val="008000"/>
                <w:sz w:val="16"/>
                <w:szCs w:val="16"/>
              </w:rPr>
              <w:t>Progresa con normalidad</w:t>
            </w:r>
          </w:p>
          <w:p w:rsidR="00B070BF" w:rsidRPr="00827314" w:rsidRDefault="00B070BF" w:rsidP="00C33D4A">
            <w:pPr>
              <w:widowControl w:val="0"/>
              <w:spacing w:after="120"/>
              <w:rPr>
                <w:b/>
                <w:sz w:val="16"/>
                <w:szCs w:val="16"/>
              </w:rPr>
            </w:pPr>
          </w:p>
        </w:tc>
      </w:tr>
      <w:tr w:rsidR="00B070BF" w:rsidRPr="00827314" w:rsidTr="00C33D4A">
        <w:tc>
          <w:tcPr>
            <w:tcW w:w="867" w:type="pct"/>
            <w:shd w:val="clear" w:color="auto" w:fill="auto"/>
          </w:tcPr>
          <w:p w:rsidR="00B070BF" w:rsidRPr="00827314" w:rsidRDefault="00B070BF" w:rsidP="00C33D4A">
            <w:pPr>
              <w:widowControl w:val="0"/>
              <w:rPr>
                <w:sz w:val="16"/>
                <w:szCs w:val="16"/>
              </w:rPr>
            </w:pPr>
            <w:r w:rsidRPr="00827314">
              <w:rPr>
                <w:sz w:val="16"/>
                <w:szCs w:val="16"/>
              </w:rPr>
              <w:t xml:space="preserve">Velocidad del examen de las formalidades (porcentaje de exámenes efectuados en tres semanas a partir de la recepción). </w:t>
            </w:r>
          </w:p>
          <w:p w:rsidR="00B070BF" w:rsidRPr="00827314" w:rsidRDefault="00B070BF" w:rsidP="00C33D4A">
            <w:pPr>
              <w:widowControl w:val="0"/>
              <w:rPr>
                <w:sz w:val="16"/>
                <w:szCs w:val="16"/>
              </w:rPr>
            </w:pPr>
          </w:p>
        </w:tc>
        <w:tc>
          <w:tcPr>
            <w:tcW w:w="810" w:type="pct"/>
            <w:shd w:val="clear" w:color="auto" w:fill="B3B3B3"/>
          </w:tcPr>
          <w:p w:rsidR="00B070BF" w:rsidRPr="00827314" w:rsidRDefault="00B070BF" w:rsidP="00C33D4A">
            <w:pPr>
              <w:widowControl w:val="0"/>
              <w:rPr>
                <w:sz w:val="16"/>
                <w:szCs w:val="16"/>
              </w:rPr>
            </w:pPr>
            <w:r w:rsidRPr="00827314">
              <w:rPr>
                <w:sz w:val="16"/>
                <w:szCs w:val="16"/>
              </w:rPr>
              <w:t>Media de los últimos tres años.</w:t>
            </w:r>
          </w:p>
        </w:tc>
        <w:tc>
          <w:tcPr>
            <w:tcW w:w="918" w:type="pct"/>
            <w:shd w:val="clear" w:color="auto" w:fill="auto"/>
            <w:tcMar>
              <w:top w:w="110" w:type="dxa"/>
            </w:tcMar>
          </w:tcPr>
          <w:p w:rsidR="00B070BF" w:rsidRPr="00793D61" w:rsidRDefault="00B070BF" w:rsidP="00C33D4A">
            <w:pPr>
              <w:pStyle w:val="Footer"/>
              <w:widowControl w:val="0"/>
              <w:rPr>
                <w:rStyle w:val="FootnoteReference"/>
                <w:color w:val="943634"/>
              </w:rPr>
            </w:pPr>
            <w:r w:rsidRPr="00793D61">
              <w:rPr>
                <w:rStyle w:val="FootnoteReference"/>
                <w:color w:val="943634"/>
              </w:rPr>
              <w:t>77,02%</w:t>
            </w:r>
          </w:p>
        </w:tc>
        <w:tc>
          <w:tcPr>
            <w:tcW w:w="1907" w:type="pct"/>
            <w:shd w:val="clear" w:color="auto" w:fill="FFFFFF"/>
            <w:tcMar>
              <w:top w:w="110" w:type="dxa"/>
            </w:tcMar>
          </w:tcPr>
          <w:p w:rsidR="00B070BF" w:rsidRPr="00827314" w:rsidRDefault="00B070BF" w:rsidP="00C33D4A">
            <w:pPr>
              <w:widowControl w:val="0"/>
              <w:rPr>
                <w:sz w:val="16"/>
                <w:szCs w:val="16"/>
                <w:lang w:bidi="th-TH"/>
              </w:rPr>
            </w:pPr>
            <w:r w:rsidRPr="00827314">
              <w:rPr>
                <w:sz w:val="16"/>
                <w:szCs w:val="16"/>
                <w:lang w:bidi="th-TH"/>
              </w:rPr>
              <w:t>74,56%</w:t>
            </w:r>
          </w:p>
          <w:p w:rsidR="00B070BF" w:rsidRPr="00827314" w:rsidRDefault="00B070BF" w:rsidP="00C33D4A">
            <w:pPr>
              <w:widowControl w:val="0"/>
              <w:rPr>
                <w:sz w:val="16"/>
                <w:szCs w:val="16"/>
                <w:lang w:bidi="th-TH"/>
              </w:rPr>
            </w:pPr>
          </w:p>
          <w:p w:rsidR="00B070BF" w:rsidRPr="00827314" w:rsidRDefault="00B070BF" w:rsidP="00C33D4A">
            <w:pPr>
              <w:widowControl w:val="0"/>
              <w:rPr>
                <w:sz w:val="16"/>
                <w:szCs w:val="16"/>
                <w:lang w:bidi="th-TH"/>
              </w:rPr>
            </w:pPr>
          </w:p>
          <w:p w:rsidR="00B070BF" w:rsidRPr="00827314" w:rsidRDefault="00B070BF" w:rsidP="00C33D4A">
            <w:pPr>
              <w:widowControl w:val="0"/>
              <w:rPr>
                <w:sz w:val="16"/>
                <w:szCs w:val="16"/>
                <w:lang w:bidi="th-TH"/>
              </w:rPr>
            </w:pPr>
          </w:p>
          <w:p w:rsidR="00B070BF" w:rsidRPr="00827314" w:rsidRDefault="00B070BF" w:rsidP="00C33D4A">
            <w:pPr>
              <w:widowControl w:val="0"/>
              <w:rPr>
                <w:sz w:val="16"/>
                <w:szCs w:val="16"/>
                <w:lang w:bidi="th-TH"/>
              </w:rPr>
            </w:pPr>
          </w:p>
        </w:tc>
        <w:tc>
          <w:tcPr>
            <w:tcW w:w="498" w:type="pct"/>
            <w:shd w:val="clear" w:color="auto" w:fill="auto"/>
            <w:tcMar>
              <w:top w:w="110" w:type="dxa"/>
            </w:tcMar>
            <w:vAlign w:val="center"/>
          </w:tcPr>
          <w:p w:rsidR="00B070BF" w:rsidRPr="00827314" w:rsidRDefault="00B070BF" w:rsidP="00C33D4A">
            <w:pPr>
              <w:widowControl w:val="0"/>
              <w:jc w:val="center"/>
              <w:rPr>
                <w:b/>
                <w:sz w:val="16"/>
                <w:szCs w:val="16"/>
              </w:rPr>
            </w:pPr>
            <w:r w:rsidRPr="009577DE">
              <w:rPr>
                <w:b/>
                <w:color w:val="FF0000"/>
                <w:sz w:val="16"/>
                <w:szCs w:val="16"/>
              </w:rPr>
              <w:t>Sin avances significativos</w:t>
            </w:r>
          </w:p>
          <w:p w:rsidR="00B070BF" w:rsidRPr="00827314" w:rsidRDefault="00B070BF" w:rsidP="00C33D4A">
            <w:pPr>
              <w:widowControl w:val="0"/>
              <w:jc w:val="center"/>
              <w:rPr>
                <w:b/>
                <w:sz w:val="16"/>
                <w:szCs w:val="16"/>
              </w:rPr>
            </w:pPr>
          </w:p>
          <w:p w:rsidR="00B070BF" w:rsidRPr="00827314" w:rsidRDefault="00B070BF" w:rsidP="00C33D4A">
            <w:pPr>
              <w:widowControl w:val="0"/>
              <w:jc w:val="center"/>
              <w:rPr>
                <w:b/>
                <w:sz w:val="16"/>
                <w:szCs w:val="16"/>
              </w:rPr>
            </w:pPr>
          </w:p>
        </w:tc>
      </w:tr>
      <w:tr w:rsidR="00B070BF" w:rsidRPr="00827314" w:rsidTr="00C33D4A">
        <w:tc>
          <w:tcPr>
            <w:tcW w:w="867" w:type="pct"/>
            <w:shd w:val="clear" w:color="auto" w:fill="auto"/>
          </w:tcPr>
          <w:p w:rsidR="00B070BF" w:rsidRPr="00827314" w:rsidRDefault="00B070BF" w:rsidP="00C33D4A">
            <w:pPr>
              <w:widowControl w:val="0"/>
              <w:rPr>
                <w:sz w:val="16"/>
                <w:szCs w:val="16"/>
              </w:rPr>
            </w:pPr>
            <w:r w:rsidRPr="00827314">
              <w:rPr>
                <w:sz w:val="16"/>
                <w:szCs w:val="16"/>
              </w:rPr>
              <w:t>Velocidad de la publicación (porcentaje de solicitudes publicadas en 18 meses + 3 semanas a partir de la fecha de prioridad).</w:t>
            </w:r>
          </w:p>
          <w:p w:rsidR="00B070BF" w:rsidRPr="00827314" w:rsidRDefault="00B070BF" w:rsidP="00C33D4A">
            <w:pPr>
              <w:widowControl w:val="0"/>
              <w:rPr>
                <w:sz w:val="16"/>
                <w:szCs w:val="16"/>
              </w:rPr>
            </w:pPr>
          </w:p>
        </w:tc>
        <w:tc>
          <w:tcPr>
            <w:tcW w:w="810" w:type="pct"/>
            <w:shd w:val="clear" w:color="auto" w:fill="B3B3B3"/>
          </w:tcPr>
          <w:p w:rsidR="00B070BF" w:rsidRPr="00827314" w:rsidRDefault="00B070BF" w:rsidP="00C33D4A">
            <w:pPr>
              <w:widowControl w:val="0"/>
              <w:rPr>
                <w:sz w:val="16"/>
                <w:szCs w:val="16"/>
              </w:rPr>
            </w:pPr>
            <w:r w:rsidRPr="00827314">
              <w:rPr>
                <w:sz w:val="16"/>
                <w:szCs w:val="16"/>
              </w:rPr>
              <w:lastRenderedPageBreak/>
              <w:t>Media de los últimos tres años.</w:t>
            </w:r>
          </w:p>
        </w:tc>
        <w:tc>
          <w:tcPr>
            <w:tcW w:w="918" w:type="pct"/>
            <w:shd w:val="clear" w:color="auto" w:fill="auto"/>
            <w:tcMar>
              <w:top w:w="110" w:type="dxa"/>
            </w:tcMar>
          </w:tcPr>
          <w:p w:rsidR="00B070BF" w:rsidRPr="00793D61" w:rsidRDefault="00B070BF" w:rsidP="00C33D4A">
            <w:pPr>
              <w:widowControl w:val="0"/>
              <w:rPr>
                <w:color w:val="943634"/>
                <w:sz w:val="16"/>
                <w:szCs w:val="16"/>
              </w:rPr>
            </w:pPr>
            <w:r w:rsidRPr="00793D61">
              <w:rPr>
                <w:color w:val="943634"/>
                <w:sz w:val="16"/>
                <w:szCs w:val="16"/>
              </w:rPr>
              <w:t>97,04%</w:t>
            </w:r>
          </w:p>
        </w:tc>
        <w:tc>
          <w:tcPr>
            <w:tcW w:w="1907" w:type="pct"/>
            <w:shd w:val="clear" w:color="auto" w:fill="FFFFFF"/>
            <w:tcMar>
              <w:top w:w="110" w:type="dxa"/>
            </w:tcMar>
          </w:tcPr>
          <w:p w:rsidR="00B070BF" w:rsidRPr="00827314" w:rsidRDefault="00B070BF" w:rsidP="00C33D4A">
            <w:pPr>
              <w:widowControl w:val="0"/>
              <w:rPr>
                <w:sz w:val="16"/>
                <w:szCs w:val="16"/>
                <w:lang w:bidi="th-TH"/>
              </w:rPr>
            </w:pPr>
            <w:r w:rsidRPr="00827314">
              <w:rPr>
                <w:sz w:val="16"/>
                <w:szCs w:val="16"/>
                <w:lang w:bidi="th-TH"/>
              </w:rPr>
              <w:t>97,98%</w:t>
            </w:r>
          </w:p>
          <w:p w:rsidR="00B070BF" w:rsidRPr="00827314" w:rsidRDefault="00B070BF" w:rsidP="00C33D4A">
            <w:pPr>
              <w:widowControl w:val="0"/>
              <w:rPr>
                <w:sz w:val="16"/>
                <w:szCs w:val="16"/>
                <w:lang w:bidi="th-TH"/>
              </w:rPr>
            </w:pPr>
          </w:p>
          <w:p w:rsidR="00B070BF" w:rsidRPr="00827314" w:rsidRDefault="00B070BF" w:rsidP="00C33D4A">
            <w:pPr>
              <w:widowControl w:val="0"/>
              <w:rPr>
                <w:sz w:val="16"/>
                <w:szCs w:val="16"/>
                <w:lang w:bidi="th-TH"/>
              </w:rPr>
            </w:pPr>
          </w:p>
        </w:tc>
        <w:tc>
          <w:tcPr>
            <w:tcW w:w="498" w:type="pct"/>
            <w:shd w:val="clear" w:color="auto" w:fill="auto"/>
            <w:tcMar>
              <w:top w:w="110" w:type="dxa"/>
            </w:tcMar>
            <w:vAlign w:val="center"/>
          </w:tcPr>
          <w:p w:rsidR="00B070BF" w:rsidRPr="00827314" w:rsidRDefault="00B070BF" w:rsidP="00C33D4A">
            <w:pPr>
              <w:widowControl w:val="0"/>
              <w:jc w:val="center"/>
              <w:rPr>
                <w:b/>
                <w:sz w:val="16"/>
                <w:szCs w:val="16"/>
              </w:rPr>
            </w:pPr>
            <w:r w:rsidRPr="009577DE">
              <w:rPr>
                <w:b/>
                <w:color w:val="008000"/>
                <w:sz w:val="16"/>
                <w:szCs w:val="16"/>
              </w:rPr>
              <w:t>Progresa con normalidad</w:t>
            </w:r>
          </w:p>
          <w:p w:rsidR="00B070BF" w:rsidRPr="00827314" w:rsidRDefault="00B070BF" w:rsidP="00C33D4A">
            <w:pPr>
              <w:widowControl w:val="0"/>
              <w:jc w:val="center"/>
              <w:rPr>
                <w:b/>
                <w:sz w:val="16"/>
                <w:szCs w:val="16"/>
              </w:rPr>
            </w:pPr>
          </w:p>
          <w:p w:rsidR="00B070BF" w:rsidRPr="00827314" w:rsidRDefault="00B070BF" w:rsidP="00C33D4A">
            <w:pPr>
              <w:widowControl w:val="0"/>
              <w:jc w:val="center"/>
              <w:rPr>
                <w:b/>
                <w:sz w:val="16"/>
                <w:szCs w:val="16"/>
              </w:rPr>
            </w:pPr>
          </w:p>
          <w:p w:rsidR="00B070BF" w:rsidRPr="00827314" w:rsidRDefault="00B070BF" w:rsidP="00C33D4A">
            <w:pPr>
              <w:widowControl w:val="0"/>
              <w:jc w:val="center"/>
              <w:rPr>
                <w:b/>
                <w:sz w:val="16"/>
                <w:szCs w:val="16"/>
              </w:rPr>
            </w:pPr>
          </w:p>
          <w:p w:rsidR="00B070BF" w:rsidRPr="00827314" w:rsidRDefault="00B070BF" w:rsidP="00C33D4A">
            <w:pPr>
              <w:widowControl w:val="0"/>
              <w:jc w:val="center"/>
              <w:rPr>
                <w:b/>
                <w:sz w:val="16"/>
                <w:szCs w:val="16"/>
              </w:rPr>
            </w:pPr>
          </w:p>
          <w:p w:rsidR="00B070BF" w:rsidRPr="00827314" w:rsidRDefault="00B070BF" w:rsidP="00C33D4A">
            <w:pPr>
              <w:widowControl w:val="0"/>
              <w:jc w:val="center"/>
              <w:rPr>
                <w:b/>
                <w:sz w:val="16"/>
                <w:szCs w:val="16"/>
              </w:rPr>
            </w:pPr>
          </w:p>
        </w:tc>
      </w:tr>
      <w:tr w:rsidR="00B070BF" w:rsidRPr="00827314" w:rsidTr="00C33D4A">
        <w:tc>
          <w:tcPr>
            <w:tcW w:w="867" w:type="pct"/>
            <w:shd w:val="clear" w:color="auto" w:fill="auto"/>
          </w:tcPr>
          <w:p w:rsidR="00B070BF" w:rsidRPr="00827314" w:rsidRDefault="00B070BF" w:rsidP="00C33D4A">
            <w:pPr>
              <w:keepNext/>
              <w:widowControl w:val="0"/>
              <w:rPr>
                <w:sz w:val="16"/>
                <w:szCs w:val="16"/>
              </w:rPr>
            </w:pPr>
            <w:r w:rsidRPr="00827314">
              <w:rPr>
                <w:sz w:val="16"/>
                <w:szCs w:val="16"/>
              </w:rPr>
              <w:lastRenderedPageBreak/>
              <w:t>Calidad de la traducción (porcentaje de traducciones que aprueban el control de calidad).</w:t>
            </w:r>
          </w:p>
          <w:p w:rsidR="00B070BF" w:rsidRPr="00827314" w:rsidRDefault="00B070BF" w:rsidP="00C33D4A">
            <w:pPr>
              <w:keepNext/>
              <w:widowControl w:val="0"/>
              <w:rPr>
                <w:sz w:val="16"/>
                <w:szCs w:val="16"/>
              </w:rPr>
            </w:pPr>
          </w:p>
        </w:tc>
        <w:tc>
          <w:tcPr>
            <w:tcW w:w="810" w:type="pct"/>
            <w:shd w:val="clear" w:color="auto" w:fill="B3B3B3"/>
          </w:tcPr>
          <w:p w:rsidR="00B070BF" w:rsidRPr="00827314" w:rsidRDefault="00B070BF" w:rsidP="00C33D4A">
            <w:pPr>
              <w:keepNext/>
              <w:widowControl w:val="0"/>
              <w:rPr>
                <w:sz w:val="16"/>
                <w:szCs w:val="16"/>
              </w:rPr>
            </w:pPr>
            <w:r w:rsidRPr="00827314">
              <w:rPr>
                <w:sz w:val="16"/>
                <w:szCs w:val="16"/>
              </w:rPr>
              <w:t>Nivel de calidad en 2011.</w:t>
            </w:r>
          </w:p>
        </w:tc>
        <w:tc>
          <w:tcPr>
            <w:tcW w:w="918" w:type="pct"/>
            <w:shd w:val="clear" w:color="auto" w:fill="auto"/>
            <w:tcMar>
              <w:top w:w="110" w:type="dxa"/>
            </w:tcMar>
          </w:tcPr>
          <w:p w:rsidR="00B070BF" w:rsidRPr="00793D61" w:rsidRDefault="00B070BF" w:rsidP="00C33D4A">
            <w:pPr>
              <w:keepNext/>
              <w:widowControl w:val="0"/>
              <w:rPr>
                <w:color w:val="943634"/>
                <w:sz w:val="16"/>
                <w:szCs w:val="16"/>
              </w:rPr>
            </w:pPr>
            <w:r w:rsidRPr="00793D61">
              <w:rPr>
                <w:color w:val="943634"/>
                <w:sz w:val="16"/>
                <w:szCs w:val="16"/>
              </w:rPr>
              <w:t>84</w:t>
            </w:r>
            <w:r w:rsidRPr="00793D61">
              <w:rPr>
                <w:color w:val="943634"/>
                <w:sz w:val="16"/>
                <w:szCs w:val="16"/>
                <w:lang w:bidi="th-TH"/>
              </w:rPr>
              <w:t>,</w:t>
            </w:r>
            <w:r w:rsidRPr="00793D61">
              <w:rPr>
                <w:color w:val="943634"/>
                <w:sz w:val="16"/>
                <w:szCs w:val="16"/>
              </w:rPr>
              <w:t>4%</w:t>
            </w:r>
          </w:p>
        </w:tc>
        <w:tc>
          <w:tcPr>
            <w:tcW w:w="1907" w:type="pct"/>
            <w:shd w:val="clear" w:color="auto" w:fill="FFFFFF"/>
            <w:tcMar>
              <w:top w:w="110" w:type="dxa"/>
            </w:tcMar>
          </w:tcPr>
          <w:p w:rsidR="00B070BF" w:rsidRPr="00827314" w:rsidRDefault="00B070BF" w:rsidP="00C33D4A">
            <w:pPr>
              <w:keepNext/>
              <w:widowControl w:val="0"/>
              <w:rPr>
                <w:sz w:val="16"/>
                <w:szCs w:val="16"/>
                <w:lang w:bidi="th-TH"/>
              </w:rPr>
            </w:pPr>
            <w:r w:rsidRPr="00827314">
              <w:rPr>
                <w:sz w:val="16"/>
                <w:szCs w:val="16"/>
                <w:lang w:bidi="th-TH"/>
              </w:rPr>
              <w:t>87,2%</w:t>
            </w:r>
          </w:p>
          <w:p w:rsidR="00B070BF" w:rsidRPr="00827314" w:rsidRDefault="00B070BF" w:rsidP="00C33D4A">
            <w:pPr>
              <w:keepNext/>
              <w:widowControl w:val="0"/>
              <w:rPr>
                <w:sz w:val="16"/>
                <w:szCs w:val="16"/>
                <w:lang w:bidi="th-TH"/>
              </w:rPr>
            </w:pPr>
          </w:p>
        </w:tc>
        <w:tc>
          <w:tcPr>
            <w:tcW w:w="498" w:type="pct"/>
            <w:shd w:val="clear" w:color="auto" w:fill="auto"/>
            <w:tcMar>
              <w:top w:w="110" w:type="dxa"/>
            </w:tcMar>
            <w:vAlign w:val="center"/>
          </w:tcPr>
          <w:p w:rsidR="00B070BF" w:rsidRPr="00827314" w:rsidRDefault="00B070BF" w:rsidP="00C33D4A">
            <w:pPr>
              <w:keepNext/>
              <w:widowControl w:val="0"/>
              <w:jc w:val="center"/>
              <w:rPr>
                <w:b/>
                <w:sz w:val="16"/>
                <w:szCs w:val="16"/>
              </w:rPr>
            </w:pPr>
            <w:r w:rsidRPr="009577DE">
              <w:rPr>
                <w:b/>
                <w:color w:val="008000"/>
                <w:sz w:val="16"/>
                <w:szCs w:val="16"/>
              </w:rPr>
              <w:t>Progresa con normalidad</w:t>
            </w:r>
          </w:p>
          <w:p w:rsidR="00B070BF" w:rsidRPr="00827314" w:rsidRDefault="00B070BF" w:rsidP="00C33D4A">
            <w:pPr>
              <w:keepNext/>
              <w:widowControl w:val="0"/>
              <w:jc w:val="center"/>
              <w:rPr>
                <w:b/>
                <w:sz w:val="16"/>
                <w:szCs w:val="16"/>
              </w:rPr>
            </w:pPr>
          </w:p>
          <w:p w:rsidR="00B070BF" w:rsidRPr="00827314" w:rsidRDefault="00B070BF" w:rsidP="00C33D4A">
            <w:pPr>
              <w:keepNext/>
              <w:widowControl w:val="0"/>
              <w:jc w:val="center"/>
              <w:rPr>
                <w:b/>
                <w:sz w:val="16"/>
                <w:szCs w:val="16"/>
              </w:rPr>
            </w:pPr>
          </w:p>
        </w:tc>
      </w:tr>
      <w:tr w:rsidR="00B070BF" w:rsidRPr="00827314" w:rsidTr="00C33D4A">
        <w:tc>
          <w:tcPr>
            <w:tcW w:w="867" w:type="pct"/>
            <w:shd w:val="clear" w:color="auto" w:fill="auto"/>
          </w:tcPr>
          <w:p w:rsidR="00B070BF" w:rsidRPr="00827314" w:rsidRDefault="00B070BF" w:rsidP="00C33D4A">
            <w:pPr>
              <w:widowControl w:val="0"/>
              <w:rPr>
                <w:sz w:val="16"/>
                <w:szCs w:val="16"/>
              </w:rPr>
            </w:pPr>
            <w:r w:rsidRPr="00827314">
              <w:rPr>
                <w:sz w:val="16"/>
                <w:szCs w:val="16"/>
              </w:rPr>
              <w:t>Presentación de solicitudes en la Oficina Internacional como Oficina receptora.</w:t>
            </w:r>
          </w:p>
        </w:tc>
        <w:tc>
          <w:tcPr>
            <w:tcW w:w="810" w:type="pct"/>
            <w:shd w:val="clear" w:color="auto" w:fill="B3B3B3"/>
          </w:tcPr>
          <w:p w:rsidR="00B070BF" w:rsidRPr="00827314" w:rsidRDefault="00B070BF" w:rsidP="00C33D4A">
            <w:pPr>
              <w:widowControl w:val="0"/>
              <w:rPr>
                <w:sz w:val="16"/>
                <w:szCs w:val="16"/>
              </w:rPr>
            </w:pPr>
            <w:r w:rsidRPr="00827314">
              <w:rPr>
                <w:sz w:val="16"/>
                <w:szCs w:val="16"/>
              </w:rPr>
              <w:t>Solicitudes presentadas en 2011.</w:t>
            </w:r>
          </w:p>
        </w:tc>
        <w:tc>
          <w:tcPr>
            <w:tcW w:w="918" w:type="pct"/>
            <w:shd w:val="clear" w:color="auto" w:fill="auto"/>
            <w:tcMar>
              <w:top w:w="110" w:type="dxa"/>
            </w:tcMar>
          </w:tcPr>
          <w:p w:rsidR="00B070BF" w:rsidRPr="00793D61" w:rsidRDefault="00B070BF" w:rsidP="00C33D4A">
            <w:pPr>
              <w:widowControl w:val="0"/>
              <w:rPr>
                <w:color w:val="943634"/>
                <w:sz w:val="16"/>
                <w:szCs w:val="16"/>
              </w:rPr>
            </w:pPr>
            <w:r w:rsidRPr="00793D61">
              <w:rPr>
                <w:color w:val="943634"/>
                <w:sz w:val="16"/>
                <w:szCs w:val="16"/>
              </w:rPr>
              <w:t>8.753</w:t>
            </w:r>
          </w:p>
        </w:tc>
        <w:tc>
          <w:tcPr>
            <w:tcW w:w="1907" w:type="pct"/>
            <w:shd w:val="clear" w:color="auto" w:fill="FFFFFF"/>
            <w:tcMar>
              <w:top w:w="110" w:type="dxa"/>
            </w:tcMar>
          </w:tcPr>
          <w:p w:rsidR="00B070BF" w:rsidRPr="00827314" w:rsidRDefault="00B070BF" w:rsidP="00C33D4A">
            <w:pPr>
              <w:widowControl w:val="0"/>
              <w:rPr>
                <w:sz w:val="16"/>
                <w:szCs w:val="16"/>
                <w:lang w:bidi="th-TH"/>
              </w:rPr>
            </w:pPr>
            <w:r w:rsidRPr="00827314">
              <w:rPr>
                <w:sz w:val="16"/>
                <w:szCs w:val="16"/>
                <w:lang w:bidi="th-TH"/>
              </w:rPr>
              <w:t>9.711</w:t>
            </w:r>
          </w:p>
          <w:p w:rsidR="00B070BF" w:rsidRPr="00827314" w:rsidRDefault="00B070BF" w:rsidP="00C33D4A">
            <w:pPr>
              <w:widowControl w:val="0"/>
              <w:rPr>
                <w:sz w:val="16"/>
                <w:szCs w:val="16"/>
                <w:lang w:bidi="th-TH"/>
              </w:rPr>
            </w:pPr>
          </w:p>
        </w:tc>
        <w:tc>
          <w:tcPr>
            <w:tcW w:w="498" w:type="pct"/>
            <w:shd w:val="clear" w:color="auto" w:fill="auto"/>
            <w:tcMar>
              <w:top w:w="110" w:type="dxa"/>
            </w:tcMar>
            <w:vAlign w:val="center"/>
          </w:tcPr>
          <w:p w:rsidR="00B070BF" w:rsidRPr="00827314" w:rsidRDefault="00B070BF" w:rsidP="00C33D4A">
            <w:pPr>
              <w:widowControl w:val="0"/>
              <w:jc w:val="center"/>
              <w:rPr>
                <w:b/>
                <w:sz w:val="16"/>
                <w:szCs w:val="16"/>
              </w:rPr>
            </w:pPr>
            <w:r w:rsidRPr="009577DE">
              <w:rPr>
                <w:b/>
                <w:color w:val="008000"/>
                <w:sz w:val="16"/>
                <w:szCs w:val="16"/>
              </w:rPr>
              <w:t>Progresa con normalidad</w:t>
            </w:r>
          </w:p>
          <w:p w:rsidR="00B070BF" w:rsidRPr="00827314" w:rsidRDefault="00B070BF" w:rsidP="00C33D4A">
            <w:pPr>
              <w:widowControl w:val="0"/>
              <w:jc w:val="center"/>
              <w:rPr>
                <w:b/>
                <w:sz w:val="16"/>
                <w:szCs w:val="16"/>
              </w:rPr>
            </w:pPr>
          </w:p>
          <w:p w:rsidR="00B070BF" w:rsidRPr="00827314" w:rsidRDefault="00B070BF" w:rsidP="00C33D4A">
            <w:pPr>
              <w:widowControl w:val="0"/>
              <w:jc w:val="center"/>
              <w:rPr>
                <w:b/>
                <w:sz w:val="16"/>
                <w:szCs w:val="16"/>
              </w:rPr>
            </w:pPr>
          </w:p>
        </w:tc>
      </w:tr>
    </w:tbl>
    <w:p w:rsidR="00B070BF" w:rsidRDefault="00B070BF" w:rsidP="00B070BF">
      <w:pPr>
        <w:widowControl w:val="0"/>
        <w:rPr>
          <w:b/>
          <w:sz w:val="18"/>
          <w:szCs w:val="18"/>
        </w:rPr>
      </w:pPr>
    </w:p>
    <w:p w:rsidR="00B070BF" w:rsidRPr="00827314" w:rsidRDefault="00B070BF" w:rsidP="00B070BF">
      <w:pPr>
        <w:widowControl w:val="0"/>
        <w:rPr>
          <w:b/>
          <w:sz w:val="18"/>
          <w:szCs w:val="18"/>
        </w:rPr>
      </w:pPr>
    </w:p>
    <w:p w:rsidR="00B070BF" w:rsidRPr="00827314" w:rsidRDefault="00B070BF" w:rsidP="00B070BF">
      <w:pPr>
        <w:widowControl w:val="0"/>
        <w:rPr>
          <w:sz w:val="20"/>
          <w:szCs w:val="22"/>
        </w:rPr>
      </w:pPr>
      <w:r w:rsidRPr="00827314">
        <w:rPr>
          <w:sz w:val="20"/>
          <w:szCs w:val="22"/>
        </w:rPr>
        <w:t>PRESUPUESTO Y GASTOS REALES</w:t>
      </w:r>
    </w:p>
    <w:p w:rsidR="00B070BF" w:rsidRPr="0028075A" w:rsidRDefault="00B070BF" w:rsidP="00B070BF">
      <w:pPr>
        <w:widowControl w:val="0"/>
        <w:rPr>
          <w:sz w:val="20"/>
        </w:rPr>
      </w:pPr>
    </w:p>
    <w:p w:rsidR="00B070BF" w:rsidRPr="0028075A" w:rsidRDefault="00B070BF" w:rsidP="00B070BF">
      <w:pPr>
        <w:widowControl w:val="0"/>
        <w:jc w:val="center"/>
        <w:rPr>
          <w:sz w:val="20"/>
        </w:rPr>
      </w:pPr>
      <w:r w:rsidRPr="0028075A">
        <w:rPr>
          <w:sz w:val="20"/>
        </w:rPr>
        <w:t>Presupuesto y gastos reales (por resultado)</w:t>
      </w:r>
    </w:p>
    <w:p w:rsidR="00B070BF" w:rsidRPr="00827314" w:rsidRDefault="00B070BF" w:rsidP="00B070BF">
      <w:pPr>
        <w:widowControl w:val="0"/>
        <w:jc w:val="center"/>
        <w:rPr>
          <w:szCs w:val="22"/>
        </w:rPr>
      </w:pPr>
      <w:r w:rsidRPr="0028075A">
        <w:rPr>
          <w:i/>
          <w:iCs/>
          <w:sz w:val="20"/>
        </w:rPr>
        <w:t>(en miles de francos suizos)</w:t>
      </w:r>
      <w:r w:rsidRPr="0028075A">
        <w:rPr>
          <w:i/>
          <w:iCs/>
          <w:sz w:val="20"/>
        </w:rPr>
        <w:br/>
      </w:r>
      <w:r w:rsidRPr="0028075A">
        <w:rPr>
          <w:i/>
          <w:iCs/>
          <w:sz w:val="20"/>
        </w:rPr>
        <w:br/>
      </w:r>
      <w:r>
        <w:rPr>
          <w:noProof/>
          <w:lang w:val="en-US" w:eastAsia="en-US"/>
        </w:rPr>
        <w:drawing>
          <wp:inline distT="0" distB="0" distL="0" distR="0" wp14:anchorId="582DE34D" wp14:editId="7375D56A">
            <wp:extent cx="5902325" cy="1674495"/>
            <wp:effectExtent l="0" t="0" r="3175" b="1905"/>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02325" cy="1674495"/>
                    </a:xfrm>
                    <a:prstGeom prst="rect">
                      <a:avLst/>
                    </a:prstGeom>
                    <a:noFill/>
                    <a:ln>
                      <a:noFill/>
                    </a:ln>
                  </pic:spPr>
                </pic:pic>
              </a:graphicData>
            </a:graphic>
          </wp:inline>
        </w:drawing>
      </w:r>
    </w:p>
    <w:p w:rsidR="00B070BF" w:rsidRPr="0028075A" w:rsidRDefault="00B070BF" w:rsidP="00B070BF">
      <w:pPr>
        <w:widowControl w:val="0"/>
        <w:rPr>
          <w:sz w:val="20"/>
        </w:rPr>
      </w:pPr>
    </w:p>
    <w:p w:rsidR="00B070BF" w:rsidRPr="0028075A" w:rsidRDefault="00B070BF" w:rsidP="00B070BF">
      <w:pPr>
        <w:widowControl w:val="0"/>
        <w:rPr>
          <w:sz w:val="20"/>
        </w:rPr>
      </w:pPr>
    </w:p>
    <w:p w:rsidR="00B070BF" w:rsidRPr="0028075A" w:rsidRDefault="00B070BF" w:rsidP="00B070BF">
      <w:pPr>
        <w:widowControl w:val="0"/>
        <w:jc w:val="center"/>
        <w:rPr>
          <w:sz w:val="20"/>
        </w:rPr>
      </w:pPr>
      <w:r w:rsidRPr="0028075A">
        <w:rPr>
          <w:sz w:val="20"/>
        </w:rPr>
        <w:t>Presupuesto y gastos reales (de personal y no relativos al personal)</w:t>
      </w:r>
    </w:p>
    <w:p w:rsidR="00B070BF" w:rsidRPr="00827314" w:rsidRDefault="00B070BF" w:rsidP="00B070BF">
      <w:pPr>
        <w:widowControl w:val="0"/>
        <w:jc w:val="center"/>
      </w:pPr>
      <w:r w:rsidRPr="0028075A">
        <w:rPr>
          <w:i/>
          <w:sz w:val="20"/>
        </w:rPr>
        <w:t>(en miles de francos suizos)</w:t>
      </w:r>
      <w:r w:rsidRPr="0028075A">
        <w:rPr>
          <w:sz w:val="20"/>
        </w:rPr>
        <w:br/>
      </w:r>
      <w:r w:rsidRPr="0028075A">
        <w:rPr>
          <w:sz w:val="20"/>
        </w:rPr>
        <w:br/>
      </w:r>
      <w:r>
        <w:rPr>
          <w:noProof/>
          <w:lang w:val="en-US" w:eastAsia="en-US"/>
        </w:rPr>
        <w:drawing>
          <wp:inline distT="0" distB="0" distL="0" distR="0" wp14:anchorId="0A89388D" wp14:editId="4D4B220F">
            <wp:extent cx="5902325" cy="1139825"/>
            <wp:effectExtent l="0" t="0" r="3175" b="3175"/>
            <wp:docPr id="197"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902325" cy="1139825"/>
                    </a:xfrm>
                    <a:prstGeom prst="rect">
                      <a:avLst/>
                    </a:prstGeom>
                    <a:noFill/>
                    <a:ln>
                      <a:noFill/>
                    </a:ln>
                  </pic:spPr>
                </pic:pic>
              </a:graphicData>
            </a:graphic>
          </wp:inline>
        </w:drawing>
      </w:r>
    </w:p>
    <w:p w:rsidR="00B070BF" w:rsidRPr="00827314" w:rsidRDefault="00B070BF" w:rsidP="00B070BF">
      <w:pPr>
        <w:widowControl w:val="0"/>
        <w:rPr>
          <w:sz w:val="20"/>
        </w:rPr>
      </w:pPr>
    </w:p>
    <w:p w:rsidR="00B070BF" w:rsidRPr="00927FB8" w:rsidRDefault="00B070BF" w:rsidP="00B070BF">
      <w:pPr>
        <w:widowControl w:val="0"/>
        <w:autoSpaceDE w:val="0"/>
        <w:autoSpaceDN w:val="0"/>
        <w:adjustRightInd w:val="0"/>
        <w:rPr>
          <w:sz w:val="16"/>
          <w:szCs w:val="16"/>
        </w:rPr>
      </w:pPr>
      <w:r w:rsidRPr="00927FB8">
        <w:rPr>
          <w:sz w:val="16"/>
          <w:szCs w:val="16"/>
        </w:rPr>
        <w:t>NOTAS:</w:t>
      </w:r>
    </w:p>
    <w:p w:rsidR="00B070BF" w:rsidRPr="00827314" w:rsidRDefault="00B070BF" w:rsidP="00B070BF">
      <w:pPr>
        <w:widowControl w:val="0"/>
        <w:autoSpaceDE w:val="0"/>
        <w:autoSpaceDN w:val="0"/>
        <w:adjustRightInd w:val="0"/>
        <w:rPr>
          <w:sz w:val="16"/>
          <w:szCs w:val="16"/>
        </w:rPr>
      </w:pPr>
    </w:p>
    <w:p w:rsidR="00B070BF" w:rsidRPr="00827314" w:rsidRDefault="00B070BF" w:rsidP="00B070BF">
      <w:pPr>
        <w:widowControl w:val="0"/>
        <w:autoSpaceDE w:val="0"/>
        <w:autoSpaceDN w:val="0"/>
        <w:adjustRightInd w:val="0"/>
        <w:rPr>
          <w:sz w:val="16"/>
          <w:szCs w:val="16"/>
        </w:rPr>
      </w:pPr>
      <w:r w:rsidRPr="00827314">
        <w:rPr>
          <w:sz w:val="16"/>
          <w:szCs w:val="16"/>
        </w:rPr>
        <w:t>1) El presupuesto después de las transferencias refleja el presupuesto de los programas ajustado después de las transferencias efectuadas en 2012/13 en virtud del artículo 5.5 del Reglamento Financiero.</w:t>
      </w:r>
    </w:p>
    <w:p w:rsidR="00B070BF" w:rsidRPr="00827314" w:rsidRDefault="00B070BF" w:rsidP="00B070BF">
      <w:pPr>
        <w:widowControl w:val="0"/>
        <w:autoSpaceDE w:val="0"/>
        <w:autoSpaceDN w:val="0"/>
        <w:adjustRightInd w:val="0"/>
        <w:rPr>
          <w:sz w:val="12"/>
          <w:szCs w:val="12"/>
        </w:rPr>
      </w:pPr>
    </w:p>
    <w:p w:rsidR="00B070BF" w:rsidRPr="00827314" w:rsidRDefault="00B070BF" w:rsidP="00B070BF">
      <w:pPr>
        <w:widowControl w:val="0"/>
        <w:autoSpaceDE w:val="0"/>
        <w:autoSpaceDN w:val="0"/>
        <w:adjustRightInd w:val="0"/>
        <w:rPr>
          <w:sz w:val="16"/>
          <w:szCs w:val="16"/>
        </w:rPr>
      </w:pPr>
      <w:r w:rsidRPr="00827314">
        <w:rPr>
          <w:sz w:val="16"/>
          <w:szCs w:val="16"/>
        </w:rPr>
        <w:t xml:space="preserve">2) La asignación para el personal del presupuesto de 2012/13 después de las transferencias representa los gastos reales efectuados hasta el 31 de marzo de 2013 y los importes presupuestados para los nueve meses restantes de 2013, sobre la base de costos estándar. </w:t>
      </w:r>
    </w:p>
    <w:p w:rsidR="00B070BF" w:rsidRPr="00827314" w:rsidRDefault="00B070BF" w:rsidP="00B070BF">
      <w:pPr>
        <w:widowControl w:val="0"/>
        <w:autoSpaceDE w:val="0"/>
        <w:autoSpaceDN w:val="0"/>
        <w:adjustRightInd w:val="0"/>
        <w:rPr>
          <w:sz w:val="12"/>
          <w:szCs w:val="12"/>
        </w:rPr>
      </w:pPr>
    </w:p>
    <w:p w:rsidR="00B070BF" w:rsidRPr="00827314" w:rsidRDefault="00B070BF" w:rsidP="00B070BF">
      <w:pPr>
        <w:widowControl w:val="0"/>
        <w:autoSpaceDE w:val="0"/>
        <w:autoSpaceDN w:val="0"/>
        <w:adjustRightInd w:val="0"/>
        <w:rPr>
          <w:sz w:val="16"/>
          <w:szCs w:val="16"/>
        </w:rPr>
      </w:pPr>
      <w:r w:rsidRPr="00827314">
        <w:rPr>
          <w:sz w:val="16"/>
          <w:szCs w:val="16"/>
        </w:rPr>
        <w:t>3) La asignación no relativa al personal del presupuesto de 2012/13 después de las transferencias refleja los ajustes a la baja efectuados para aumentar la eficacia en función de los costos, de conformidad con el compromiso de la Organización de reducir gastos por un importe de 10,2 millones de francos suizos en el bienio 2012/13.</w:t>
      </w:r>
    </w:p>
    <w:p w:rsidR="00B070BF" w:rsidRPr="00827314" w:rsidRDefault="00B070BF" w:rsidP="00B070BF">
      <w:pPr>
        <w:widowControl w:val="0"/>
        <w:rPr>
          <w:sz w:val="20"/>
        </w:rPr>
      </w:pPr>
    </w:p>
    <w:p w:rsidR="00B070BF" w:rsidRDefault="00B070BF" w:rsidP="00B070BF">
      <w:pPr>
        <w:rPr>
          <w:sz w:val="20"/>
        </w:rPr>
      </w:pPr>
      <w:r>
        <w:rPr>
          <w:sz w:val="20"/>
        </w:rPr>
        <w:br w:type="page"/>
      </w:r>
    </w:p>
    <w:p w:rsidR="00B070BF" w:rsidRPr="00927FB8" w:rsidRDefault="00B070BF" w:rsidP="00B070BF">
      <w:pPr>
        <w:widowControl w:val="0"/>
        <w:rPr>
          <w:sz w:val="20"/>
        </w:rPr>
      </w:pPr>
    </w:p>
    <w:p w:rsidR="00B070BF" w:rsidRPr="00827314" w:rsidRDefault="00B070BF" w:rsidP="00B070BF">
      <w:pPr>
        <w:keepNext/>
        <w:widowControl w:val="0"/>
        <w:rPr>
          <w:sz w:val="20"/>
          <w:u w:val="single"/>
        </w:rPr>
      </w:pPr>
      <w:r>
        <w:rPr>
          <w:sz w:val="20"/>
        </w:rPr>
        <w:t xml:space="preserve">A.  </w:t>
      </w:r>
      <w:r w:rsidRPr="00827314">
        <w:rPr>
          <w:sz w:val="20"/>
          <w:u w:val="single"/>
        </w:rPr>
        <w:t>Presupuesto 2012/13 después de las transferencias</w:t>
      </w:r>
    </w:p>
    <w:p w:rsidR="00B070BF" w:rsidRPr="00827314" w:rsidRDefault="00B070BF" w:rsidP="00B070BF">
      <w:pPr>
        <w:widowControl w:val="0"/>
        <w:rPr>
          <w:szCs w:val="22"/>
        </w:rPr>
      </w:pPr>
    </w:p>
    <w:p w:rsidR="00B070BF" w:rsidRPr="00827314" w:rsidRDefault="00B070BF" w:rsidP="00B070BF">
      <w:pPr>
        <w:widowControl w:val="0"/>
        <w:numPr>
          <w:ilvl w:val="0"/>
          <w:numId w:val="13"/>
        </w:numPr>
        <w:jc w:val="both"/>
        <w:rPr>
          <w:rFonts w:eastAsia="Batang"/>
          <w:sz w:val="20"/>
          <w:lang w:eastAsia="ko-KR"/>
        </w:rPr>
      </w:pPr>
      <w:r w:rsidRPr="00827314">
        <w:rPr>
          <w:rFonts w:eastAsia="Batang"/>
          <w:sz w:val="20"/>
          <w:lang w:eastAsia="ko-KR"/>
        </w:rPr>
        <w:t>La disminución neta de los recursos globales del programa se debe a la combinación de:  i) una disminución neta de los recursos de personal debida al número de cargos vacantes en el programa durante 2012, pese al aumento de puestos asignados al programa mediante el mecanismo de flexibilidad (cinco puestos con un costo total de 982.000 francos suizos), y, por otro lado, una disminución debida al número de cargos vacantes, en el programa durante 2012;  y ii) una disminución de los recursos no relativos al personal de conformidad con los ajustes a fin de lograr mejoras respecto de la eficiencia.</w:t>
      </w:r>
    </w:p>
    <w:p w:rsidR="00B070BF" w:rsidRPr="00827314" w:rsidRDefault="00B070BF" w:rsidP="00B070BF">
      <w:pPr>
        <w:widowControl w:val="0"/>
        <w:jc w:val="both"/>
        <w:rPr>
          <w:rFonts w:eastAsia="Batang"/>
          <w:sz w:val="20"/>
          <w:lang w:eastAsia="ko-KR"/>
        </w:rPr>
      </w:pPr>
    </w:p>
    <w:p w:rsidR="00B070BF" w:rsidRPr="00827314" w:rsidRDefault="00B070BF" w:rsidP="00B070BF">
      <w:pPr>
        <w:widowControl w:val="0"/>
        <w:numPr>
          <w:ilvl w:val="0"/>
          <w:numId w:val="13"/>
        </w:numPr>
        <w:jc w:val="both"/>
        <w:rPr>
          <w:rFonts w:eastAsia="Batang"/>
          <w:sz w:val="20"/>
          <w:lang w:eastAsia="ko-KR"/>
        </w:rPr>
      </w:pPr>
      <w:r w:rsidRPr="00827314">
        <w:rPr>
          <w:rFonts w:eastAsia="Batang"/>
          <w:sz w:val="20"/>
          <w:lang w:eastAsia="ko-KR"/>
        </w:rPr>
        <w:t>Con respecto al resultado II.1 (Utilización estratégica del PCT) y el resultado II.2 (Fortalecimiento de las relaciones con los usuarios del PCT y las oficinas), la reducción se debe principalmente a las mejoras en la relación costo-eficiencia respecto a los viajes en relación con las reuniones de la Asamblea del PCT para el bienio y las misiones de los miembros del personal a fin de promover las relaciones con los usuarios del s</w:t>
      </w:r>
      <w:r w:rsidRPr="00827314">
        <w:rPr>
          <w:rFonts w:eastAsia="Batang"/>
          <w:sz w:val="20"/>
          <w:szCs w:val="22"/>
          <w:lang w:eastAsia="ko-KR"/>
        </w:rPr>
        <w:t>istema del PCT</w:t>
      </w:r>
      <w:r w:rsidRPr="00827314">
        <w:rPr>
          <w:rFonts w:eastAsia="Batang"/>
          <w:sz w:val="20"/>
          <w:lang w:eastAsia="ko-KR"/>
        </w:rPr>
        <w:t xml:space="preserve">. </w:t>
      </w:r>
    </w:p>
    <w:p w:rsidR="00B070BF" w:rsidRPr="00827314" w:rsidRDefault="00B070BF" w:rsidP="00B070BF">
      <w:pPr>
        <w:widowControl w:val="0"/>
        <w:jc w:val="both"/>
        <w:rPr>
          <w:rFonts w:eastAsia="Batang"/>
          <w:sz w:val="20"/>
          <w:lang w:eastAsia="ko-KR"/>
        </w:rPr>
      </w:pPr>
    </w:p>
    <w:p w:rsidR="00B070BF" w:rsidRPr="00827314" w:rsidRDefault="00B070BF" w:rsidP="00B070BF">
      <w:pPr>
        <w:widowControl w:val="0"/>
        <w:numPr>
          <w:ilvl w:val="0"/>
          <w:numId w:val="13"/>
        </w:numPr>
        <w:jc w:val="both"/>
        <w:rPr>
          <w:rFonts w:eastAsia="Batang"/>
          <w:sz w:val="20"/>
          <w:lang w:eastAsia="ko-KR"/>
        </w:rPr>
      </w:pPr>
      <w:r w:rsidRPr="00827314">
        <w:rPr>
          <w:rFonts w:eastAsia="Batang"/>
          <w:sz w:val="20"/>
          <w:lang w:eastAsia="ko-KR"/>
        </w:rPr>
        <w:t xml:space="preserve">Con respecto al resultado II.4 (Mejora del funcionamiento de la Oficina Internacional), los aumentos de productividad y los menores costos unitarios han contribuido aumentar la eficiencia de forma continua y generado menores costos globales de tramitación de las solicitudes internacionales, compensando en alguna medida el aumento del costo de la traducción. </w:t>
      </w:r>
    </w:p>
    <w:p w:rsidR="00B070BF" w:rsidRPr="00827314" w:rsidRDefault="00B070BF" w:rsidP="00B070BF">
      <w:pPr>
        <w:widowControl w:val="0"/>
        <w:jc w:val="both"/>
        <w:rPr>
          <w:rFonts w:eastAsia="Batang"/>
          <w:sz w:val="20"/>
          <w:lang w:eastAsia="ko-KR"/>
        </w:rPr>
      </w:pPr>
    </w:p>
    <w:p w:rsidR="00B070BF" w:rsidRPr="00827314" w:rsidRDefault="00B070BF" w:rsidP="00B070BF">
      <w:pPr>
        <w:widowControl w:val="0"/>
        <w:jc w:val="both"/>
        <w:rPr>
          <w:rFonts w:eastAsia="Batang"/>
          <w:sz w:val="20"/>
          <w:lang w:eastAsia="ko-KR"/>
        </w:rPr>
      </w:pPr>
      <w:r w:rsidRPr="00827314">
        <w:rPr>
          <w:rFonts w:eastAsia="Batang"/>
          <w:sz w:val="20"/>
          <w:lang w:eastAsia="ko-KR"/>
        </w:rPr>
        <w:t xml:space="preserve">B. </w:t>
      </w:r>
      <w:r>
        <w:rPr>
          <w:rFonts w:eastAsia="Batang"/>
          <w:sz w:val="20"/>
          <w:lang w:eastAsia="ko-KR"/>
        </w:rPr>
        <w:t xml:space="preserve"> </w:t>
      </w:r>
      <w:r w:rsidRPr="00827314">
        <w:rPr>
          <w:rFonts w:eastAsia="Batang"/>
          <w:sz w:val="20"/>
          <w:u w:val="single"/>
          <w:lang w:eastAsia="ko-KR"/>
        </w:rPr>
        <w:t>Utilización del presupuesto 2012</w:t>
      </w:r>
    </w:p>
    <w:p w:rsidR="00B070BF" w:rsidRPr="00827314" w:rsidRDefault="00B070BF" w:rsidP="00B070BF">
      <w:pPr>
        <w:widowControl w:val="0"/>
        <w:jc w:val="both"/>
        <w:rPr>
          <w:rFonts w:eastAsia="Batang"/>
          <w:sz w:val="20"/>
          <w:lang w:eastAsia="ko-KR"/>
        </w:rPr>
      </w:pPr>
    </w:p>
    <w:p w:rsidR="00B070BF" w:rsidRPr="00827314" w:rsidRDefault="00B070BF" w:rsidP="00B070BF">
      <w:pPr>
        <w:widowControl w:val="0"/>
        <w:numPr>
          <w:ilvl w:val="0"/>
          <w:numId w:val="13"/>
        </w:numPr>
        <w:jc w:val="both"/>
        <w:rPr>
          <w:rFonts w:eastAsia="Batang"/>
          <w:sz w:val="20"/>
          <w:lang w:eastAsia="ko-KR"/>
        </w:rPr>
      </w:pPr>
      <w:r w:rsidRPr="00927FB8">
        <w:rPr>
          <w:rFonts w:eastAsia="Batang"/>
          <w:sz w:val="20"/>
          <w:lang w:eastAsia="ko-KR"/>
        </w:rPr>
        <w:t>La utilización del presupuesto se mantiene entre el 40% y el 60% en el primer año del bienio y progresa</w:t>
      </w:r>
      <w:r w:rsidRPr="00827314">
        <w:rPr>
          <w:rFonts w:eastAsia="Batang"/>
          <w:sz w:val="20"/>
          <w:lang w:eastAsia="ko-KR"/>
        </w:rPr>
        <w:t xml:space="preserve"> con normalidad.  </w:t>
      </w:r>
    </w:p>
    <w:p w:rsidR="00B070BF" w:rsidRPr="00827314" w:rsidRDefault="00B070BF" w:rsidP="00B070BF">
      <w:pPr>
        <w:widowControl w:val="0"/>
        <w:rPr>
          <w:sz w:val="20"/>
        </w:rPr>
      </w:pPr>
    </w:p>
    <w:p w:rsidR="00B070BF" w:rsidRPr="00CE1DAE" w:rsidRDefault="00B070BF" w:rsidP="00B070BF">
      <w:pPr>
        <w:widowControl w:val="0"/>
        <w:tabs>
          <w:tab w:val="left" w:pos="3095"/>
        </w:tabs>
        <w:rPr>
          <w:b/>
          <w:sz w:val="20"/>
        </w:rPr>
      </w:pPr>
    </w:p>
    <w:p w:rsidR="00B070BF" w:rsidRDefault="00B070BF" w:rsidP="00B070BF">
      <w:pPr>
        <w:widowControl w:val="0"/>
        <w:rPr>
          <w:sz w:val="20"/>
        </w:rPr>
      </w:pPr>
      <w:r w:rsidRPr="00AB16BB">
        <w:rPr>
          <w:sz w:val="20"/>
        </w:rPr>
        <w:br w:type="page"/>
      </w:r>
    </w:p>
    <w:p w:rsidR="00B070BF" w:rsidRDefault="00B070BF" w:rsidP="00B070BF">
      <w:pPr>
        <w:widowControl w:val="0"/>
        <w:rPr>
          <w:sz w:val="20"/>
        </w:rPr>
      </w:pPr>
    </w:p>
    <w:p w:rsidR="00B070BF" w:rsidRPr="00AB16BB" w:rsidRDefault="00B070BF" w:rsidP="00B070BF">
      <w:pPr>
        <w:widowControl w:val="0"/>
        <w:rPr>
          <w:b/>
          <w:bCs/>
          <w:szCs w:val="22"/>
        </w:rPr>
      </w:pPr>
      <w:r w:rsidRPr="00AB16BB">
        <w:rPr>
          <w:b/>
          <w:bCs/>
          <w:szCs w:val="22"/>
        </w:rPr>
        <w:t>Programa 5 Anexo:  Indicadores del funcionamiento del PCT</w:t>
      </w:r>
    </w:p>
    <w:p w:rsidR="00B070BF" w:rsidRPr="00AB16BB" w:rsidRDefault="00B070BF" w:rsidP="00B070BF">
      <w:pPr>
        <w:widowControl w:val="0"/>
        <w:jc w:val="both"/>
        <w:rPr>
          <w:b/>
          <w:sz w:val="20"/>
        </w:rPr>
      </w:pPr>
    </w:p>
    <w:p w:rsidR="00B070BF" w:rsidRPr="00AB16BB" w:rsidRDefault="00B070BF" w:rsidP="00B070BF">
      <w:pPr>
        <w:widowControl w:val="0"/>
        <w:rPr>
          <w:b/>
          <w:sz w:val="20"/>
        </w:rPr>
      </w:pPr>
    </w:p>
    <w:p w:rsidR="00B070BF" w:rsidRPr="00AB16BB" w:rsidRDefault="00B070BF" w:rsidP="00B070BF">
      <w:pPr>
        <w:widowControl w:val="0"/>
        <w:jc w:val="center"/>
        <w:rPr>
          <w:bCs/>
          <w:szCs w:val="22"/>
          <w:lang w:val="es-ES_tradnl"/>
        </w:rPr>
      </w:pPr>
      <w:r w:rsidRPr="00AB16BB">
        <w:rPr>
          <w:bCs/>
          <w:szCs w:val="22"/>
          <w:lang w:val="es-ES_tradnl"/>
        </w:rPr>
        <w:t>Indicadores de rendimiento con respecto al resultado previsto</w:t>
      </w:r>
    </w:p>
    <w:p w:rsidR="00B070BF" w:rsidRPr="00AB16BB" w:rsidRDefault="00B070BF" w:rsidP="00B070BF">
      <w:pPr>
        <w:widowControl w:val="0"/>
        <w:jc w:val="center"/>
        <w:rPr>
          <w:bCs/>
          <w:szCs w:val="22"/>
          <w:lang w:val="es-ES_tradnl"/>
        </w:rPr>
      </w:pPr>
      <w:r w:rsidRPr="00AB16BB">
        <w:rPr>
          <w:bCs/>
          <w:szCs w:val="22"/>
          <w:lang w:val="es-ES_tradnl"/>
        </w:rPr>
        <w:t>Mejora del funcionamiento de la Oficina Internacional</w:t>
      </w:r>
    </w:p>
    <w:p w:rsidR="00B070BF" w:rsidRPr="00AB16BB" w:rsidRDefault="00B070BF" w:rsidP="00B070BF">
      <w:pPr>
        <w:widowControl w:val="0"/>
        <w:rPr>
          <w:b/>
          <w:szCs w:val="22"/>
          <w:lang w:val="es-ES_tradnl"/>
        </w:rPr>
      </w:pPr>
    </w:p>
    <w:p w:rsidR="00B070BF" w:rsidRPr="00AB16BB" w:rsidRDefault="00B070BF" w:rsidP="00B070BF">
      <w:pPr>
        <w:widowControl w:val="0"/>
        <w:rPr>
          <w:b/>
        </w:rPr>
      </w:pPr>
    </w:p>
    <w:p w:rsidR="00B070BF" w:rsidRPr="00AB16BB" w:rsidRDefault="00B070BF" w:rsidP="00B070BF">
      <w:pPr>
        <w:widowControl w:val="0"/>
        <w:rPr>
          <w:b/>
        </w:rPr>
      </w:pPr>
      <w:r w:rsidRPr="00AB16BB">
        <w:rPr>
          <w:b/>
        </w:rPr>
        <w:t>Antecedentes</w:t>
      </w:r>
    </w:p>
    <w:p w:rsidR="00B070BF" w:rsidRPr="00AB16BB" w:rsidRDefault="00B070BF" w:rsidP="00B070BF">
      <w:pPr>
        <w:widowControl w:val="0"/>
        <w:rPr>
          <w:b/>
        </w:rPr>
      </w:pPr>
    </w:p>
    <w:p w:rsidR="00B070BF" w:rsidRPr="00AB16BB" w:rsidRDefault="00B070BF" w:rsidP="00B070BF">
      <w:pPr>
        <w:widowControl w:val="0"/>
        <w:jc w:val="both"/>
        <w:rPr>
          <w:sz w:val="20"/>
        </w:rPr>
      </w:pPr>
      <w:r w:rsidRPr="00AB16BB">
        <w:rPr>
          <w:sz w:val="20"/>
        </w:rPr>
        <w:t>Como referencia puede ser útil considerar la evolución de los siguientes factores:</w:t>
      </w:r>
    </w:p>
    <w:p w:rsidR="00B070BF" w:rsidRPr="00AB16BB" w:rsidRDefault="00B070BF" w:rsidP="00B070BF">
      <w:pPr>
        <w:widowControl w:val="0"/>
        <w:jc w:val="both"/>
        <w:rPr>
          <w:sz w:val="20"/>
        </w:rPr>
      </w:pPr>
    </w:p>
    <w:p w:rsidR="00B070BF" w:rsidRPr="00AB16BB" w:rsidRDefault="00B070BF" w:rsidP="00B070BF">
      <w:pPr>
        <w:widowControl w:val="0"/>
        <w:numPr>
          <w:ilvl w:val="0"/>
          <w:numId w:val="19"/>
        </w:numPr>
        <w:tabs>
          <w:tab w:val="clear" w:pos="720"/>
        </w:tabs>
        <w:spacing w:after="200"/>
        <w:ind w:left="1134" w:hanging="567"/>
        <w:jc w:val="both"/>
        <w:rPr>
          <w:sz w:val="20"/>
        </w:rPr>
      </w:pPr>
      <w:r w:rsidRPr="00AB16BB">
        <w:rPr>
          <w:sz w:val="20"/>
        </w:rPr>
        <w:t>Volumen de trabajo del PCT;</w:t>
      </w:r>
    </w:p>
    <w:p w:rsidR="00B070BF" w:rsidRPr="00AB16BB" w:rsidRDefault="00B070BF" w:rsidP="00B070BF">
      <w:pPr>
        <w:widowControl w:val="0"/>
        <w:numPr>
          <w:ilvl w:val="0"/>
          <w:numId w:val="19"/>
        </w:numPr>
        <w:tabs>
          <w:tab w:val="clear" w:pos="720"/>
        </w:tabs>
        <w:spacing w:after="200"/>
        <w:ind w:left="1134" w:hanging="567"/>
        <w:jc w:val="both"/>
        <w:rPr>
          <w:sz w:val="20"/>
        </w:rPr>
      </w:pPr>
      <w:r w:rsidRPr="00AB16BB">
        <w:rPr>
          <w:sz w:val="20"/>
        </w:rPr>
        <w:t>Distribución de idiomas con respecto al volumen de trabajo;  y</w:t>
      </w:r>
    </w:p>
    <w:p w:rsidR="00B070BF" w:rsidRPr="00AB16BB" w:rsidRDefault="00B070BF" w:rsidP="00B070BF">
      <w:pPr>
        <w:widowControl w:val="0"/>
        <w:numPr>
          <w:ilvl w:val="0"/>
          <w:numId w:val="19"/>
        </w:numPr>
        <w:tabs>
          <w:tab w:val="clear" w:pos="720"/>
        </w:tabs>
        <w:spacing w:after="200"/>
        <w:ind w:left="1134" w:hanging="567"/>
        <w:jc w:val="both"/>
        <w:rPr>
          <w:sz w:val="20"/>
        </w:rPr>
      </w:pPr>
      <w:r w:rsidRPr="00AB16BB">
        <w:rPr>
          <w:sz w:val="20"/>
        </w:rPr>
        <w:t>Personal asignado para gestionar el volumen de trabajo.</w:t>
      </w:r>
    </w:p>
    <w:p w:rsidR="00B070BF" w:rsidRPr="00AB16BB" w:rsidRDefault="00B070BF" w:rsidP="00B070BF">
      <w:pPr>
        <w:widowControl w:val="0"/>
        <w:jc w:val="both"/>
        <w:rPr>
          <w:sz w:val="20"/>
        </w:rPr>
      </w:pPr>
    </w:p>
    <w:p w:rsidR="00B070BF" w:rsidRPr="00AB16BB" w:rsidRDefault="00B070BF" w:rsidP="00B070BF">
      <w:pPr>
        <w:widowControl w:val="0"/>
        <w:jc w:val="both"/>
        <w:rPr>
          <w:i/>
          <w:sz w:val="20"/>
        </w:rPr>
      </w:pPr>
      <w:r w:rsidRPr="00AB16BB">
        <w:rPr>
          <w:i/>
          <w:sz w:val="20"/>
        </w:rPr>
        <w:t>Volumen de trabajo</w:t>
      </w:r>
    </w:p>
    <w:p w:rsidR="00B070BF" w:rsidRPr="00AB16BB" w:rsidRDefault="00B070BF" w:rsidP="00B070BF">
      <w:pPr>
        <w:widowControl w:val="0"/>
        <w:jc w:val="both"/>
        <w:rPr>
          <w:sz w:val="20"/>
        </w:rPr>
      </w:pPr>
    </w:p>
    <w:p w:rsidR="00B070BF" w:rsidRPr="00AB16BB" w:rsidRDefault="00B070BF" w:rsidP="00B070BF">
      <w:pPr>
        <w:widowControl w:val="0"/>
        <w:rPr>
          <w:sz w:val="20"/>
        </w:rPr>
      </w:pPr>
      <w:r w:rsidRPr="00AB16BB">
        <w:rPr>
          <w:sz w:val="20"/>
        </w:rPr>
        <w:t>La evolución del volumen de trabajo se analiza a partir del número de ejemplares que la Oficina Internacional recibe anualmente.</w:t>
      </w:r>
      <w:r w:rsidRPr="00AB16BB">
        <w:rPr>
          <w:sz w:val="20"/>
          <w:vertAlign w:val="superscript"/>
        </w:rPr>
        <w:footnoteReference w:id="6"/>
      </w:r>
      <w:r w:rsidRPr="00AB16BB">
        <w:rPr>
          <w:sz w:val="20"/>
        </w:rPr>
        <w:t xml:space="preserve"> </w:t>
      </w:r>
    </w:p>
    <w:p w:rsidR="00B070BF" w:rsidRPr="00AB16BB" w:rsidRDefault="00B070BF" w:rsidP="00B070BF">
      <w:pPr>
        <w:widowControl w:val="0"/>
        <w:jc w:val="both"/>
        <w:rPr>
          <w:sz w:val="20"/>
        </w:rPr>
      </w:pPr>
    </w:p>
    <w:p w:rsidR="00B070BF" w:rsidRPr="00AB16BB" w:rsidRDefault="00B070BF" w:rsidP="00B070BF">
      <w:pPr>
        <w:widowControl w:val="0"/>
        <w:spacing w:after="120"/>
        <w:jc w:val="center"/>
      </w:pPr>
      <w:r>
        <w:rPr>
          <w:noProof/>
          <w:lang w:val="en-US" w:eastAsia="en-US"/>
        </w:rPr>
        <w:drawing>
          <wp:inline distT="0" distB="0" distL="0" distR="0" wp14:anchorId="56667310" wp14:editId="33590FF2">
            <wp:extent cx="5756910" cy="2623820"/>
            <wp:effectExtent l="0" t="0" r="0" b="508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756910" cy="2623820"/>
                    </a:xfrm>
                    <a:prstGeom prst="rect">
                      <a:avLst/>
                    </a:prstGeom>
                    <a:noFill/>
                    <a:ln>
                      <a:noFill/>
                    </a:ln>
                  </pic:spPr>
                </pic:pic>
              </a:graphicData>
            </a:graphic>
          </wp:inline>
        </w:drawing>
      </w:r>
    </w:p>
    <w:p w:rsidR="00B070BF" w:rsidRPr="00AB16BB" w:rsidRDefault="00B070BF" w:rsidP="00B070BF">
      <w:pPr>
        <w:widowControl w:val="0"/>
        <w:spacing w:after="120"/>
        <w:jc w:val="center"/>
        <w:rPr>
          <w:b/>
          <w:kern w:val="28"/>
          <w:sz w:val="20"/>
        </w:rPr>
      </w:pPr>
    </w:p>
    <w:p w:rsidR="00B070BF" w:rsidRPr="00AB16BB" w:rsidRDefault="00B070BF" w:rsidP="00B070BF">
      <w:pPr>
        <w:widowControl w:val="0"/>
        <w:numPr>
          <w:ilvl w:val="0"/>
          <w:numId w:val="17"/>
        </w:numPr>
        <w:jc w:val="both"/>
        <w:rPr>
          <w:rFonts w:eastAsia="MS Mincho"/>
          <w:sz w:val="20"/>
          <w:lang w:eastAsia="en-US"/>
        </w:rPr>
      </w:pPr>
      <w:r w:rsidRPr="00AB16BB">
        <w:rPr>
          <w:rFonts w:eastAsia="MS Mincho"/>
          <w:sz w:val="20"/>
          <w:lang w:eastAsia="en-US"/>
        </w:rPr>
        <w:t xml:space="preserve">La Oficina Internacional recibió aproximadamente 196.200 ejemplares originales en 2012, lo que supone un incremento del 9% con respecto a 2011.  </w:t>
      </w:r>
    </w:p>
    <w:p w:rsidR="00B070BF" w:rsidRPr="00AB16BB" w:rsidRDefault="00B070BF" w:rsidP="00B070BF">
      <w:pPr>
        <w:widowControl w:val="0"/>
        <w:ind w:left="360"/>
        <w:jc w:val="both"/>
        <w:rPr>
          <w:rFonts w:eastAsia="MS Mincho"/>
          <w:sz w:val="20"/>
          <w:lang w:eastAsia="en-US"/>
        </w:rPr>
      </w:pPr>
    </w:p>
    <w:p w:rsidR="00B070BF" w:rsidRPr="00AB16BB" w:rsidRDefault="00B070BF" w:rsidP="00B070BF">
      <w:pPr>
        <w:widowControl w:val="0"/>
        <w:numPr>
          <w:ilvl w:val="0"/>
          <w:numId w:val="17"/>
        </w:numPr>
        <w:jc w:val="both"/>
        <w:rPr>
          <w:rFonts w:eastAsia="MS Mincho"/>
          <w:sz w:val="20"/>
          <w:lang w:eastAsia="en-US"/>
        </w:rPr>
      </w:pPr>
      <w:r w:rsidRPr="00AB16BB">
        <w:rPr>
          <w:rFonts w:eastAsia="MS Mincho"/>
          <w:sz w:val="20"/>
          <w:lang w:eastAsia="en-US"/>
        </w:rPr>
        <w:t>En 201</w:t>
      </w:r>
      <w:r>
        <w:rPr>
          <w:rFonts w:eastAsia="MS Mincho"/>
          <w:sz w:val="20"/>
          <w:lang w:eastAsia="en-US"/>
        </w:rPr>
        <w:t>2</w:t>
      </w:r>
      <w:r w:rsidRPr="00AB16BB">
        <w:rPr>
          <w:rFonts w:eastAsia="MS Mincho"/>
          <w:sz w:val="20"/>
          <w:lang w:eastAsia="en-US"/>
        </w:rPr>
        <w:t xml:space="preserve"> siguió aumentando el porcentaje de solicitudes presentadas íntegramente por medios electrónicos, que actualmente constituye el 8</w:t>
      </w:r>
      <w:r>
        <w:rPr>
          <w:rFonts w:eastAsia="MS Mincho"/>
          <w:sz w:val="20"/>
          <w:lang w:eastAsia="en-US"/>
        </w:rPr>
        <w:t>7</w:t>
      </w:r>
      <w:r w:rsidRPr="00AB16BB">
        <w:rPr>
          <w:rFonts w:eastAsia="MS Mincho"/>
          <w:sz w:val="20"/>
          <w:lang w:eastAsia="en-US"/>
        </w:rPr>
        <w:t>% de todas las solicitudes presentadas.</w:t>
      </w:r>
    </w:p>
    <w:p w:rsidR="00B070BF" w:rsidRDefault="00B070BF" w:rsidP="00B070BF">
      <w:pPr>
        <w:widowControl w:val="0"/>
        <w:rPr>
          <w:rFonts w:eastAsia="MS Mincho"/>
          <w:sz w:val="20"/>
          <w:lang w:eastAsia="en-US"/>
        </w:rPr>
      </w:pPr>
      <w:r>
        <w:rPr>
          <w:rFonts w:eastAsia="MS Mincho"/>
          <w:sz w:val="20"/>
          <w:lang w:eastAsia="en-US"/>
        </w:rPr>
        <w:br w:type="page"/>
      </w:r>
    </w:p>
    <w:p w:rsidR="00B070BF" w:rsidRPr="00AB16BB" w:rsidRDefault="00B070BF" w:rsidP="00B070BF">
      <w:pPr>
        <w:widowControl w:val="0"/>
        <w:jc w:val="both"/>
        <w:rPr>
          <w:rFonts w:eastAsia="MS Mincho"/>
          <w:sz w:val="20"/>
          <w:lang w:eastAsia="en-US"/>
        </w:rPr>
      </w:pPr>
    </w:p>
    <w:p w:rsidR="00B070BF" w:rsidRPr="00AB16BB" w:rsidRDefault="00B070BF" w:rsidP="00B070BF">
      <w:pPr>
        <w:widowControl w:val="0"/>
        <w:jc w:val="both"/>
        <w:rPr>
          <w:rFonts w:eastAsia="MS Mincho"/>
          <w:i/>
          <w:sz w:val="20"/>
          <w:lang w:eastAsia="en-US"/>
        </w:rPr>
      </w:pPr>
      <w:r w:rsidRPr="00AB16BB">
        <w:rPr>
          <w:rFonts w:eastAsia="MS Mincho"/>
          <w:i/>
          <w:sz w:val="20"/>
          <w:lang w:eastAsia="en-US"/>
        </w:rPr>
        <w:t>Distribución de idiomas</w:t>
      </w:r>
    </w:p>
    <w:p w:rsidR="00B070BF" w:rsidRPr="00AB16BB" w:rsidRDefault="00B070BF" w:rsidP="00B070BF">
      <w:pPr>
        <w:widowControl w:val="0"/>
        <w:jc w:val="both"/>
        <w:rPr>
          <w:rFonts w:eastAsia="MS Mincho"/>
          <w:sz w:val="20"/>
          <w:lang w:eastAsia="en-US"/>
        </w:rPr>
      </w:pPr>
    </w:p>
    <w:p w:rsidR="00B070BF" w:rsidRPr="00AB16BB" w:rsidRDefault="00B070BF" w:rsidP="00B070BF">
      <w:pPr>
        <w:widowControl w:val="0"/>
        <w:jc w:val="both"/>
        <w:rPr>
          <w:rFonts w:eastAsia="MS Mincho"/>
          <w:sz w:val="20"/>
          <w:lang w:eastAsia="en-US"/>
        </w:rPr>
      </w:pPr>
      <w:r w:rsidRPr="00AB16BB">
        <w:rPr>
          <w:rFonts w:eastAsia="MS Mincho"/>
          <w:sz w:val="20"/>
          <w:lang w:eastAsia="en-US"/>
        </w:rPr>
        <w:t xml:space="preserve">Uno de los factores fundamentales del cambio en el funcionamiento de la Oficina Internacional es la creciente diversidad lingüística de las solicitudes presentadas como consecuencia, principalmente, del uso cada vez mayor del sistema del PCT en los países del este asiático. </w:t>
      </w:r>
    </w:p>
    <w:p w:rsidR="00B070BF" w:rsidRPr="00AB16BB" w:rsidRDefault="00B070BF" w:rsidP="00B070BF">
      <w:pPr>
        <w:widowControl w:val="0"/>
        <w:jc w:val="both"/>
      </w:pPr>
    </w:p>
    <w:p w:rsidR="00B070BF" w:rsidRPr="00AB16BB" w:rsidRDefault="00B070BF" w:rsidP="00B070BF">
      <w:pPr>
        <w:widowControl w:val="0"/>
        <w:jc w:val="both"/>
        <w:rPr>
          <w:b/>
        </w:rPr>
      </w:pPr>
      <w:r>
        <w:rPr>
          <w:b/>
          <w:noProof/>
          <w:lang w:val="en-US" w:eastAsia="en-US"/>
        </w:rPr>
        <w:drawing>
          <wp:inline distT="0" distB="0" distL="0" distR="0" wp14:anchorId="7AC5764D" wp14:editId="04585B71">
            <wp:extent cx="5756910" cy="3538220"/>
            <wp:effectExtent l="0" t="0" r="0" b="508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756910" cy="3538220"/>
                    </a:xfrm>
                    <a:prstGeom prst="rect">
                      <a:avLst/>
                    </a:prstGeom>
                    <a:noFill/>
                    <a:ln>
                      <a:noFill/>
                    </a:ln>
                  </pic:spPr>
                </pic:pic>
              </a:graphicData>
            </a:graphic>
          </wp:inline>
        </w:drawing>
      </w:r>
    </w:p>
    <w:p w:rsidR="00B070BF" w:rsidRPr="00AB16BB" w:rsidRDefault="00B070BF" w:rsidP="00B070BF">
      <w:pPr>
        <w:widowControl w:val="0"/>
        <w:spacing w:after="120"/>
        <w:jc w:val="both"/>
        <w:rPr>
          <w:sz w:val="20"/>
        </w:rPr>
      </w:pPr>
      <w:r w:rsidRPr="00AB16BB">
        <w:rPr>
          <w:sz w:val="20"/>
        </w:rPr>
        <w:t>Como puede observarse en el gráfico, aunque el inglés sigue siendo con diferencia el idioma predominante en la presentación de solicitudes, su importancia ha disminuido con relación al japonés, al chino y al coreano. El porcentaje combinado de solicitudes PCT presentadas en japonés, chino y coreano ha crecido del 33% en 2011 al 35% en 2012.  En el siguiente gráfico se presenta la evolución de otros idiomas distintos al inglés en la presentación de solicitudes:</w:t>
      </w:r>
    </w:p>
    <w:p w:rsidR="00B070BF" w:rsidRPr="00AB16BB" w:rsidRDefault="00B070BF" w:rsidP="00B070BF">
      <w:pPr>
        <w:widowControl w:val="0"/>
        <w:spacing w:after="120"/>
        <w:rPr>
          <w:sz w:val="20"/>
        </w:rPr>
      </w:pPr>
      <w:r>
        <w:rPr>
          <w:noProof/>
          <w:lang w:val="en-US" w:eastAsia="en-US"/>
        </w:rPr>
        <w:drawing>
          <wp:anchor distT="0" distB="0" distL="114300" distR="114300" simplePos="0" relativeHeight="251659264" behindDoc="0" locked="0" layoutInCell="0" allowOverlap="1" wp14:anchorId="4CB8AE14" wp14:editId="63FB1FA9">
            <wp:simplePos x="0" y="0"/>
            <wp:positionH relativeFrom="column">
              <wp:posOffset>1080135</wp:posOffset>
            </wp:positionH>
            <wp:positionV relativeFrom="paragraph">
              <wp:posOffset>7804150</wp:posOffset>
            </wp:positionV>
            <wp:extent cx="4959985" cy="3058160"/>
            <wp:effectExtent l="0" t="0" r="0" b="0"/>
            <wp:wrapNone/>
            <wp:docPr id="188" name="Picture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959985" cy="30581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070BF" w:rsidRPr="00AB16BB" w:rsidRDefault="00B070BF" w:rsidP="00B070BF">
      <w:pPr>
        <w:widowControl w:val="0"/>
        <w:spacing w:after="120"/>
        <w:jc w:val="center"/>
      </w:pPr>
      <w:r>
        <w:rPr>
          <w:noProof/>
          <w:lang w:val="en-US" w:eastAsia="en-US"/>
        </w:rPr>
        <w:drawing>
          <wp:inline distT="0" distB="0" distL="0" distR="0" wp14:anchorId="33FA93E7" wp14:editId="2F08C1E9">
            <wp:extent cx="5756910" cy="3442970"/>
            <wp:effectExtent l="0" t="0" r="0" b="508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756910" cy="3442970"/>
                    </a:xfrm>
                    <a:prstGeom prst="rect">
                      <a:avLst/>
                    </a:prstGeom>
                    <a:noFill/>
                    <a:ln>
                      <a:noFill/>
                    </a:ln>
                  </pic:spPr>
                </pic:pic>
              </a:graphicData>
            </a:graphic>
          </wp:inline>
        </w:drawing>
      </w:r>
    </w:p>
    <w:p w:rsidR="00B070BF" w:rsidRPr="00AB16BB" w:rsidRDefault="00B070BF" w:rsidP="00B070BF">
      <w:pPr>
        <w:widowControl w:val="0"/>
        <w:jc w:val="both"/>
        <w:rPr>
          <w:sz w:val="20"/>
        </w:rPr>
      </w:pPr>
      <w:r w:rsidRPr="00AB16BB">
        <w:rPr>
          <w:sz w:val="20"/>
        </w:rPr>
        <w:lastRenderedPageBreak/>
        <w:t>La evolución en el uso de los idiomas supone una carga de trabajo considerable para la Oficina Internacional, ya que lleva muchos años adaptar la composición lingüística del personal encargado del PCT.</w:t>
      </w:r>
    </w:p>
    <w:p w:rsidR="00B070BF" w:rsidRPr="00AB16BB" w:rsidRDefault="00B070BF" w:rsidP="00B070BF">
      <w:pPr>
        <w:widowControl w:val="0"/>
        <w:jc w:val="both"/>
        <w:rPr>
          <w:i/>
          <w:sz w:val="20"/>
        </w:rPr>
      </w:pPr>
    </w:p>
    <w:p w:rsidR="00B070BF" w:rsidRDefault="00B070BF" w:rsidP="00B070BF">
      <w:pPr>
        <w:widowControl w:val="0"/>
        <w:jc w:val="both"/>
        <w:rPr>
          <w:i/>
          <w:sz w:val="20"/>
        </w:rPr>
      </w:pPr>
      <w:r w:rsidRPr="00AB16BB">
        <w:rPr>
          <w:i/>
          <w:sz w:val="20"/>
        </w:rPr>
        <w:t>Personal</w:t>
      </w:r>
    </w:p>
    <w:p w:rsidR="00B070BF" w:rsidRPr="00AB16BB" w:rsidRDefault="00B070BF" w:rsidP="00B070BF">
      <w:pPr>
        <w:widowControl w:val="0"/>
        <w:jc w:val="both"/>
        <w:rPr>
          <w:i/>
          <w:sz w:val="20"/>
        </w:rPr>
      </w:pPr>
    </w:p>
    <w:p w:rsidR="00B070BF" w:rsidRPr="00AB16BB" w:rsidRDefault="00B070BF" w:rsidP="00B070BF">
      <w:pPr>
        <w:widowControl w:val="0"/>
        <w:jc w:val="both"/>
        <w:rPr>
          <w:rFonts w:eastAsia="MS Mincho"/>
          <w:sz w:val="20"/>
          <w:lang w:eastAsia="en-US"/>
        </w:rPr>
      </w:pPr>
      <w:r w:rsidRPr="00AB16BB">
        <w:rPr>
          <w:rFonts w:eastAsia="MS Mincho"/>
          <w:sz w:val="20"/>
          <w:lang w:eastAsia="en-US"/>
        </w:rPr>
        <w:t>El siguiente gráfico muestra el número de miembros del personal encargados del funcionamiento del PCT desde el año 2001, expresado en equivalente de puestos a jornada completa (número de miembros del personal a jornada completa más el equivalente de puestos a jornada completa de miembros del personal a jornada parcial).</w:t>
      </w:r>
    </w:p>
    <w:p w:rsidR="00B070BF" w:rsidRPr="00AB16BB" w:rsidRDefault="00B070BF" w:rsidP="00B070BF">
      <w:pPr>
        <w:widowControl w:val="0"/>
        <w:rPr>
          <w:rFonts w:eastAsia="MS Mincho"/>
          <w:szCs w:val="22"/>
          <w:lang w:eastAsia="en-US"/>
        </w:rPr>
      </w:pPr>
    </w:p>
    <w:p w:rsidR="00B070BF" w:rsidRPr="00AB16BB" w:rsidRDefault="00B070BF" w:rsidP="00B070BF">
      <w:pPr>
        <w:widowControl w:val="0"/>
        <w:rPr>
          <w:lang w:val="en-US"/>
        </w:rPr>
      </w:pPr>
      <w:r>
        <w:rPr>
          <w:noProof/>
          <w:lang w:val="en-US" w:eastAsia="en-US"/>
        </w:rPr>
        <w:drawing>
          <wp:inline distT="0" distB="0" distL="0" distR="0" wp14:anchorId="7E03DBEF" wp14:editId="75196D49">
            <wp:extent cx="6023610" cy="3688715"/>
            <wp:effectExtent l="0" t="0" r="0" b="6985"/>
            <wp:docPr id="257" name="Picture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023610" cy="3688715"/>
                    </a:xfrm>
                    <a:prstGeom prst="rect">
                      <a:avLst/>
                    </a:prstGeom>
                    <a:noFill/>
                  </pic:spPr>
                </pic:pic>
              </a:graphicData>
            </a:graphic>
          </wp:inline>
        </w:drawing>
      </w:r>
    </w:p>
    <w:p w:rsidR="00B070BF" w:rsidRPr="00AB16BB" w:rsidRDefault="00B070BF" w:rsidP="00B070BF">
      <w:pPr>
        <w:widowControl w:val="0"/>
        <w:rPr>
          <w:rFonts w:eastAsia="MS Mincho"/>
          <w:szCs w:val="22"/>
          <w:lang w:eastAsia="en-US"/>
        </w:rPr>
      </w:pPr>
    </w:p>
    <w:p w:rsidR="00B070BF" w:rsidRPr="00AB16BB" w:rsidRDefault="00B070BF" w:rsidP="00B070BF">
      <w:pPr>
        <w:widowControl w:val="0"/>
        <w:numPr>
          <w:ilvl w:val="0"/>
          <w:numId w:val="18"/>
        </w:numPr>
        <w:ind w:left="714" w:hanging="357"/>
        <w:rPr>
          <w:sz w:val="20"/>
        </w:rPr>
      </w:pPr>
      <w:r w:rsidRPr="00AB16BB">
        <w:rPr>
          <w:sz w:val="20"/>
        </w:rPr>
        <w:t>El número de miembros del personal de la División de Operaciones del PCT en 2012 se mantuvo estable con respecto a 2011.</w:t>
      </w:r>
    </w:p>
    <w:p w:rsidR="00B070BF" w:rsidRPr="00AB16BB" w:rsidRDefault="00B070BF" w:rsidP="00B070BF">
      <w:pPr>
        <w:widowControl w:val="0"/>
        <w:rPr>
          <w:sz w:val="20"/>
          <w:u w:val="single"/>
        </w:rPr>
      </w:pPr>
    </w:p>
    <w:p w:rsidR="00B070BF" w:rsidRPr="00AB16BB" w:rsidRDefault="00B070BF" w:rsidP="00B070BF">
      <w:pPr>
        <w:widowControl w:val="0"/>
        <w:rPr>
          <w:b/>
          <w:szCs w:val="22"/>
        </w:rPr>
      </w:pPr>
      <w:r w:rsidRPr="00AB16BB">
        <w:rPr>
          <w:b/>
          <w:szCs w:val="22"/>
        </w:rPr>
        <w:t>Costo unitario de tramitación de las solicitudes</w:t>
      </w:r>
    </w:p>
    <w:p w:rsidR="00B070BF" w:rsidRPr="00AB16BB" w:rsidRDefault="00B070BF" w:rsidP="00B070BF">
      <w:pPr>
        <w:widowControl w:val="0"/>
        <w:rPr>
          <w:b/>
          <w:szCs w:val="22"/>
        </w:rPr>
      </w:pPr>
    </w:p>
    <w:p w:rsidR="00B070BF" w:rsidRPr="00AB16BB" w:rsidRDefault="00B070BF" w:rsidP="00B070BF">
      <w:pPr>
        <w:widowControl w:val="0"/>
        <w:jc w:val="both"/>
        <w:rPr>
          <w:rFonts w:eastAsia="MS Mincho"/>
          <w:sz w:val="20"/>
          <w:lang w:eastAsia="en-US"/>
        </w:rPr>
      </w:pPr>
      <w:r w:rsidRPr="00AB16BB">
        <w:rPr>
          <w:rFonts w:eastAsia="MS Mincho"/>
          <w:sz w:val="20"/>
          <w:lang w:eastAsia="en-US"/>
        </w:rPr>
        <w:t>La productividad de la Oficina Internacional en cuanto a la tramitación de las solicitudes PCT puede medirse por el costo unitario de tramitación, definido como el costo medio total de la publicación de una solicitud PCT.  El costo medio total se determina sumando el gasto total del PCT a una parte de los gastos en concepto de actividades de apoyo y gestión.</w:t>
      </w:r>
      <w:r w:rsidRPr="00AB16BB">
        <w:rPr>
          <w:rFonts w:eastAsia="Calibri"/>
          <w:szCs w:val="22"/>
          <w:vertAlign w:val="superscript"/>
          <w:lang w:eastAsia="en-US"/>
        </w:rPr>
        <w:footnoteReference w:id="7"/>
      </w:r>
      <w:r w:rsidRPr="00AB16BB">
        <w:rPr>
          <w:rFonts w:eastAsia="MS Mincho"/>
          <w:sz w:val="20"/>
          <w:lang w:eastAsia="en-US"/>
        </w:rPr>
        <w:t xml:space="preserve"> Por lo tanto, el costo unitario abarca el costo de todas las actividades del PCT, incluidas la traducción, la comunicación, la gestión, etcétera.</w:t>
      </w:r>
    </w:p>
    <w:p w:rsidR="00B070BF" w:rsidRPr="00AB16BB" w:rsidRDefault="00B070BF" w:rsidP="00B070BF">
      <w:pPr>
        <w:widowControl w:val="0"/>
        <w:jc w:val="both"/>
        <w:rPr>
          <w:rFonts w:eastAsia="MS Mincho"/>
          <w:sz w:val="20"/>
          <w:lang w:eastAsia="en-US"/>
        </w:rPr>
      </w:pPr>
    </w:p>
    <w:p w:rsidR="00B070BF" w:rsidRPr="00AB16BB" w:rsidRDefault="00B070BF" w:rsidP="00B070BF">
      <w:pPr>
        <w:widowControl w:val="0"/>
        <w:jc w:val="both"/>
        <w:rPr>
          <w:sz w:val="20"/>
        </w:rPr>
      </w:pPr>
      <w:r w:rsidRPr="00AB16BB">
        <w:rPr>
          <w:sz w:val="20"/>
        </w:rPr>
        <w:t>A la hora de calcular el costo unitario, el costo de producción se descompone en:  costos directos y costos indirectos.  Los costos directos se corresponden con el gasto incurrido por la IB (en relación con la administración del sistema del PCT y programas conexos).  En los costos indirectos se incluyen los gastos de las unidades de apoyo (por ejemplo, edificios, tecnología de información, etcétera.).  Estos últimos se ponderan para tener en cuenta únicamente la proporción imputable al sistema del PCT.  Al costo unitario se le añade el costo de almacenamiento de las solicitudes publicadas, ya que el sistema del PCT debe almacenar las solicitudes durante 30 años.</w:t>
      </w:r>
    </w:p>
    <w:p w:rsidR="00B070BF" w:rsidRPr="00AB16BB" w:rsidRDefault="00B070BF" w:rsidP="00B070BF">
      <w:pPr>
        <w:widowControl w:val="0"/>
        <w:jc w:val="both"/>
        <w:rPr>
          <w:sz w:val="20"/>
        </w:rPr>
      </w:pPr>
    </w:p>
    <w:p w:rsidR="00B070BF" w:rsidRPr="00AB16BB" w:rsidRDefault="00B070BF" w:rsidP="00B070BF">
      <w:pPr>
        <w:widowControl w:val="0"/>
        <w:jc w:val="both"/>
        <w:rPr>
          <w:sz w:val="20"/>
        </w:rPr>
      </w:pPr>
      <w:r w:rsidRPr="00AB16BB">
        <w:rPr>
          <w:sz w:val="20"/>
        </w:rPr>
        <w:t>Oficialmente, el costo unitario se define de la siguiente manera:</w:t>
      </w:r>
    </w:p>
    <w:p w:rsidR="00B070BF" w:rsidRPr="00AB16BB" w:rsidRDefault="00B070BF" w:rsidP="00B070BF">
      <w:pPr>
        <w:widowControl w:val="0"/>
        <w:jc w:val="both"/>
        <w:rPr>
          <w:sz w:val="20"/>
        </w:rPr>
      </w:pPr>
    </w:p>
    <w:p w:rsidR="00B070BF" w:rsidRPr="00AB16BB" w:rsidRDefault="00B070BF" w:rsidP="00B070BF">
      <w:pPr>
        <w:widowControl w:val="0"/>
        <w:spacing w:after="200" w:line="276" w:lineRule="auto"/>
        <w:jc w:val="center"/>
        <w:rPr>
          <w:rFonts w:eastAsia="Calibri"/>
          <w:sz w:val="20"/>
          <w:szCs w:val="22"/>
          <w:lang w:eastAsia="en-US"/>
        </w:rPr>
      </w:pPr>
      <w:r w:rsidRPr="00AB16BB">
        <w:rPr>
          <w:rFonts w:eastAsia="Calibri"/>
          <w:sz w:val="20"/>
          <w:szCs w:val="22"/>
          <w:lang w:eastAsia="en-US"/>
        </w:rPr>
        <w:t xml:space="preserve">Costo unitario = </w:t>
      </w:r>
      <w:r w:rsidRPr="00AB16BB">
        <w:rPr>
          <w:rFonts w:eastAsia="Calibri"/>
          <w:sz w:val="20"/>
          <w:szCs w:val="22"/>
          <w:u w:val="single"/>
          <w:lang w:eastAsia="en-US"/>
        </w:rPr>
        <w:t>Costo total de producción</w:t>
      </w:r>
      <w:r w:rsidRPr="00AB16BB">
        <w:rPr>
          <w:rFonts w:eastAsia="Calibri"/>
          <w:sz w:val="20"/>
          <w:szCs w:val="22"/>
          <w:lang w:eastAsia="en-US"/>
        </w:rPr>
        <w:t xml:space="preserve"> + costo de almacenamiento</w:t>
      </w:r>
    </w:p>
    <w:p w:rsidR="00B070BF" w:rsidRPr="00AB16BB" w:rsidRDefault="00B070BF" w:rsidP="00B070BF">
      <w:pPr>
        <w:widowControl w:val="0"/>
        <w:tabs>
          <w:tab w:val="left" w:pos="2835"/>
        </w:tabs>
        <w:spacing w:after="200" w:line="276" w:lineRule="auto"/>
        <w:rPr>
          <w:rFonts w:eastAsia="Calibri"/>
          <w:sz w:val="20"/>
          <w:szCs w:val="22"/>
          <w:lang w:eastAsia="en-US"/>
        </w:rPr>
      </w:pPr>
      <w:r w:rsidRPr="00AB16BB">
        <w:rPr>
          <w:rFonts w:eastAsia="Calibri"/>
          <w:sz w:val="20"/>
          <w:szCs w:val="22"/>
          <w:lang w:eastAsia="en-US"/>
        </w:rPr>
        <w:tab/>
        <w:t xml:space="preserve"> Número de publicaciones</w:t>
      </w:r>
    </w:p>
    <w:p w:rsidR="00B070BF" w:rsidRPr="00AB16BB" w:rsidRDefault="00B070BF" w:rsidP="00B070BF">
      <w:pPr>
        <w:widowControl w:val="0"/>
        <w:jc w:val="both"/>
        <w:rPr>
          <w:sz w:val="20"/>
        </w:rPr>
      </w:pPr>
      <w:r w:rsidRPr="00AB16BB">
        <w:rPr>
          <w:sz w:val="20"/>
        </w:rPr>
        <w:t>En el gráfico B.1.9 se ilustra la evolución del costo unitario de tramitación desde 2004 hasta 2011, incluido un desglose de la parte correspondiente a los costos directos e indirecto</w:t>
      </w:r>
    </w:p>
    <w:p w:rsidR="00B070BF" w:rsidRDefault="00B070BF" w:rsidP="00B070BF">
      <w:pPr>
        <w:widowControl w:val="0"/>
        <w:jc w:val="both"/>
        <w:rPr>
          <w:b/>
          <w:sz w:val="20"/>
        </w:rPr>
      </w:pPr>
    </w:p>
    <w:p w:rsidR="00B070BF" w:rsidRPr="00AB16BB" w:rsidRDefault="00B070BF" w:rsidP="00B070BF">
      <w:pPr>
        <w:widowControl w:val="0"/>
        <w:jc w:val="both"/>
        <w:rPr>
          <w:b/>
          <w:sz w:val="20"/>
        </w:rPr>
      </w:pPr>
    </w:p>
    <w:p w:rsidR="00B070BF" w:rsidRPr="00AB16BB" w:rsidRDefault="00B070BF" w:rsidP="00B070BF">
      <w:pPr>
        <w:widowControl w:val="0"/>
        <w:jc w:val="both"/>
        <w:rPr>
          <w:b/>
          <w:sz w:val="20"/>
        </w:rPr>
      </w:pPr>
      <w:r w:rsidRPr="00AB16BB">
        <w:rPr>
          <w:b/>
          <w:sz w:val="20"/>
        </w:rPr>
        <w:t>Figura B.1.9.: Costo medio de tramitación de una solicitud PCT publicada</w:t>
      </w:r>
    </w:p>
    <w:p w:rsidR="00B070BF" w:rsidRPr="00AB16BB" w:rsidRDefault="00B070BF" w:rsidP="00B070BF">
      <w:pPr>
        <w:widowControl w:val="0"/>
        <w:jc w:val="both"/>
        <w:rPr>
          <w:b/>
          <w:sz w:val="20"/>
        </w:rPr>
      </w:pPr>
    </w:p>
    <w:p w:rsidR="00B070BF" w:rsidRPr="00AB16BB" w:rsidRDefault="00B070BF" w:rsidP="00B070BF">
      <w:pPr>
        <w:widowControl w:val="0"/>
        <w:jc w:val="both"/>
        <w:rPr>
          <w:b/>
          <w:sz w:val="20"/>
        </w:rPr>
      </w:pPr>
      <w:r>
        <w:rPr>
          <w:noProof/>
          <w:lang w:val="en-US" w:eastAsia="en-US"/>
        </w:rPr>
        <w:drawing>
          <wp:inline distT="0" distB="0" distL="0" distR="0" wp14:anchorId="6B828752" wp14:editId="098E5419">
            <wp:extent cx="5756910" cy="295783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756910" cy="2957830"/>
                    </a:xfrm>
                    <a:prstGeom prst="rect">
                      <a:avLst/>
                    </a:prstGeom>
                    <a:noFill/>
                    <a:ln>
                      <a:noFill/>
                    </a:ln>
                  </pic:spPr>
                </pic:pic>
              </a:graphicData>
            </a:graphic>
          </wp:inline>
        </w:drawing>
      </w:r>
    </w:p>
    <w:p w:rsidR="00B070BF" w:rsidRPr="00AB16BB" w:rsidRDefault="00B070BF" w:rsidP="00B070BF">
      <w:pPr>
        <w:widowControl w:val="0"/>
        <w:rPr>
          <w:b/>
        </w:rPr>
      </w:pPr>
    </w:p>
    <w:p w:rsidR="00B070BF" w:rsidRPr="00AB16BB" w:rsidRDefault="00B070BF" w:rsidP="00B070BF">
      <w:pPr>
        <w:widowControl w:val="0"/>
        <w:numPr>
          <w:ilvl w:val="0"/>
          <w:numId w:val="20"/>
        </w:numPr>
        <w:ind w:left="714" w:hanging="357"/>
        <w:rPr>
          <w:sz w:val="20"/>
        </w:rPr>
      </w:pPr>
      <w:r w:rsidRPr="00AB16BB">
        <w:rPr>
          <w:sz w:val="20"/>
        </w:rPr>
        <w:t>El costo medio de tramitación de una solicitud PCT publicada se redujo en un 9% en 2012 en relación con 2011, con una cifra de 680 francos suizos.</w:t>
      </w:r>
      <w:r w:rsidRPr="00AB16BB">
        <w:rPr>
          <w:sz w:val="20"/>
          <w:vertAlign w:val="superscript"/>
        </w:rPr>
        <w:footnoteReference w:id="8"/>
      </w:r>
      <w:r w:rsidRPr="00AB16BB">
        <w:rPr>
          <w:sz w:val="20"/>
        </w:rPr>
        <w:t xml:space="preserve">  Este descenso se explica en parte por el hecho de que en 2012 se publicó un 8,9% más de solicitudes que en 2011, mientras que los costos generales se redujeron ligeramente (en especial los costos indirectos).</w:t>
      </w:r>
    </w:p>
    <w:p w:rsidR="00B070BF" w:rsidRPr="00AB16BB" w:rsidRDefault="00B070BF" w:rsidP="00B070BF">
      <w:pPr>
        <w:widowControl w:val="0"/>
        <w:jc w:val="both"/>
        <w:rPr>
          <w:sz w:val="20"/>
        </w:rPr>
      </w:pPr>
    </w:p>
    <w:p w:rsidR="00B070BF" w:rsidRDefault="00B070BF" w:rsidP="00B070BF">
      <w:pPr>
        <w:rPr>
          <w:sz w:val="20"/>
        </w:rPr>
      </w:pPr>
      <w:r>
        <w:rPr>
          <w:sz w:val="20"/>
        </w:rPr>
        <w:br w:type="page"/>
      </w:r>
    </w:p>
    <w:p w:rsidR="00B070BF" w:rsidRPr="00AB16BB" w:rsidRDefault="00B070BF" w:rsidP="00B070BF">
      <w:pPr>
        <w:widowControl w:val="0"/>
        <w:jc w:val="both"/>
        <w:rPr>
          <w:sz w:val="20"/>
        </w:rPr>
      </w:pPr>
    </w:p>
    <w:p w:rsidR="00B070BF" w:rsidRPr="00AB16BB" w:rsidRDefault="00B070BF" w:rsidP="00B070BF">
      <w:pPr>
        <w:widowControl w:val="0"/>
        <w:jc w:val="both"/>
        <w:rPr>
          <w:sz w:val="20"/>
        </w:rPr>
      </w:pPr>
      <w:r w:rsidRPr="00AB16BB">
        <w:rPr>
          <w:b/>
          <w:sz w:val="20"/>
        </w:rPr>
        <w:t>Product</w:t>
      </w:r>
      <w:r>
        <w:rPr>
          <w:b/>
          <w:sz w:val="20"/>
        </w:rPr>
        <w:t>ividad en el examen de forma</w:t>
      </w:r>
    </w:p>
    <w:p w:rsidR="00B070BF" w:rsidRPr="00AB16BB" w:rsidRDefault="00B070BF" w:rsidP="00B070BF">
      <w:pPr>
        <w:widowControl w:val="0"/>
        <w:jc w:val="both"/>
        <w:rPr>
          <w:sz w:val="20"/>
        </w:rPr>
      </w:pPr>
    </w:p>
    <w:p w:rsidR="00B070BF" w:rsidRPr="00AB16BB" w:rsidRDefault="00B070BF" w:rsidP="00B070BF">
      <w:pPr>
        <w:widowControl w:val="0"/>
        <w:jc w:val="both"/>
        <w:rPr>
          <w:sz w:val="20"/>
        </w:rPr>
      </w:pPr>
      <w:r w:rsidRPr="00AB16BB">
        <w:rPr>
          <w:sz w:val="20"/>
        </w:rPr>
        <w:t>La definición de productividad del personal consiste en el valor de la producción (esto es, el número de publicaciones del PCT) dividido entre el número de miembros del personal encargados del examen de forma.</w:t>
      </w:r>
    </w:p>
    <w:p w:rsidR="00B070BF" w:rsidRPr="00AB16BB" w:rsidRDefault="00B070BF" w:rsidP="00B070BF">
      <w:pPr>
        <w:widowControl w:val="0"/>
        <w:rPr>
          <w:sz w:val="20"/>
        </w:rPr>
      </w:pPr>
    </w:p>
    <w:p w:rsidR="00B070BF" w:rsidRPr="00AB16BB" w:rsidRDefault="00B070BF" w:rsidP="00B070BF">
      <w:pPr>
        <w:widowControl w:val="0"/>
        <w:jc w:val="center"/>
      </w:pPr>
      <w:r>
        <w:rPr>
          <w:noProof/>
          <w:lang w:val="en-US" w:eastAsia="en-US"/>
        </w:rPr>
        <w:drawing>
          <wp:inline distT="0" distB="0" distL="0" distR="0" wp14:anchorId="343CE793" wp14:editId="1F8CB77D">
            <wp:extent cx="5215890" cy="2361565"/>
            <wp:effectExtent l="0" t="0" r="3810" b="63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215890" cy="2361565"/>
                    </a:xfrm>
                    <a:prstGeom prst="rect">
                      <a:avLst/>
                    </a:prstGeom>
                    <a:noFill/>
                    <a:ln>
                      <a:noFill/>
                    </a:ln>
                  </pic:spPr>
                </pic:pic>
              </a:graphicData>
            </a:graphic>
          </wp:inline>
        </w:drawing>
      </w:r>
    </w:p>
    <w:p w:rsidR="00B070BF" w:rsidRPr="00AB16BB" w:rsidRDefault="00B070BF" w:rsidP="00B070BF">
      <w:pPr>
        <w:widowControl w:val="0"/>
        <w:rPr>
          <w:sz w:val="20"/>
        </w:rPr>
      </w:pPr>
    </w:p>
    <w:p w:rsidR="00B070BF" w:rsidRPr="00AB16BB" w:rsidRDefault="00B070BF" w:rsidP="00B070BF">
      <w:pPr>
        <w:widowControl w:val="0"/>
        <w:numPr>
          <w:ilvl w:val="0"/>
          <w:numId w:val="18"/>
        </w:numPr>
        <w:jc w:val="both"/>
        <w:rPr>
          <w:sz w:val="20"/>
        </w:rPr>
      </w:pPr>
      <w:r w:rsidRPr="00AB16BB">
        <w:rPr>
          <w:sz w:val="20"/>
        </w:rPr>
        <w:t>La productividad del examen de forma ha ido aumentado a lo largo del tiempo, principalmente debido a la automatización del procedimiento, que ha permitido que un menor número de miembros del personal pueda tramitar un volumen de trabajo mucho mayor.</w:t>
      </w:r>
    </w:p>
    <w:p w:rsidR="00B070BF" w:rsidRPr="00AB16BB" w:rsidRDefault="00B070BF" w:rsidP="00B070BF">
      <w:pPr>
        <w:widowControl w:val="0"/>
        <w:jc w:val="both"/>
        <w:rPr>
          <w:b/>
          <w:sz w:val="20"/>
        </w:rPr>
      </w:pPr>
    </w:p>
    <w:p w:rsidR="00B070BF" w:rsidRPr="00AB16BB" w:rsidRDefault="00B070BF" w:rsidP="00B070BF">
      <w:pPr>
        <w:widowControl w:val="0"/>
        <w:jc w:val="both"/>
        <w:rPr>
          <w:b/>
          <w:sz w:val="20"/>
        </w:rPr>
      </w:pPr>
    </w:p>
    <w:p w:rsidR="00B070BF" w:rsidRPr="00AB16BB" w:rsidRDefault="00B070BF" w:rsidP="00B070BF">
      <w:pPr>
        <w:widowControl w:val="0"/>
        <w:jc w:val="both"/>
        <w:rPr>
          <w:b/>
          <w:sz w:val="20"/>
        </w:rPr>
      </w:pPr>
      <w:r w:rsidRPr="00AB16BB">
        <w:rPr>
          <w:b/>
          <w:sz w:val="20"/>
        </w:rPr>
        <w:t>Calidad global del examen de forma</w:t>
      </w:r>
    </w:p>
    <w:p w:rsidR="00B070BF" w:rsidRPr="00AB16BB" w:rsidRDefault="00B070BF" w:rsidP="00B070BF">
      <w:pPr>
        <w:widowControl w:val="0"/>
        <w:jc w:val="both"/>
        <w:rPr>
          <w:sz w:val="20"/>
        </w:rPr>
      </w:pPr>
    </w:p>
    <w:p w:rsidR="00B070BF" w:rsidRPr="00AB16BB" w:rsidRDefault="00B070BF" w:rsidP="00B070BF">
      <w:pPr>
        <w:widowControl w:val="0"/>
        <w:jc w:val="both"/>
        <w:rPr>
          <w:sz w:val="20"/>
        </w:rPr>
      </w:pPr>
      <w:r w:rsidRPr="00AB16BB">
        <w:rPr>
          <w:sz w:val="20"/>
        </w:rPr>
        <w:t>Con el fin de medir la calidad del trabajo realizado por la Oficina Internacional de una manera sencilla e integral, la Oficina Internacional ha elaborado un indicador de calidad global, que es el promedio de cuatro indicadores de calidad principales.  Tres de ellos se basan en el tiempo necesario para efectuar las transacciones fundamentales: acuse de recibo de la solicitud en el marco del PCT, publicación y nueva publicación. El cuarto indicador da cuenta de los errores cometidos en el curso de la tramitación de solicitudes PCT.</w:t>
      </w:r>
    </w:p>
    <w:p w:rsidR="00B070BF" w:rsidRPr="00AB16BB" w:rsidRDefault="00B070BF" w:rsidP="00B070BF">
      <w:pPr>
        <w:widowControl w:val="0"/>
        <w:jc w:val="both"/>
        <w:rPr>
          <w:sz w:val="20"/>
        </w:rPr>
      </w:pPr>
    </w:p>
    <w:p w:rsidR="00B070BF" w:rsidRPr="00AB16BB" w:rsidRDefault="00B070BF" w:rsidP="00B070BF">
      <w:pPr>
        <w:widowControl w:val="0"/>
        <w:rPr>
          <w:szCs w:val="22"/>
        </w:rPr>
      </w:pPr>
    </w:p>
    <w:p w:rsidR="00B070BF" w:rsidRPr="00AB16BB" w:rsidRDefault="00B070BF" w:rsidP="00B070BF">
      <w:pPr>
        <w:widowControl w:val="0"/>
        <w:rPr>
          <w:szCs w:val="22"/>
        </w:rPr>
      </w:pPr>
      <w:r>
        <w:rPr>
          <w:noProof/>
          <w:lang w:val="en-US" w:eastAsia="en-US"/>
        </w:rPr>
        <w:drawing>
          <wp:inline distT="0" distB="0" distL="0" distR="0" wp14:anchorId="7467FC04" wp14:editId="543C1BD7">
            <wp:extent cx="5756910" cy="268732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756910" cy="2687320"/>
                    </a:xfrm>
                    <a:prstGeom prst="rect">
                      <a:avLst/>
                    </a:prstGeom>
                    <a:noFill/>
                    <a:ln>
                      <a:noFill/>
                    </a:ln>
                  </pic:spPr>
                </pic:pic>
              </a:graphicData>
            </a:graphic>
          </wp:inline>
        </w:drawing>
      </w:r>
    </w:p>
    <w:p w:rsidR="00B070BF" w:rsidRPr="00AB16BB" w:rsidRDefault="00B070BF" w:rsidP="00B070BF">
      <w:pPr>
        <w:widowControl w:val="0"/>
        <w:rPr>
          <w:szCs w:val="22"/>
        </w:rPr>
      </w:pPr>
    </w:p>
    <w:p w:rsidR="00B070BF" w:rsidRPr="00AB16BB" w:rsidRDefault="00B070BF" w:rsidP="00B070BF">
      <w:pPr>
        <w:widowControl w:val="0"/>
        <w:numPr>
          <w:ilvl w:val="0"/>
          <w:numId w:val="21"/>
        </w:numPr>
        <w:jc w:val="both"/>
        <w:rPr>
          <w:sz w:val="20"/>
        </w:rPr>
      </w:pPr>
      <w:r w:rsidRPr="00AB16BB">
        <w:rPr>
          <w:sz w:val="20"/>
        </w:rPr>
        <w:t xml:space="preserve">La calidad, de acuerdo con el índice global, ha mejorado notablemente desde 2007 y hasta el segundo trimestre de 2011. A partir de la segunda mitad de 2011 se observa un deterioro en la calidad, que se explica por los retrasos cada vez mayores en la nueva publicación de las </w:t>
      </w:r>
      <w:r w:rsidRPr="00AB16BB">
        <w:rPr>
          <w:sz w:val="20"/>
        </w:rPr>
        <w:lastRenderedPageBreak/>
        <w:t xml:space="preserve">solicitudes PCT, junto con los informes de búsqueda internacional. </w:t>
      </w:r>
    </w:p>
    <w:p w:rsidR="00B070BF" w:rsidRPr="00AB16BB" w:rsidRDefault="00B070BF" w:rsidP="00B070BF">
      <w:pPr>
        <w:widowControl w:val="0"/>
        <w:jc w:val="both"/>
        <w:rPr>
          <w:sz w:val="20"/>
        </w:rPr>
      </w:pPr>
    </w:p>
    <w:p w:rsidR="00B070BF" w:rsidRPr="00AB16BB" w:rsidRDefault="00B070BF" w:rsidP="00B070BF">
      <w:pPr>
        <w:widowControl w:val="0"/>
        <w:numPr>
          <w:ilvl w:val="0"/>
          <w:numId w:val="21"/>
        </w:numPr>
        <w:jc w:val="both"/>
        <w:rPr>
          <w:sz w:val="20"/>
        </w:rPr>
      </w:pPr>
      <w:r w:rsidRPr="00AB16BB">
        <w:rPr>
          <w:sz w:val="20"/>
        </w:rPr>
        <w:t xml:space="preserve">La calidad mejoró notablemente durante el primer trimestre de 2012 pero volvió a deteriorarse en el curso de los dos siguientes trimestres. Esto se explica principalmente por la disminución del número de notificaciones de recepción de las solicitudes PCT que se transmitieron a los solicitantes en un plazo de cinco semanas, que pasó de 90,8 % en el primer trimestre a 76,3% en el tercer trimestre. Sin embargo, a partir del cuarto trimestre, se dio inicio al envío automático de notificaciones de recepción a los solicitantes, poco después de que se hubieran recibido sus solicitudes, lo cual explica el 93,7% registrado a finales de año. </w:t>
      </w:r>
    </w:p>
    <w:p w:rsidR="00B070BF" w:rsidRPr="00AB16BB" w:rsidRDefault="00B070BF" w:rsidP="00B070BF">
      <w:pPr>
        <w:widowControl w:val="0"/>
        <w:jc w:val="both"/>
        <w:rPr>
          <w:sz w:val="20"/>
        </w:rPr>
      </w:pPr>
    </w:p>
    <w:p w:rsidR="00B070BF" w:rsidRPr="00AB16BB" w:rsidRDefault="00B070BF" w:rsidP="00B070BF">
      <w:pPr>
        <w:widowControl w:val="0"/>
        <w:numPr>
          <w:ilvl w:val="0"/>
          <w:numId w:val="21"/>
        </w:numPr>
        <w:jc w:val="both"/>
        <w:rPr>
          <w:sz w:val="20"/>
        </w:rPr>
      </w:pPr>
      <w:r w:rsidRPr="00AB16BB">
        <w:rPr>
          <w:sz w:val="20"/>
        </w:rPr>
        <w:t xml:space="preserve">Además, el número de solicitudes que se volvieron a publicar en un plazo de dos meses disminuyó drásticamente durante el segundo semestre de 2012. En el segundo trimestre de 2012, el 76,6% de las solicitudes se volvieron a publicar en un plazo de 2 meses, pero este porcentaje bajó hasta el 57,7% en el último trimestre del mismo año. </w:t>
      </w:r>
    </w:p>
    <w:p w:rsidR="00B070BF" w:rsidRPr="00AB16BB" w:rsidRDefault="00B070BF" w:rsidP="00B070BF">
      <w:pPr>
        <w:widowControl w:val="0"/>
        <w:rPr>
          <w:szCs w:val="22"/>
        </w:rPr>
      </w:pPr>
    </w:p>
    <w:p w:rsidR="00B070BF" w:rsidRPr="00AB16BB" w:rsidRDefault="00B070BF" w:rsidP="00B070BF">
      <w:pPr>
        <w:widowControl w:val="0"/>
        <w:rPr>
          <w:szCs w:val="22"/>
        </w:rPr>
      </w:pPr>
    </w:p>
    <w:p w:rsidR="00B070BF" w:rsidRPr="00AB16BB" w:rsidRDefault="00B070BF" w:rsidP="00B070BF">
      <w:pPr>
        <w:widowControl w:val="0"/>
        <w:jc w:val="both"/>
        <w:rPr>
          <w:b/>
          <w:sz w:val="20"/>
        </w:rPr>
      </w:pPr>
      <w:r w:rsidRPr="00AB16BB">
        <w:rPr>
          <w:b/>
          <w:sz w:val="20"/>
        </w:rPr>
        <w:t>Tiempo necesario para el examen de forma</w:t>
      </w:r>
    </w:p>
    <w:p w:rsidR="00B070BF" w:rsidRPr="00AB16BB" w:rsidRDefault="00B070BF" w:rsidP="00B070BF">
      <w:pPr>
        <w:widowControl w:val="0"/>
        <w:jc w:val="both"/>
        <w:rPr>
          <w:b/>
          <w:sz w:val="20"/>
        </w:rPr>
      </w:pPr>
    </w:p>
    <w:p w:rsidR="00B070BF" w:rsidRPr="00AB16BB" w:rsidRDefault="00B070BF" w:rsidP="00B070BF">
      <w:pPr>
        <w:widowControl w:val="0"/>
        <w:jc w:val="both"/>
        <w:rPr>
          <w:b/>
          <w:sz w:val="20"/>
        </w:rPr>
      </w:pPr>
      <w:r w:rsidRPr="00AB16BB">
        <w:rPr>
          <w:sz w:val="20"/>
        </w:rPr>
        <w:t>Este indicador refleja más detalladamente uno de los componentes del indicador global de calidad, esto es el tiempo que tarda la Oficina Internacional en enviar el formulario 301. Este formulario se envía una vez completado el examen de forma de la solicitud. Los solicitantes agradecen que se les envíe lo antes posible, puesto que dicho formulario les permite saber si su solicitud presenta errores formales.</w:t>
      </w:r>
    </w:p>
    <w:p w:rsidR="00B070BF" w:rsidRPr="00AB16BB" w:rsidRDefault="00B070BF" w:rsidP="00B070BF">
      <w:pPr>
        <w:widowControl w:val="0"/>
        <w:rPr>
          <w:b/>
          <w:szCs w:val="22"/>
        </w:rPr>
      </w:pPr>
    </w:p>
    <w:p w:rsidR="00B070BF" w:rsidRPr="00AB16BB" w:rsidRDefault="00B070BF" w:rsidP="00B070BF">
      <w:pPr>
        <w:widowControl w:val="0"/>
      </w:pPr>
      <w:r>
        <w:rPr>
          <w:noProof/>
          <w:lang w:val="en-US" w:eastAsia="en-US"/>
        </w:rPr>
        <w:drawing>
          <wp:inline distT="0" distB="0" distL="0" distR="0" wp14:anchorId="2104E0A6" wp14:editId="532AF61A">
            <wp:extent cx="5756910" cy="2568575"/>
            <wp:effectExtent l="0" t="0" r="0" b="317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756910" cy="2568575"/>
                    </a:xfrm>
                    <a:prstGeom prst="rect">
                      <a:avLst/>
                    </a:prstGeom>
                    <a:noFill/>
                    <a:ln>
                      <a:noFill/>
                    </a:ln>
                  </pic:spPr>
                </pic:pic>
              </a:graphicData>
            </a:graphic>
          </wp:inline>
        </w:drawing>
      </w:r>
    </w:p>
    <w:p w:rsidR="00B070BF" w:rsidRDefault="00B070BF" w:rsidP="00B070BF">
      <w:pPr>
        <w:widowControl w:val="0"/>
        <w:jc w:val="both"/>
        <w:rPr>
          <w:b/>
          <w:sz w:val="20"/>
        </w:rPr>
      </w:pPr>
    </w:p>
    <w:p w:rsidR="00B070BF" w:rsidRDefault="00B070BF" w:rsidP="00B070BF">
      <w:pPr>
        <w:widowControl w:val="0"/>
        <w:jc w:val="both"/>
        <w:rPr>
          <w:b/>
          <w:sz w:val="20"/>
        </w:rPr>
      </w:pPr>
    </w:p>
    <w:p w:rsidR="00B070BF" w:rsidRPr="00AB16BB" w:rsidRDefault="00B070BF" w:rsidP="00B070BF">
      <w:pPr>
        <w:widowControl w:val="0"/>
        <w:jc w:val="both"/>
        <w:rPr>
          <w:b/>
          <w:sz w:val="20"/>
        </w:rPr>
      </w:pPr>
      <w:r w:rsidRPr="00AB16BB">
        <w:rPr>
          <w:b/>
          <w:sz w:val="20"/>
        </w:rPr>
        <w:t>Tiempo necesario para la publicación</w:t>
      </w:r>
    </w:p>
    <w:p w:rsidR="00B070BF" w:rsidRPr="00AB16BB" w:rsidRDefault="00B070BF" w:rsidP="00B070BF">
      <w:pPr>
        <w:widowControl w:val="0"/>
        <w:jc w:val="both"/>
        <w:rPr>
          <w:sz w:val="20"/>
        </w:rPr>
      </w:pPr>
    </w:p>
    <w:p w:rsidR="00B070BF" w:rsidRPr="00AB16BB" w:rsidRDefault="00B070BF" w:rsidP="00B070BF">
      <w:pPr>
        <w:widowControl w:val="0"/>
        <w:jc w:val="both"/>
        <w:rPr>
          <w:sz w:val="20"/>
        </w:rPr>
      </w:pPr>
      <w:r w:rsidRPr="00AB16BB">
        <w:rPr>
          <w:sz w:val="20"/>
        </w:rPr>
        <w:t>Este indicador refleja más adecuadamente uno de los componentes del indicador global de calidad, esto es, el tiempo que tarda la Oficina Internacional en publicar la solicitud. El artículo 21.2)a) del PCT establece que  “[…] la publicación internacional de la solicitud internacional se efectuará rápidamente tras el vencimiento de un plazo de 18 meses desde la fecha de prioridad de esa solicitud”.</w:t>
      </w:r>
    </w:p>
    <w:p w:rsidR="00B070BF" w:rsidRPr="00AB16BB" w:rsidRDefault="00B070BF" w:rsidP="00B070BF">
      <w:pPr>
        <w:widowControl w:val="0"/>
      </w:pPr>
    </w:p>
    <w:p w:rsidR="00B070BF" w:rsidRPr="00AB16BB" w:rsidRDefault="00B070BF" w:rsidP="00B070BF">
      <w:pPr>
        <w:widowControl w:val="0"/>
        <w:rPr>
          <w:b/>
        </w:rPr>
      </w:pPr>
      <w:r>
        <w:rPr>
          <w:noProof/>
          <w:lang w:val="en-US" w:eastAsia="en-US"/>
        </w:rPr>
        <w:lastRenderedPageBreak/>
        <w:drawing>
          <wp:inline distT="0" distB="0" distL="0" distR="0" wp14:anchorId="32302D52" wp14:editId="7D476F83">
            <wp:extent cx="5756910" cy="2719070"/>
            <wp:effectExtent l="0" t="0" r="0" b="508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756910" cy="2719070"/>
                    </a:xfrm>
                    <a:prstGeom prst="rect">
                      <a:avLst/>
                    </a:prstGeom>
                    <a:noFill/>
                    <a:ln>
                      <a:noFill/>
                    </a:ln>
                  </pic:spPr>
                </pic:pic>
              </a:graphicData>
            </a:graphic>
          </wp:inline>
        </w:drawing>
      </w:r>
    </w:p>
    <w:p w:rsidR="00B070BF" w:rsidRDefault="00B070BF" w:rsidP="00B070BF">
      <w:pPr>
        <w:widowControl w:val="0"/>
        <w:jc w:val="both"/>
        <w:rPr>
          <w:b/>
          <w:sz w:val="20"/>
        </w:rPr>
      </w:pPr>
    </w:p>
    <w:p w:rsidR="00B070BF" w:rsidRPr="00AB16BB" w:rsidRDefault="00B070BF" w:rsidP="00B070BF">
      <w:pPr>
        <w:widowControl w:val="0"/>
        <w:jc w:val="both"/>
        <w:rPr>
          <w:b/>
          <w:sz w:val="20"/>
        </w:rPr>
      </w:pPr>
    </w:p>
    <w:p w:rsidR="00B070BF" w:rsidRPr="00AB16BB" w:rsidRDefault="00B070BF" w:rsidP="00B070BF">
      <w:pPr>
        <w:widowControl w:val="0"/>
        <w:jc w:val="both"/>
        <w:rPr>
          <w:b/>
          <w:sz w:val="20"/>
        </w:rPr>
      </w:pPr>
      <w:r w:rsidRPr="00AB16BB">
        <w:rPr>
          <w:b/>
          <w:sz w:val="20"/>
        </w:rPr>
        <w:t>Tiempo necesario para una nueva publicación</w:t>
      </w:r>
    </w:p>
    <w:p w:rsidR="00B070BF" w:rsidRPr="00AB16BB" w:rsidRDefault="00B070BF" w:rsidP="00B070BF">
      <w:pPr>
        <w:widowControl w:val="0"/>
        <w:jc w:val="both"/>
        <w:rPr>
          <w:sz w:val="20"/>
        </w:rPr>
      </w:pPr>
    </w:p>
    <w:p w:rsidR="00B070BF" w:rsidRPr="00AB16BB" w:rsidRDefault="00B070BF" w:rsidP="00B070BF">
      <w:pPr>
        <w:widowControl w:val="0"/>
        <w:jc w:val="both"/>
        <w:rPr>
          <w:sz w:val="20"/>
        </w:rPr>
      </w:pPr>
      <w:r w:rsidRPr="00AB16BB">
        <w:rPr>
          <w:sz w:val="20"/>
        </w:rPr>
        <w:t>Este indicador refleja más detalladamente uno de los componentes del indicador global de calidad, esto es, el tiempo que tarda la Oficina Internacional en llevar a cabo la nueva publicación de la solicitud, junto con el informe de búsqueda internacional. Algunas solicitudes internacionales se publican sin su informe de búsqueda internacional, ya que las Administraciones encargadas de la búsqueda internacional los comunican con retraso. Cuando el informe de búsqueda internacional está disponible, es necesario proceder cuanto antes a la nueva publicación de la solicitud internacional con su informe de búsqueda internacional para dar por concluida la publicación internacional.</w:t>
      </w:r>
    </w:p>
    <w:p w:rsidR="00B070BF" w:rsidRPr="00AB16BB" w:rsidRDefault="00B070BF" w:rsidP="00B070BF">
      <w:pPr>
        <w:widowControl w:val="0"/>
      </w:pPr>
    </w:p>
    <w:p w:rsidR="00B070BF" w:rsidRPr="00AB16BB" w:rsidRDefault="00B070BF" w:rsidP="00B070BF">
      <w:pPr>
        <w:widowControl w:val="0"/>
      </w:pPr>
      <w:r>
        <w:rPr>
          <w:noProof/>
          <w:lang w:val="en-US" w:eastAsia="en-US"/>
        </w:rPr>
        <w:drawing>
          <wp:inline distT="0" distB="0" distL="0" distR="0" wp14:anchorId="388DF4CB" wp14:editId="38F4E17E">
            <wp:extent cx="5756910" cy="2639695"/>
            <wp:effectExtent l="0" t="0" r="0" b="825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756910" cy="2639695"/>
                    </a:xfrm>
                    <a:prstGeom prst="rect">
                      <a:avLst/>
                    </a:prstGeom>
                    <a:noFill/>
                    <a:ln>
                      <a:noFill/>
                    </a:ln>
                  </pic:spPr>
                </pic:pic>
              </a:graphicData>
            </a:graphic>
          </wp:inline>
        </w:drawing>
      </w:r>
    </w:p>
    <w:p w:rsidR="00B070BF" w:rsidRPr="00AB16BB" w:rsidRDefault="00B070BF" w:rsidP="00B070BF">
      <w:pPr>
        <w:widowControl w:val="0"/>
      </w:pPr>
    </w:p>
    <w:p w:rsidR="00B070BF" w:rsidRPr="00AB16BB" w:rsidRDefault="00B070BF" w:rsidP="00B070BF">
      <w:pPr>
        <w:widowControl w:val="0"/>
        <w:rPr>
          <w:b/>
          <w:sz w:val="20"/>
        </w:rPr>
      </w:pPr>
    </w:p>
    <w:p w:rsidR="00B070BF" w:rsidRPr="00AB16BB" w:rsidRDefault="00B070BF" w:rsidP="00B070BF">
      <w:pPr>
        <w:widowControl w:val="0"/>
        <w:jc w:val="both"/>
        <w:rPr>
          <w:b/>
          <w:sz w:val="20"/>
        </w:rPr>
      </w:pPr>
      <w:r w:rsidRPr="00AB16BB">
        <w:rPr>
          <w:b/>
          <w:sz w:val="20"/>
        </w:rPr>
        <w:t>Calidad de la traducción</w:t>
      </w:r>
    </w:p>
    <w:p w:rsidR="00B070BF" w:rsidRPr="00AB16BB" w:rsidRDefault="00B070BF" w:rsidP="00B070BF">
      <w:pPr>
        <w:widowControl w:val="0"/>
        <w:jc w:val="both"/>
        <w:rPr>
          <w:b/>
          <w:sz w:val="20"/>
        </w:rPr>
      </w:pPr>
    </w:p>
    <w:p w:rsidR="00B070BF" w:rsidRPr="00AB16BB" w:rsidRDefault="00B070BF" w:rsidP="00B070BF">
      <w:pPr>
        <w:widowControl w:val="0"/>
        <w:jc w:val="both"/>
        <w:rPr>
          <w:sz w:val="20"/>
        </w:rPr>
      </w:pPr>
      <w:r w:rsidRPr="00AB16BB">
        <w:rPr>
          <w:sz w:val="20"/>
        </w:rPr>
        <w:t>Las traducciones de los resúmenes e informes realizadas bajo la responsabilidad de la Oficina Internacional son sometidas a un proceso de control de calidad basado en muestras. Los resultados se clasifican en dos categorías: traducciones que se consideran “aceptables” y traducciones “no aceptables”.  Este indicador de rendimiento permite evaluar la calidad de las traducciones a partir de las muestras.</w:t>
      </w:r>
    </w:p>
    <w:p w:rsidR="00B070BF" w:rsidRPr="00AB16BB" w:rsidRDefault="00B070BF" w:rsidP="00B070BF">
      <w:pPr>
        <w:widowControl w:val="0"/>
        <w:rPr>
          <w:sz w:val="20"/>
        </w:rPr>
      </w:pPr>
    </w:p>
    <w:p w:rsidR="00B070BF" w:rsidRPr="00DE4742" w:rsidRDefault="00B342E0" w:rsidP="00B070BF">
      <w:pPr>
        <w:widowControl w:val="0"/>
        <w:autoSpaceDE w:val="0"/>
        <w:autoSpaceDN w:val="0"/>
        <w:adjustRightInd w:val="0"/>
        <w:rPr>
          <w:szCs w:val="22"/>
        </w:rPr>
      </w:pPr>
      <w:r w:rsidRPr="00B342E0">
        <w:rPr>
          <w:noProof/>
          <w:lang w:val="en-US" w:eastAsia="en-US"/>
        </w:rPr>
        <w:lastRenderedPageBreak/>
        <w:drawing>
          <wp:inline distT="0" distB="0" distL="0" distR="0" wp14:anchorId="257B7F22" wp14:editId="0DC90576">
            <wp:extent cx="5762625" cy="3067050"/>
            <wp:effectExtent l="0" t="0" r="952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762625" cy="3067050"/>
                    </a:xfrm>
                    <a:prstGeom prst="rect">
                      <a:avLst/>
                    </a:prstGeom>
                    <a:noFill/>
                    <a:ln>
                      <a:noFill/>
                    </a:ln>
                  </pic:spPr>
                </pic:pic>
              </a:graphicData>
            </a:graphic>
          </wp:inline>
        </w:drawing>
      </w:r>
    </w:p>
    <w:p w:rsidR="00B070BF" w:rsidRDefault="00B070BF" w:rsidP="00B070BF">
      <w:pPr>
        <w:widowControl w:val="0"/>
        <w:jc w:val="both"/>
        <w:rPr>
          <w:b/>
          <w:sz w:val="20"/>
        </w:rPr>
      </w:pPr>
    </w:p>
    <w:p w:rsidR="00B070BF" w:rsidRPr="00AB16BB" w:rsidRDefault="00B070BF" w:rsidP="00B070BF">
      <w:pPr>
        <w:widowControl w:val="0"/>
        <w:jc w:val="both"/>
        <w:rPr>
          <w:b/>
          <w:sz w:val="20"/>
        </w:rPr>
      </w:pPr>
    </w:p>
    <w:p w:rsidR="00B070BF" w:rsidRPr="00AB16BB" w:rsidRDefault="00B070BF" w:rsidP="00B070BF">
      <w:pPr>
        <w:widowControl w:val="0"/>
        <w:jc w:val="both"/>
        <w:rPr>
          <w:b/>
          <w:sz w:val="20"/>
        </w:rPr>
      </w:pPr>
      <w:r w:rsidRPr="00AB16BB">
        <w:rPr>
          <w:b/>
          <w:sz w:val="20"/>
        </w:rPr>
        <w:t>Presentación de solicitudes ante la Oficina Internacional en calidad de Oficina receptora (RO/IB)</w:t>
      </w:r>
    </w:p>
    <w:p w:rsidR="00B070BF" w:rsidRPr="00AB16BB" w:rsidRDefault="00B070BF" w:rsidP="00B070BF">
      <w:pPr>
        <w:widowControl w:val="0"/>
        <w:jc w:val="both"/>
        <w:rPr>
          <w:b/>
          <w:sz w:val="20"/>
        </w:rPr>
      </w:pPr>
    </w:p>
    <w:p w:rsidR="00B070BF" w:rsidRPr="00AB16BB" w:rsidRDefault="00B070BF" w:rsidP="00B070BF">
      <w:pPr>
        <w:widowControl w:val="0"/>
        <w:jc w:val="both"/>
        <w:rPr>
          <w:sz w:val="20"/>
        </w:rPr>
      </w:pPr>
      <w:r w:rsidRPr="00AB16BB">
        <w:rPr>
          <w:sz w:val="20"/>
        </w:rPr>
        <w:t>En este cuadro se muestra la actividad de presentación de solicitudes PCT con respecto a las diez principales oficinas receptoras desde los últimos cinco años hasta 2012.  En principio, las solicitudes PCT se presentan en la oficina de patentes del país de residencia del solicitante o en una oficina de patentes regional con las competencias jurisdiccionales correspondientes al lugar de residencia del solicitante.  La Oficina Internacional tiene competencia para cumplir la función de Oficina receptora de los solicitantes de todos los Estados Contratantes del PCT. En el cuadro se muestra también la evolución en la presentación de solicitudes en la Oficina receptora/Oficina Internacional, el cómputo de su actividad en comparación con otras oficinas receptoras, así como su cuota de mercado.</w:t>
      </w:r>
    </w:p>
    <w:p w:rsidR="00B070BF" w:rsidRPr="00AB16BB" w:rsidRDefault="00B070BF" w:rsidP="00B070BF">
      <w:pPr>
        <w:widowControl w:val="0"/>
        <w:jc w:val="both"/>
        <w:rPr>
          <w:sz w:val="20"/>
        </w:rPr>
      </w:pPr>
    </w:p>
    <w:p w:rsidR="00B070BF" w:rsidRPr="00DA5E72" w:rsidRDefault="00B070BF" w:rsidP="00B070BF">
      <w:pPr>
        <w:widowControl w:val="0"/>
        <w:rPr>
          <w:sz w:val="20"/>
        </w:rPr>
      </w:pPr>
      <w:r>
        <w:rPr>
          <w:noProof/>
          <w:lang w:val="en-US" w:eastAsia="en-US"/>
        </w:rPr>
        <w:drawing>
          <wp:inline distT="0" distB="0" distL="0" distR="0" wp14:anchorId="73E325A1" wp14:editId="6C27804E">
            <wp:extent cx="5756910" cy="250444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756910" cy="2504440"/>
                    </a:xfrm>
                    <a:prstGeom prst="rect">
                      <a:avLst/>
                    </a:prstGeom>
                    <a:noFill/>
                    <a:ln>
                      <a:noFill/>
                    </a:ln>
                  </pic:spPr>
                </pic:pic>
              </a:graphicData>
            </a:graphic>
          </wp:inline>
        </w:drawing>
      </w:r>
    </w:p>
    <w:p w:rsidR="00B070BF" w:rsidRPr="00DA5E72" w:rsidRDefault="00B070BF" w:rsidP="00B070BF">
      <w:pPr>
        <w:widowControl w:val="0"/>
        <w:tabs>
          <w:tab w:val="left" w:pos="4395"/>
        </w:tabs>
        <w:rPr>
          <w:sz w:val="20"/>
        </w:rPr>
      </w:pPr>
    </w:p>
    <w:p w:rsidR="00B070BF" w:rsidRPr="00DA5E72" w:rsidRDefault="00B070BF" w:rsidP="00B070BF">
      <w:pPr>
        <w:widowControl w:val="0"/>
        <w:tabs>
          <w:tab w:val="left" w:pos="4395"/>
        </w:tabs>
        <w:jc w:val="right"/>
        <w:rPr>
          <w:sz w:val="20"/>
        </w:rPr>
      </w:pPr>
      <w:r w:rsidRPr="00DA5E72">
        <w:rPr>
          <w:sz w:val="20"/>
          <w:lang w:val="es-ES_tradnl"/>
        </w:rPr>
        <w:t>[Fin del Anexo]</w:t>
      </w:r>
    </w:p>
    <w:p w:rsidR="00B070BF" w:rsidRPr="00DA5E72" w:rsidRDefault="00B070BF" w:rsidP="00B070BF">
      <w:pPr>
        <w:widowControl w:val="0"/>
        <w:rPr>
          <w:sz w:val="20"/>
          <w:lang w:val="es-ES_tradnl"/>
        </w:rPr>
      </w:pPr>
    </w:p>
    <w:p w:rsidR="00B070BF" w:rsidRPr="00377F5B" w:rsidRDefault="00B070BF" w:rsidP="00B070BF">
      <w:pPr>
        <w:pStyle w:val="Heading2"/>
        <w:tabs>
          <w:tab w:val="left" w:pos="2835"/>
        </w:tabs>
        <w:rPr>
          <w:b/>
          <w:lang w:val="es-ES_tradnl"/>
        </w:rPr>
      </w:pPr>
      <w:r w:rsidRPr="00AB16BB">
        <w:rPr>
          <w:lang w:val="es-ES_tradnl"/>
        </w:rPr>
        <w:br w:type="page"/>
      </w:r>
      <w:bookmarkStart w:id="20" w:name="_Toc359846790"/>
      <w:bookmarkStart w:id="21" w:name="_Toc359949314"/>
      <w:r w:rsidRPr="00377F5B">
        <w:rPr>
          <w:b/>
          <w:lang w:val="es-ES_tradnl"/>
        </w:rPr>
        <w:lastRenderedPageBreak/>
        <w:t>PROGRAMA 6</w:t>
      </w:r>
      <w:r w:rsidRPr="00377F5B">
        <w:rPr>
          <w:b/>
          <w:lang w:val="es-ES_tradnl"/>
        </w:rPr>
        <w:tab/>
        <w:t>SISTEMAS DE MADRID Y DE LISBOA</w:t>
      </w:r>
      <w:bookmarkEnd w:id="20"/>
      <w:bookmarkEnd w:id="21"/>
    </w:p>
    <w:p w:rsidR="00B070BF" w:rsidRDefault="00B070BF" w:rsidP="00B070BF">
      <w:pPr>
        <w:widowControl w:val="0"/>
        <w:rPr>
          <w:sz w:val="18"/>
          <w:szCs w:val="18"/>
          <w:lang w:val="es-ES_tradnl"/>
        </w:rPr>
      </w:pPr>
    </w:p>
    <w:p w:rsidR="00B070BF" w:rsidRPr="00AB16BB" w:rsidRDefault="00B070BF" w:rsidP="00B070BF">
      <w:pPr>
        <w:widowControl w:val="0"/>
        <w:rPr>
          <w:sz w:val="18"/>
          <w:szCs w:val="18"/>
          <w:lang w:val="es-ES_tradnl"/>
        </w:rPr>
      </w:pPr>
    </w:p>
    <w:p w:rsidR="00B070BF" w:rsidRPr="00AB16BB" w:rsidRDefault="00B070BF" w:rsidP="00B070BF">
      <w:pPr>
        <w:widowControl w:val="0"/>
        <w:tabs>
          <w:tab w:val="left" w:pos="2268"/>
        </w:tabs>
        <w:rPr>
          <w:b/>
          <w:szCs w:val="22"/>
          <w:lang w:val="es-ES_tradnl"/>
        </w:rPr>
      </w:pPr>
      <w:r w:rsidRPr="00AB16BB">
        <w:rPr>
          <w:b/>
          <w:szCs w:val="22"/>
          <w:lang w:val="es-ES_tradnl"/>
        </w:rPr>
        <w:t>Directora del Programa</w:t>
      </w:r>
      <w:r w:rsidRPr="00AB16BB">
        <w:rPr>
          <w:b/>
          <w:szCs w:val="22"/>
          <w:lang w:val="es-ES_tradnl"/>
        </w:rPr>
        <w:tab/>
        <w:t>Sra. Binying Wang</w:t>
      </w:r>
    </w:p>
    <w:p w:rsidR="00B070BF" w:rsidRPr="00AB16BB" w:rsidRDefault="00B070BF" w:rsidP="00B070BF">
      <w:pPr>
        <w:widowControl w:val="0"/>
        <w:rPr>
          <w:sz w:val="20"/>
          <w:lang w:val="es-ES_tradnl"/>
        </w:rPr>
      </w:pPr>
    </w:p>
    <w:p w:rsidR="00B070BF" w:rsidRPr="00AB16BB" w:rsidRDefault="00B070BF" w:rsidP="00B070BF">
      <w:pPr>
        <w:widowControl w:val="0"/>
        <w:rPr>
          <w:bCs/>
          <w:sz w:val="20"/>
          <w:lang w:val="es-ES_tradnl"/>
        </w:rPr>
      </w:pPr>
    </w:p>
    <w:p w:rsidR="00B070BF" w:rsidRPr="00AB16BB" w:rsidRDefault="00B070BF" w:rsidP="00B070BF">
      <w:pPr>
        <w:widowControl w:val="0"/>
        <w:spacing w:line="260" w:lineRule="atLeast"/>
        <w:rPr>
          <w:bCs/>
          <w:szCs w:val="22"/>
          <w:lang w:val="es-ES_tradnl"/>
        </w:rPr>
      </w:pPr>
      <w:r w:rsidRPr="00AB16BB">
        <w:rPr>
          <w:bCs/>
          <w:sz w:val="20"/>
          <w:szCs w:val="22"/>
          <w:lang w:val="es-ES_tradnl"/>
        </w:rPr>
        <w:t>RESEÑA DE LOS AVANCES LOGRADOS EN 2012</w:t>
      </w:r>
    </w:p>
    <w:p w:rsidR="00B070BF" w:rsidRPr="00AB16BB" w:rsidRDefault="00B070BF" w:rsidP="00B070BF">
      <w:pPr>
        <w:widowControl w:val="0"/>
        <w:autoSpaceDE w:val="0"/>
        <w:autoSpaceDN w:val="0"/>
        <w:adjustRightInd w:val="0"/>
        <w:rPr>
          <w:szCs w:val="22"/>
          <w:lang w:val="es-ES_tradnl"/>
        </w:rPr>
      </w:pPr>
    </w:p>
    <w:p w:rsidR="00B070BF" w:rsidRPr="00AB16BB" w:rsidRDefault="00B070BF" w:rsidP="00B070BF">
      <w:pPr>
        <w:widowControl w:val="0"/>
        <w:jc w:val="both"/>
        <w:rPr>
          <w:b/>
          <w:bCs/>
          <w:sz w:val="20"/>
          <w:lang w:val="es-ES_tradnl"/>
        </w:rPr>
      </w:pPr>
      <w:r w:rsidRPr="00AB16BB">
        <w:rPr>
          <w:b/>
          <w:bCs/>
          <w:sz w:val="20"/>
          <w:lang w:val="es-ES_tradnl"/>
        </w:rPr>
        <w:t>Sistema de Madrid</w:t>
      </w:r>
    </w:p>
    <w:p w:rsidR="00B070BF" w:rsidRPr="00AB16BB" w:rsidRDefault="00B070BF" w:rsidP="00B070BF">
      <w:pPr>
        <w:widowControl w:val="0"/>
        <w:jc w:val="both"/>
        <w:rPr>
          <w:b/>
          <w:bCs/>
          <w:sz w:val="20"/>
          <w:lang w:val="es-ES_tradnl"/>
        </w:rPr>
      </w:pPr>
    </w:p>
    <w:p w:rsidR="00B070BF" w:rsidRPr="00AB16BB" w:rsidRDefault="00B070BF" w:rsidP="00B070BF">
      <w:pPr>
        <w:widowControl w:val="0"/>
        <w:numPr>
          <w:ilvl w:val="0"/>
          <w:numId w:val="7"/>
        </w:numPr>
        <w:jc w:val="both"/>
        <w:rPr>
          <w:sz w:val="20"/>
        </w:rPr>
      </w:pPr>
      <w:r w:rsidRPr="00AB16BB">
        <w:rPr>
          <w:sz w:val="20"/>
        </w:rPr>
        <w:t>En 2012, Colombia, Filipinas, México y Nueva Zelandia se adhirieron al Protocolo de Madrid, con lo que aumentó a 88 la cifra de miembros del Protocolo, y a 89 la cifra total de miembros del sistema de Madrid.  Estas nuevas adhesiones representaron un hito importante para la expansión geográfica del sistema de Madrid, en particular debido a la entrada de dos países de América Latina.  Se emprendieron intensas actividades promocionales destinadas a los miembros actuales y a los potenciales centrando la atención en mayor medida en la  promoción de un mejor uso del sistema de Madrid, en particular en los países en que se considera que existe una baja utilización.</w:t>
      </w:r>
    </w:p>
    <w:p w:rsidR="00B070BF" w:rsidRPr="00AB16BB" w:rsidRDefault="00B070BF" w:rsidP="00B070BF">
      <w:pPr>
        <w:widowControl w:val="0"/>
        <w:jc w:val="both"/>
        <w:rPr>
          <w:sz w:val="20"/>
        </w:rPr>
      </w:pPr>
    </w:p>
    <w:p w:rsidR="00B070BF" w:rsidRPr="00AB16BB" w:rsidRDefault="00B070BF" w:rsidP="00B070BF">
      <w:pPr>
        <w:widowControl w:val="0"/>
        <w:numPr>
          <w:ilvl w:val="0"/>
          <w:numId w:val="7"/>
        </w:numPr>
        <w:jc w:val="both"/>
        <w:rPr>
          <w:sz w:val="20"/>
          <w:lang w:eastAsia="ko-KR"/>
        </w:rPr>
      </w:pPr>
      <w:r w:rsidRPr="00AB16BB">
        <w:rPr>
          <w:sz w:val="20"/>
        </w:rPr>
        <w:t>La promoción del sistema de Madrid se intensificó en determinados territorios de la Unión de Madrid, en particular en Europa, así como en China, los Estados Unidos de América, la Federación de Rusia y Japón.  Esto supuso realizar reuniones con miles de usuarios y participar en diversas actividades locales relacionadas con las marcas.  Se recogieron comentarios de vital importancia acerca de la opinión de los usuarios sobre las operaciones y la puesta en práctica del sistema de Madrid a escala mundial y se continuó con las actividades de sensibilización de nuevos usuarios potenciales, en particular, las pequeñas empresas.  Unos 85 participantes procedentes de 36 países asistieron a varios seminarios internos sobre el sistema de Madrid en junio y noviembre.  Asimismo, con el fin de brindar a los sectores interesados las más recientes informaciones y acontecimientos acerca del sistema de Madrid, se publicó en 2012 un boletín de noticias trimestral titulado “Madrid – Novedades” que ha sido traducido al francés, al español, al chino, al árabe y al ruso a partir de su cuarta edición.</w:t>
      </w:r>
    </w:p>
    <w:p w:rsidR="00B070BF" w:rsidRPr="00AB16BB" w:rsidRDefault="00B070BF" w:rsidP="00B070BF">
      <w:pPr>
        <w:widowControl w:val="0"/>
        <w:jc w:val="both"/>
        <w:rPr>
          <w:sz w:val="20"/>
        </w:rPr>
      </w:pPr>
    </w:p>
    <w:p w:rsidR="00B070BF" w:rsidRPr="00AB16BB" w:rsidRDefault="00B070BF" w:rsidP="00B070BF">
      <w:pPr>
        <w:widowControl w:val="0"/>
        <w:numPr>
          <w:ilvl w:val="0"/>
          <w:numId w:val="7"/>
        </w:numPr>
        <w:jc w:val="both"/>
        <w:rPr>
          <w:sz w:val="20"/>
          <w:lang w:val="es-ES_tradnl"/>
        </w:rPr>
      </w:pPr>
      <w:r w:rsidRPr="00AB16BB">
        <w:rPr>
          <w:sz w:val="20"/>
          <w:lang w:val="es-ES_tradnl"/>
        </w:rPr>
        <w:t xml:space="preserve">La Oficina Internacional prestó asistencia a varios Estados en su labor preparatoria de cara a su futura adhesión al Protocolo de Madrid, en particular, a Brunei Darussalam, Colombia, Costa Rica, Filipinas, Gambia, la India, Jamaica, Malasia, México, Nigeria, Nueva Zelandia, Pakistán, Sri Lanka, Sudáfrica, Tailandia, República Dominicana, Trinidad y </w:t>
      </w:r>
      <w:proofErr w:type="spellStart"/>
      <w:r w:rsidRPr="00AB16BB">
        <w:rPr>
          <w:sz w:val="20"/>
          <w:lang w:val="es-ES_tradnl"/>
        </w:rPr>
        <w:t>Tabago</w:t>
      </w:r>
      <w:proofErr w:type="spellEnd"/>
      <w:r w:rsidRPr="00AB16BB">
        <w:rPr>
          <w:sz w:val="20"/>
          <w:lang w:val="es-ES_tradnl"/>
        </w:rPr>
        <w:t>, Túnez, Zimbabue, así como a una organización intergubernamental, la Organización Regional Africana de la Propiedad Intelectual (ARIPO).  La posible adhesión futura de estos Estados mejorará sobremanera el alcance geográfico del sistema de Madrid y hará que éste sea más atractivo para los usuarios, proporcionando una opción sencilla, eficiente y eficaz en función de los costos para que los titulares de marcas puedan obtener y conservar la protección de sus marcas en un ámbito geográfico ampliado.</w:t>
      </w:r>
    </w:p>
    <w:p w:rsidR="00B070BF" w:rsidRPr="00AB16BB" w:rsidRDefault="00B070BF" w:rsidP="00B070BF">
      <w:pPr>
        <w:widowControl w:val="0"/>
        <w:jc w:val="both"/>
        <w:rPr>
          <w:sz w:val="20"/>
          <w:lang w:val="es-ES_tradnl"/>
        </w:rPr>
      </w:pPr>
    </w:p>
    <w:p w:rsidR="00B070BF" w:rsidRPr="00AB16BB" w:rsidRDefault="00B070BF" w:rsidP="00B070BF">
      <w:pPr>
        <w:widowControl w:val="0"/>
        <w:numPr>
          <w:ilvl w:val="0"/>
          <w:numId w:val="7"/>
        </w:numPr>
        <w:jc w:val="both"/>
        <w:rPr>
          <w:sz w:val="20"/>
        </w:rPr>
      </w:pPr>
      <w:r w:rsidRPr="00AB16BB">
        <w:rPr>
          <w:sz w:val="20"/>
        </w:rPr>
        <w:t>Asimismo, 2012 ha sido otro año excepcional para la OMPI puesto que se ha batido el récord en cuanto a solicitudes internacionales recibidas.  La OMPI recibió 44.018 solicitudes internacionales, un aumento  de 4,1% en comparación con 2011, y sumó 44.018 registros internacionales.  El número total de solicitudes recibidas por la Oficina Internacional, tales como modificaciones, decisiones de las oficinas de las Partes Contratantes y renovaciones aumentaron en un 3% en 2012.</w:t>
      </w:r>
    </w:p>
    <w:p w:rsidR="00B070BF" w:rsidRPr="00AB16BB" w:rsidRDefault="00B070BF" w:rsidP="00B070BF">
      <w:pPr>
        <w:widowControl w:val="0"/>
        <w:jc w:val="both"/>
        <w:rPr>
          <w:sz w:val="20"/>
        </w:rPr>
      </w:pPr>
    </w:p>
    <w:p w:rsidR="00B070BF" w:rsidRPr="00AB16BB" w:rsidRDefault="00B070BF" w:rsidP="00B070BF">
      <w:pPr>
        <w:widowControl w:val="0"/>
        <w:numPr>
          <w:ilvl w:val="0"/>
          <w:numId w:val="7"/>
        </w:numPr>
        <w:jc w:val="both"/>
        <w:rPr>
          <w:sz w:val="20"/>
        </w:rPr>
      </w:pPr>
      <w:r w:rsidRPr="00AB16BB">
        <w:rPr>
          <w:sz w:val="20"/>
        </w:rPr>
        <w:t xml:space="preserve">Del total de las solicitudes recibidas, 7% provienen de países en desarrollo y de </w:t>
      </w:r>
      <w:r>
        <w:rPr>
          <w:sz w:val="20"/>
        </w:rPr>
        <w:t>PMA</w:t>
      </w:r>
      <w:r w:rsidRPr="00AB16BB">
        <w:rPr>
          <w:sz w:val="20"/>
        </w:rPr>
        <w:t>.</w:t>
      </w:r>
    </w:p>
    <w:p w:rsidR="00B070BF" w:rsidRPr="00AB16BB" w:rsidRDefault="00B070BF" w:rsidP="00B070BF">
      <w:pPr>
        <w:widowControl w:val="0"/>
        <w:jc w:val="both"/>
        <w:rPr>
          <w:sz w:val="20"/>
        </w:rPr>
      </w:pPr>
    </w:p>
    <w:p w:rsidR="00B070BF" w:rsidRPr="00AB16BB" w:rsidRDefault="00B070BF" w:rsidP="00B070BF">
      <w:pPr>
        <w:widowControl w:val="0"/>
        <w:numPr>
          <w:ilvl w:val="0"/>
          <w:numId w:val="7"/>
        </w:numPr>
        <w:autoSpaceDE w:val="0"/>
        <w:autoSpaceDN w:val="0"/>
        <w:adjustRightInd w:val="0"/>
        <w:jc w:val="both"/>
        <w:rPr>
          <w:sz w:val="20"/>
        </w:rPr>
      </w:pPr>
      <w:r w:rsidRPr="00AB16BB">
        <w:rPr>
          <w:sz w:val="20"/>
        </w:rPr>
        <w:t>El tiempo medio de tramitación de nuevas solicitudes fue de 48 días naturales en 2012.  El porcentaje medio de irregularidades en las solicitudes fue de 32,1%, de las cuales cerca de 23% estaban relacionadas con problemas de clasificación.  En este contexto, es necesario destacar que las solicitudes y en particular las listas de productos y servicios se hacen cada vez más largas.  El número de palabras clasificadas y traducidas  pasaron de 5,5 millones en 2010, a 8 millones en 2012.</w:t>
      </w:r>
    </w:p>
    <w:p w:rsidR="00B070BF" w:rsidRPr="00AB16BB" w:rsidRDefault="00B070BF" w:rsidP="00B070BF">
      <w:pPr>
        <w:widowControl w:val="0"/>
        <w:jc w:val="both"/>
        <w:rPr>
          <w:sz w:val="20"/>
        </w:rPr>
      </w:pPr>
    </w:p>
    <w:p w:rsidR="00B070BF" w:rsidRPr="00AB16BB" w:rsidRDefault="00B070BF" w:rsidP="00B070BF">
      <w:pPr>
        <w:widowControl w:val="0"/>
        <w:numPr>
          <w:ilvl w:val="0"/>
          <w:numId w:val="7"/>
        </w:numPr>
        <w:jc w:val="both"/>
        <w:rPr>
          <w:sz w:val="20"/>
        </w:rPr>
      </w:pPr>
      <w:r w:rsidRPr="00AB16BB">
        <w:rPr>
          <w:sz w:val="20"/>
        </w:rPr>
        <w:t>Las decisiones de las oficinas nacionales y regionales (incluidas las denegaciones y las declaraciones de concesión de la protección) aumentaron en un 25,7% (con una cifra total de 437.082), de las que casi el 40% estaban relacionadas con declaraciones de concesión de la protección. Aproximadamente el 76% de estas decisiones se recibieron en formato electrónico.</w:t>
      </w:r>
    </w:p>
    <w:p w:rsidR="00B070BF" w:rsidRPr="00AB16BB" w:rsidRDefault="00B070BF" w:rsidP="00B070BF">
      <w:pPr>
        <w:widowControl w:val="0"/>
        <w:jc w:val="both"/>
        <w:rPr>
          <w:sz w:val="20"/>
        </w:rPr>
      </w:pPr>
    </w:p>
    <w:p w:rsidR="00B070BF" w:rsidRPr="00AB16BB" w:rsidRDefault="00B070BF" w:rsidP="00B070BF">
      <w:pPr>
        <w:widowControl w:val="0"/>
        <w:numPr>
          <w:ilvl w:val="0"/>
          <w:numId w:val="7"/>
        </w:numPr>
        <w:jc w:val="both"/>
        <w:rPr>
          <w:sz w:val="20"/>
          <w:lang w:val="es-ES_tradnl" w:eastAsia="ja-JP"/>
        </w:rPr>
      </w:pPr>
      <w:r w:rsidRPr="00AB16BB">
        <w:rPr>
          <w:sz w:val="20"/>
          <w:lang w:val="es-ES_tradnl" w:eastAsia="ja-JP"/>
        </w:rPr>
        <w:t xml:space="preserve">La Oficina Internacional comenzó a utilizar una nueva base de datos de traducción en julio de 2012, lo que dio lugar a la tramitación automática de un mayor número de nuevas solicitudes de </w:t>
      </w:r>
      <w:r w:rsidRPr="00AB16BB">
        <w:rPr>
          <w:sz w:val="20"/>
          <w:lang w:val="es-ES_tradnl" w:eastAsia="ja-JP"/>
        </w:rPr>
        <w:lastRenderedPageBreak/>
        <w:t>indicaciones estándar de productos y servicios.  El aumento de la eficacia en concepto de traducción se aproximó al 35% a finales de 2012.</w:t>
      </w:r>
    </w:p>
    <w:p w:rsidR="00B070BF" w:rsidRPr="00AB16BB" w:rsidRDefault="00B070BF" w:rsidP="00B070BF">
      <w:pPr>
        <w:widowControl w:val="0"/>
        <w:jc w:val="both"/>
        <w:rPr>
          <w:sz w:val="20"/>
          <w:lang w:val="es-ES_tradnl" w:eastAsia="ja-JP"/>
        </w:rPr>
      </w:pPr>
    </w:p>
    <w:p w:rsidR="00B070BF" w:rsidRPr="00AB16BB" w:rsidRDefault="00B070BF" w:rsidP="00B070BF">
      <w:pPr>
        <w:widowControl w:val="0"/>
        <w:numPr>
          <w:ilvl w:val="0"/>
          <w:numId w:val="7"/>
        </w:numPr>
        <w:jc w:val="both"/>
        <w:rPr>
          <w:sz w:val="20"/>
        </w:rPr>
      </w:pPr>
      <w:r w:rsidRPr="00AB16BB">
        <w:rPr>
          <w:sz w:val="20"/>
        </w:rPr>
        <w:t>La Fase I del programa de modernización de las tecnologías de la información finalizó y el proyecto de integración del proceso de registro internacional está en marcha.  En 2012, se añadieron al programa informático del proyecto de integración del proceso de registro internacional algunos requisitos complejos solicitados por dos oficinas participantes, entre los cuales figura una función de inicio de sesión único en Internet mediante la cual la OMPI delega la autenticación del usuario a la oficina nacional.  Asimismo, la fusión de las tasas de tramitación de las oficinas nacionales con las tasas internacionales en una aportación única supuso realizar un examen profundo del procedimiento de pago.</w:t>
      </w:r>
    </w:p>
    <w:p w:rsidR="00B070BF" w:rsidRPr="00AB16BB" w:rsidRDefault="00B070BF" w:rsidP="00B070BF">
      <w:pPr>
        <w:widowControl w:val="0"/>
        <w:jc w:val="both"/>
        <w:rPr>
          <w:sz w:val="20"/>
        </w:rPr>
      </w:pPr>
    </w:p>
    <w:p w:rsidR="00B070BF" w:rsidRPr="00AB16BB" w:rsidRDefault="00B070BF" w:rsidP="00B070BF">
      <w:pPr>
        <w:widowControl w:val="0"/>
        <w:numPr>
          <w:ilvl w:val="0"/>
          <w:numId w:val="7"/>
        </w:numPr>
        <w:jc w:val="both"/>
        <w:rPr>
          <w:sz w:val="20"/>
        </w:rPr>
      </w:pPr>
      <w:r w:rsidRPr="00AB16BB">
        <w:rPr>
          <w:sz w:val="20"/>
        </w:rPr>
        <w:t>La OMPI también comenzó a desarrollar la infraestructura de producción para proyecto de integración del proceso de registro internacional que será alojado por el CICE.  En diciembre de 2012 se publicó una solicitud de ofertas de servicio de apoyo y desarrollo para el proyecto de integración del proceso de registro int</w:t>
      </w:r>
      <w:r>
        <w:rPr>
          <w:sz w:val="20"/>
        </w:rPr>
        <w:t>ernacional para el período 2013/</w:t>
      </w:r>
      <w:r w:rsidRPr="00AB16BB">
        <w:rPr>
          <w:sz w:val="20"/>
        </w:rPr>
        <w:t>15.</w:t>
      </w:r>
    </w:p>
    <w:p w:rsidR="00B070BF" w:rsidRPr="00AB16BB" w:rsidRDefault="00B070BF" w:rsidP="00B070BF">
      <w:pPr>
        <w:widowControl w:val="0"/>
        <w:tabs>
          <w:tab w:val="left" w:pos="567"/>
        </w:tabs>
        <w:jc w:val="both"/>
        <w:rPr>
          <w:sz w:val="20"/>
        </w:rPr>
      </w:pPr>
    </w:p>
    <w:p w:rsidR="00B070BF" w:rsidRPr="00AB16BB" w:rsidRDefault="00B070BF" w:rsidP="00B070BF">
      <w:pPr>
        <w:widowControl w:val="0"/>
        <w:numPr>
          <w:ilvl w:val="0"/>
          <w:numId w:val="7"/>
        </w:numPr>
        <w:jc w:val="both"/>
        <w:rPr>
          <w:sz w:val="20"/>
        </w:rPr>
      </w:pPr>
      <w:r w:rsidRPr="00AB16BB">
        <w:rPr>
          <w:sz w:val="20"/>
        </w:rPr>
        <w:t>La Fase II del programa de modernización de las tecnologías de la información incluye la migración de todas las funciones institucionales del sistema de Madrid y del sistema de La Haya desde su tecnología tradicional a una arquitectura técnica apta para Internet y habilitada para las transacciones electrónicas.  El interlocutor externo seleccionado para realizar dicha labor finalizó las fases correspondientes a las especificaciones funcionales y al diseño de la migración técnica en diciembre de 2012.  Como parte de la etapa 3 del proyecto, el interlocutor externo realizó con éxito la conversión de cada uno de los archivos del sistema del programa Natural al programa Java.  Está previsto que la migración continúe en 2013 y 2014.  Una posterior Fase III del Programa de modernización de las T.I. se encargará de mejorar la interfaz del usuario final, de optimizar los flujos de trabajo y rendimientos pertinentes y de incorporar los procedimientos internos.</w:t>
      </w:r>
    </w:p>
    <w:p w:rsidR="00B070BF" w:rsidRPr="00AB16BB" w:rsidRDefault="00B070BF" w:rsidP="00B070BF">
      <w:pPr>
        <w:widowControl w:val="0"/>
        <w:jc w:val="both"/>
        <w:rPr>
          <w:rFonts w:eastAsia="MS Mincho"/>
          <w:sz w:val="20"/>
        </w:rPr>
      </w:pPr>
    </w:p>
    <w:p w:rsidR="00B070BF" w:rsidRPr="00AB16BB" w:rsidRDefault="00B070BF" w:rsidP="00B070BF">
      <w:pPr>
        <w:widowControl w:val="0"/>
        <w:numPr>
          <w:ilvl w:val="0"/>
          <w:numId w:val="7"/>
        </w:numPr>
        <w:jc w:val="both"/>
        <w:rPr>
          <w:sz w:val="20"/>
          <w:lang w:eastAsia="ja-JP"/>
        </w:rPr>
      </w:pPr>
      <w:r w:rsidRPr="00AB16BB">
        <w:rPr>
          <w:sz w:val="20"/>
          <w:lang w:eastAsia="ja-JP"/>
        </w:rPr>
        <w:t xml:space="preserve">En mayo de 2012 se pusieron a disposición de los usuarios del sistema de Madrid nuevas herramientas de Internet y vídeos didácticos.  El </w:t>
      </w:r>
      <w:r w:rsidRPr="00CF7043">
        <w:rPr>
          <w:rFonts w:eastAsia="MS Mincho"/>
          <w:i/>
          <w:iCs/>
          <w:sz w:val="20"/>
          <w:lang w:eastAsia="ja-JP"/>
        </w:rPr>
        <w:t xml:space="preserve">Madrid </w:t>
      </w:r>
      <w:proofErr w:type="spellStart"/>
      <w:r w:rsidRPr="00CF7043">
        <w:rPr>
          <w:rFonts w:eastAsia="MS Mincho"/>
          <w:i/>
          <w:iCs/>
          <w:sz w:val="20"/>
          <w:lang w:eastAsia="ja-JP"/>
        </w:rPr>
        <w:t>Electronic</w:t>
      </w:r>
      <w:proofErr w:type="spellEnd"/>
      <w:r w:rsidRPr="00CF7043">
        <w:rPr>
          <w:rFonts w:eastAsia="MS Mincho"/>
          <w:i/>
          <w:iCs/>
          <w:sz w:val="20"/>
          <w:lang w:eastAsia="ja-JP"/>
        </w:rPr>
        <w:t xml:space="preserve"> </w:t>
      </w:r>
      <w:proofErr w:type="spellStart"/>
      <w:r w:rsidRPr="00CF7043">
        <w:rPr>
          <w:rFonts w:eastAsia="MS Mincho"/>
          <w:i/>
          <w:iCs/>
          <w:sz w:val="20"/>
          <w:lang w:eastAsia="ja-JP"/>
        </w:rPr>
        <w:t>Alert</w:t>
      </w:r>
      <w:proofErr w:type="spellEnd"/>
      <w:r w:rsidRPr="00CF7043">
        <w:rPr>
          <w:rFonts w:eastAsia="MS Mincho"/>
          <w:sz w:val="20"/>
          <w:lang w:eastAsia="ja-JP"/>
        </w:rPr>
        <w:t xml:space="preserve"> </w:t>
      </w:r>
      <w:r w:rsidRPr="00AB16BB">
        <w:rPr>
          <w:sz w:val="20"/>
          <w:lang w:eastAsia="ja-JP"/>
        </w:rPr>
        <w:t xml:space="preserve">(MEA) es un servicio gratuito de vigilancia ideado para proporcionar información a los usuarios interesados en supervisar la situación en que se hallan determinados registros internacionales de marca.  El </w:t>
      </w:r>
      <w:r w:rsidRPr="00CF7043">
        <w:rPr>
          <w:rFonts w:eastAsia="MS Mincho"/>
          <w:i/>
          <w:iCs/>
          <w:sz w:val="20"/>
          <w:lang w:eastAsia="ja-JP"/>
        </w:rPr>
        <w:t>Madrid Real-time Status</w:t>
      </w:r>
      <w:r w:rsidRPr="00AB16BB">
        <w:rPr>
          <w:sz w:val="20"/>
          <w:lang w:eastAsia="ja-JP"/>
        </w:rPr>
        <w:t xml:space="preserve"> (MRS) es una herramienta independiente que da cuenta de la situación en tiempo real de los documentos tramitados por la </w:t>
      </w:r>
      <w:r w:rsidRPr="00AB16BB">
        <w:rPr>
          <w:rFonts w:eastAsia="MS Mincho"/>
          <w:iCs/>
          <w:sz w:val="20"/>
          <w:lang w:eastAsia="ja-JP"/>
        </w:rPr>
        <w:t xml:space="preserve">Oficina Internacional.  El </w:t>
      </w:r>
      <w:r w:rsidRPr="00CF7043">
        <w:rPr>
          <w:rFonts w:eastAsia="MS Mincho"/>
          <w:i/>
          <w:iCs/>
          <w:sz w:val="20"/>
          <w:lang w:eastAsia="ja-JP"/>
        </w:rPr>
        <w:t>Madrid Portfolio Manager</w:t>
      </w:r>
      <w:r w:rsidRPr="00CF7043">
        <w:rPr>
          <w:rFonts w:eastAsia="MS Mincho"/>
          <w:sz w:val="20"/>
          <w:lang w:eastAsia="ja-JP"/>
        </w:rPr>
        <w:t xml:space="preserve"> </w:t>
      </w:r>
      <w:r w:rsidRPr="00AB16BB">
        <w:rPr>
          <w:rFonts w:eastAsia="MS Mincho"/>
          <w:iCs/>
          <w:sz w:val="20"/>
          <w:lang w:eastAsia="ja-JP"/>
        </w:rPr>
        <w:t>(MPM)</w:t>
      </w:r>
      <w:r w:rsidRPr="00AB16BB">
        <w:rPr>
          <w:rFonts w:eastAsia="MS Mincho"/>
          <w:i/>
          <w:iCs/>
          <w:sz w:val="20"/>
          <w:lang w:eastAsia="ja-JP"/>
        </w:rPr>
        <w:t xml:space="preserve"> </w:t>
      </w:r>
      <w:r w:rsidRPr="00AB16BB">
        <w:rPr>
          <w:sz w:val="20"/>
          <w:lang w:eastAsia="ja-JP"/>
        </w:rPr>
        <w:t>es un servicio concebido para los titulares de registros internacionales y sus mandatarios que deseen acceder a sus carteras de marcas internacionales con el fin de presentar nuevas solicitudes de inscripción en el Registro Internacional de Marcas de la OMPI.</w:t>
      </w:r>
      <w:r w:rsidRPr="00AB16BB">
        <w:rPr>
          <w:sz w:val="20"/>
          <w:lang w:eastAsia="ja-JP"/>
        </w:rPr>
        <w:cr/>
      </w:r>
    </w:p>
    <w:p w:rsidR="00B070BF" w:rsidRPr="00AB16BB" w:rsidRDefault="00B070BF" w:rsidP="00B070BF">
      <w:pPr>
        <w:widowControl w:val="0"/>
        <w:numPr>
          <w:ilvl w:val="0"/>
          <w:numId w:val="7"/>
        </w:numPr>
        <w:jc w:val="both"/>
        <w:rPr>
          <w:rFonts w:eastAsia="MS Mincho"/>
          <w:sz w:val="20"/>
        </w:rPr>
      </w:pPr>
      <w:r w:rsidRPr="00AB16BB">
        <w:rPr>
          <w:rFonts w:eastAsia="MS Mincho"/>
          <w:sz w:val="20"/>
        </w:rPr>
        <w:t>La Oficina Internacional continuó llevando adelante el proceso que inició durante el bienio anterior para simplificar los procedimientos internos y conferir al sistema de Madrid mayor eficacia, flexibilidad y facilidad de uso.  Este proceso se vio respaldado por los debates en el seno del Grupo de Trabajo sobre el Desarrollo Jurídico del Sistema de Madrid en julio de 2012, acerca de la introducción de la división y la aclaración del problema de traducción de tipos específicos de documentos y a una posible enmienda al Artículo 9</w:t>
      </w:r>
      <w:r w:rsidRPr="00AB16BB">
        <w:rPr>
          <w:rFonts w:eastAsia="MS Mincho"/>
          <w:i/>
          <w:sz w:val="20"/>
        </w:rPr>
        <w:t>sexies</w:t>
      </w:r>
      <w:r w:rsidRPr="00AB16BB">
        <w:rPr>
          <w:rFonts w:eastAsia="MS Mincho"/>
          <w:sz w:val="20"/>
        </w:rPr>
        <w:t xml:space="preserve"> del Protocolo de Madrid.</w:t>
      </w:r>
    </w:p>
    <w:p w:rsidR="00B070BF" w:rsidRPr="00AB16BB" w:rsidRDefault="00B070BF" w:rsidP="00B070BF">
      <w:pPr>
        <w:widowControl w:val="0"/>
        <w:rPr>
          <w:sz w:val="20"/>
        </w:rPr>
      </w:pPr>
    </w:p>
    <w:p w:rsidR="00B070BF" w:rsidRPr="00AB16BB" w:rsidRDefault="00B070BF" w:rsidP="00B070BF">
      <w:pPr>
        <w:widowControl w:val="0"/>
        <w:jc w:val="both"/>
        <w:rPr>
          <w:b/>
          <w:bCs/>
          <w:sz w:val="20"/>
        </w:rPr>
      </w:pPr>
      <w:r w:rsidRPr="00AB16BB">
        <w:rPr>
          <w:b/>
          <w:bCs/>
          <w:sz w:val="20"/>
          <w:lang w:val="es-ES_tradnl"/>
        </w:rPr>
        <w:t>Sistema de Lisboa</w:t>
      </w:r>
    </w:p>
    <w:p w:rsidR="00B070BF" w:rsidRPr="00AB16BB" w:rsidRDefault="00B070BF" w:rsidP="00B070BF">
      <w:pPr>
        <w:widowControl w:val="0"/>
        <w:rPr>
          <w:sz w:val="20"/>
        </w:rPr>
      </w:pPr>
    </w:p>
    <w:p w:rsidR="00B070BF" w:rsidRPr="00AB16BB" w:rsidRDefault="00B070BF" w:rsidP="00B070BF">
      <w:pPr>
        <w:widowControl w:val="0"/>
        <w:numPr>
          <w:ilvl w:val="0"/>
          <w:numId w:val="7"/>
        </w:numPr>
        <w:jc w:val="both"/>
        <w:rPr>
          <w:rFonts w:eastAsia="MS Mincho"/>
          <w:sz w:val="20"/>
        </w:rPr>
      </w:pPr>
      <w:r w:rsidRPr="00AB16BB">
        <w:rPr>
          <w:sz w:val="20"/>
        </w:rPr>
        <w:t xml:space="preserve">La Asamblea de la Unión de Lisboa encargó al Grupo de Trabajo sobre el Desarrollo del Sistema de Lisboa, en 2009, la realización de una revisión completa del sistema de Lisboa para hacerlo más atractivo para los usuarios y potenciales miembros nuevos, manteniendo sus principios y objetivos.  En virtud de este mandato, el Grupo de Trabajo, que está abierto a todos los miembros y observadores de la OMPI, debía explorar los cambios que habría que hacer en el sistema de Lisboa para que sea posible aumentar las adhesiones.  Durante la sesión del Grupo de Trabajo celebrada en diciembre de 2012 se realizaron avances considerables, lo que dio como resultado que la Oficina Internacional tuvo que preparar un proyecto de Arreglo de Lisboa revisado y un proyecto de Reglamento en virtud de dicho proyecto de Arreglo revisado para la </w:t>
      </w:r>
      <w:r>
        <w:rPr>
          <w:sz w:val="20"/>
        </w:rPr>
        <w:t>siguiente</w:t>
      </w:r>
      <w:r w:rsidRPr="00AB16BB">
        <w:rPr>
          <w:sz w:val="20"/>
        </w:rPr>
        <w:t xml:space="preserve"> sesión del Grupo de Trabajo en abril/mayo de 2013.  Habida cuenta de los avances logrados, la conclusión del examen del sistema de Lisboa que consiste en modernizar su marco jurídico, confirmar su aplicabilidad en cumplimiento de las indicaciones geográficas y permitir la adhesión de las organizaciones intergubernamentales podría preverse en el curso del próximo bienio.  El Grupo de Trabajo también tiene previsto, en su debido momento, determinar en cuáles situaciones y cuál mecanismo de resolución de controversias en el sistema de Lisboa podría ser el más adecuado.</w:t>
      </w:r>
    </w:p>
    <w:p w:rsidR="00B070BF" w:rsidRPr="00AB16BB" w:rsidRDefault="00B070BF" w:rsidP="00B070BF">
      <w:pPr>
        <w:widowControl w:val="0"/>
        <w:jc w:val="both"/>
        <w:rPr>
          <w:rFonts w:eastAsia="MS Mincho"/>
          <w:sz w:val="20"/>
        </w:rPr>
      </w:pPr>
    </w:p>
    <w:p w:rsidR="00B070BF" w:rsidRPr="00AB16BB" w:rsidRDefault="00B070BF" w:rsidP="00B070BF">
      <w:pPr>
        <w:widowControl w:val="0"/>
        <w:numPr>
          <w:ilvl w:val="0"/>
          <w:numId w:val="7"/>
        </w:numPr>
        <w:jc w:val="both"/>
        <w:rPr>
          <w:rFonts w:eastAsia="MS Mincho"/>
          <w:sz w:val="20"/>
        </w:rPr>
      </w:pPr>
      <w:r w:rsidRPr="00AB16BB">
        <w:rPr>
          <w:rFonts w:eastAsia="MS Mincho"/>
          <w:sz w:val="20"/>
        </w:rPr>
        <w:lastRenderedPageBreak/>
        <w:t>La Oficina Internacional actualiza regularmente en el sitio Web de la OMPI las informaciones acerca del sistema de Lisboa y de la revisión prevista del sistema.  Además, ha velado porque en las actividades en las que ha participado y que se refieren a la protección de las denominaciones de origen e indicaciones geográficas también se aborde el sistema de Lisboa y su proceso de revisión en curso.</w:t>
      </w:r>
    </w:p>
    <w:p w:rsidR="00B070BF" w:rsidRPr="00AB16BB" w:rsidRDefault="00B070BF" w:rsidP="00B070BF">
      <w:pPr>
        <w:widowControl w:val="0"/>
        <w:jc w:val="both"/>
        <w:rPr>
          <w:rFonts w:eastAsia="MS Mincho"/>
          <w:sz w:val="20"/>
        </w:rPr>
      </w:pPr>
    </w:p>
    <w:p w:rsidR="00B070BF" w:rsidRPr="00AB16BB" w:rsidRDefault="00B070BF" w:rsidP="00B070BF">
      <w:pPr>
        <w:widowControl w:val="0"/>
        <w:numPr>
          <w:ilvl w:val="0"/>
          <w:numId w:val="7"/>
        </w:numPr>
        <w:jc w:val="both"/>
        <w:rPr>
          <w:rFonts w:eastAsia="MS Mincho"/>
          <w:sz w:val="20"/>
        </w:rPr>
      </w:pPr>
      <w:r w:rsidRPr="00AB16BB">
        <w:rPr>
          <w:rFonts w:eastAsia="MS Mincho"/>
          <w:sz w:val="20"/>
        </w:rPr>
        <w:t xml:space="preserve">Las modificaciones en el Reglamento del Arreglo de Lisboa que fueron adoptadas por la Asamblea de la Unión de Lisboa entraron en vigor el 1 de enero de 2012.  Estas modificaciones tienen como objetivo mejorar la transparencia del contenido del Registro Internacional y por consiguiente la de la base de datos </w:t>
      </w:r>
      <w:proofErr w:type="spellStart"/>
      <w:r w:rsidRPr="00AB16BB">
        <w:rPr>
          <w:rFonts w:eastAsia="MS Mincho"/>
          <w:i/>
          <w:sz w:val="20"/>
        </w:rPr>
        <w:t>Lisbon</w:t>
      </w:r>
      <w:proofErr w:type="spellEnd"/>
      <w:r w:rsidRPr="00AB16BB">
        <w:rPr>
          <w:rFonts w:eastAsia="MS Mincho"/>
          <w:i/>
          <w:sz w:val="20"/>
        </w:rPr>
        <w:t xml:space="preserve"> Express</w:t>
      </w:r>
      <w:r w:rsidRPr="00AB16BB">
        <w:rPr>
          <w:rFonts w:eastAsia="MS Mincho"/>
          <w:sz w:val="20"/>
        </w:rPr>
        <w:t>, contenida en el sitio Web de la OMPI.  La modificación de la Regla 5.3) del Reglamento ofrece al país de origen la opción de presentar información sobre los elementos que permitieron que se confiera protección a la denominación de origen en cuestión.  La modificación de la Regla 16.1) dispone que la autoridad competente de un Estado parte en el Arreglo de Lisboa que emita una notificación de invalidación de los efectos del registro internacional en su territorio deberá indicar en la notificación los motivos en los que se fundamenta dicha decisión.  Los datos proporcionados en virtud de estas nuevas disposiciones serán inscritos en el Registro Internacional en los tres idiomas de trabajo del sistema de Lisboa.</w:t>
      </w:r>
    </w:p>
    <w:p w:rsidR="00B070BF" w:rsidRPr="00AB16BB" w:rsidRDefault="00B070BF" w:rsidP="00B070BF">
      <w:pPr>
        <w:widowControl w:val="0"/>
        <w:jc w:val="both"/>
        <w:rPr>
          <w:rFonts w:eastAsia="MS Mincho"/>
          <w:sz w:val="20"/>
        </w:rPr>
      </w:pPr>
    </w:p>
    <w:p w:rsidR="00B070BF" w:rsidRPr="00AB16BB" w:rsidRDefault="00B070BF" w:rsidP="00B070BF">
      <w:pPr>
        <w:widowControl w:val="0"/>
        <w:numPr>
          <w:ilvl w:val="0"/>
          <w:numId w:val="7"/>
        </w:numPr>
        <w:jc w:val="both"/>
        <w:rPr>
          <w:rFonts w:eastAsia="MS Mincho"/>
          <w:sz w:val="20"/>
        </w:rPr>
      </w:pPr>
      <w:r w:rsidRPr="00AB16BB">
        <w:rPr>
          <w:rFonts w:eastAsia="MS Mincho"/>
          <w:sz w:val="20"/>
        </w:rPr>
        <w:t>Desde enero de 2012, la publicación oficial del sistema de Lisboa, el Boletín de la OMPI titulado “Las denominaciones de origen”, sólo está disponible en formato electrónico en el sitio Web de la OMPI.  Para finales de 2012, el número de autoridades competentes que habían dado su aprobación al uso de medios electrónicos para las comunicaciones en virtud de los procedimientos del sistema de Lisboa había aumentado a 21.  Asimismo, se han realizado avances considerables encaminados a la creación de un Registro electrónico internacional con el desarrollo de un programa de T.I. para cumplir con dicho propósito y para convertir los contenidos en papel del Registro Internacional en formato electrónico.  Las páginas del sitio Web de la OMPI referidas al sistema de Lisboa han sido adaptadas para mejorar aún más la facilidad de las consultas.</w:t>
      </w:r>
    </w:p>
    <w:p w:rsidR="00B070BF" w:rsidRPr="00AB16BB" w:rsidRDefault="00B070BF" w:rsidP="00B070BF">
      <w:pPr>
        <w:widowControl w:val="0"/>
        <w:jc w:val="both"/>
        <w:rPr>
          <w:bCs/>
          <w:szCs w:val="22"/>
          <w:lang w:val="pt-BR"/>
        </w:rPr>
      </w:pPr>
    </w:p>
    <w:p w:rsidR="00B070BF" w:rsidRPr="00AB16BB" w:rsidRDefault="00B070BF" w:rsidP="00B070BF">
      <w:pPr>
        <w:widowControl w:val="0"/>
        <w:jc w:val="both"/>
        <w:rPr>
          <w:bCs/>
          <w:szCs w:val="22"/>
          <w:lang w:val="pt-BR"/>
        </w:rPr>
      </w:pPr>
    </w:p>
    <w:p w:rsidR="00B070BF" w:rsidRPr="00AB16BB" w:rsidRDefault="00B070BF" w:rsidP="00B070BF">
      <w:pPr>
        <w:widowControl w:val="0"/>
        <w:jc w:val="both"/>
        <w:rPr>
          <w:bCs/>
          <w:szCs w:val="22"/>
          <w:lang w:val="es-ES_tradnl"/>
        </w:rPr>
      </w:pPr>
      <w:r w:rsidRPr="00AB16BB">
        <w:rPr>
          <w:bCs/>
          <w:sz w:val="20"/>
          <w:szCs w:val="22"/>
          <w:lang w:val="es-ES_tradnl"/>
        </w:rPr>
        <w:t xml:space="preserve">APLICACIÓN DE LA AGENDA PARA EL DESARROLLO </w:t>
      </w:r>
    </w:p>
    <w:p w:rsidR="00B070BF" w:rsidRPr="00AB16BB" w:rsidRDefault="00B070BF" w:rsidP="00B070BF">
      <w:pPr>
        <w:widowControl w:val="0"/>
        <w:rPr>
          <w:rFonts w:eastAsia="MS Mincho"/>
          <w:szCs w:val="22"/>
          <w:lang w:val="es-ES_tradnl" w:eastAsia="ja-JP" w:bidi="th-TH"/>
        </w:rPr>
      </w:pPr>
    </w:p>
    <w:p w:rsidR="00B070BF" w:rsidRPr="00AB16BB" w:rsidRDefault="00B070BF" w:rsidP="00B070BF">
      <w:pPr>
        <w:widowControl w:val="0"/>
        <w:numPr>
          <w:ilvl w:val="0"/>
          <w:numId w:val="7"/>
        </w:numPr>
        <w:jc w:val="both"/>
        <w:rPr>
          <w:rFonts w:eastAsia="MS Mincho"/>
          <w:sz w:val="20"/>
          <w:lang w:eastAsia="ja-JP"/>
        </w:rPr>
      </w:pPr>
      <w:r w:rsidRPr="00AB16BB">
        <w:rPr>
          <w:rFonts w:eastAsia="MS Mincho"/>
          <w:sz w:val="20"/>
          <w:lang w:eastAsia="ja-JP"/>
        </w:rPr>
        <w:t>El diseño, la planificación y la ejecución de las actividades del programa 6 se basaron y se guiaron por las recomendaciones pertinentes de la Agenda para el Desarrollo, en particular por las recomendaciones 1 y 6.  Además, la asistencia legislativa ofrecida a los Estados miembros estuvo orientada al desarrollo, fue ponderada y adaptada a las solicitudes específicas de cada Estado miembro, de conformidad con los principios de la Agenda para el Desarrollo (recomendación 13); y tuvo en cuenta las flexibilidades aplicables a los países según sus distintos niveles de desarrollo (recomendaciones 14 y</w:t>
      </w:r>
      <w:r>
        <w:rPr>
          <w:rFonts w:eastAsia="MS Mincho"/>
          <w:sz w:val="20"/>
          <w:lang w:eastAsia="ja-JP"/>
        </w:rPr>
        <w:t> </w:t>
      </w:r>
      <w:r w:rsidRPr="00AB16BB">
        <w:rPr>
          <w:rFonts w:eastAsia="MS Mincho"/>
          <w:sz w:val="20"/>
          <w:lang w:eastAsia="ja-JP"/>
        </w:rPr>
        <w:t xml:space="preserve">17). </w:t>
      </w:r>
    </w:p>
    <w:p w:rsidR="00B070BF" w:rsidRPr="00AB16BB" w:rsidRDefault="00B070BF" w:rsidP="00B070BF">
      <w:pPr>
        <w:widowControl w:val="0"/>
        <w:jc w:val="both"/>
        <w:rPr>
          <w:rFonts w:eastAsia="MS Mincho"/>
          <w:szCs w:val="22"/>
        </w:rPr>
      </w:pPr>
    </w:p>
    <w:p w:rsidR="00B070BF" w:rsidRPr="00AB16BB" w:rsidRDefault="00B070BF" w:rsidP="00B070BF">
      <w:pPr>
        <w:widowControl w:val="0"/>
        <w:rPr>
          <w:szCs w:val="22"/>
        </w:rPr>
      </w:pPr>
    </w:p>
    <w:p w:rsidR="00B070BF" w:rsidRPr="00EC1FF8" w:rsidRDefault="00B070BF" w:rsidP="00B070BF">
      <w:pPr>
        <w:widowControl w:val="0"/>
        <w:jc w:val="both"/>
        <w:rPr>
          <w:rFonts w:eastAsia="MS Mincho"/>
          <w:sz w:val="20"/>
        </w:rPr>
      </w:pPr>
      <w:r w:rsidRPr="00EC1FF8">
        <w:rPr>
          <w:rFonts w:eastAsia="MS Mincho"/>
          <w:sz w:val="20"/>
        </w:rPr>
        <w:t>DATOS SOBRE EL RENDIMIENTO</w:t>
      </w:r>
    </w:p>
    <w:p w:rsidR="00B070BF" w:rsidRPr="00EC1FF8" w:rsidRDefault="00B070BF" w:rsidP="00B070BF">
      <w:pPr>
        <w:widowControl w:val="0"/>
        <w:rPr>
          <w:b/>
          <w:sz w:val="20"/>
          <w:lang w:val="es-ES_tradnl"/>
        </w:rPr>
      </w:pPr>
    </w:p>
    <w:tbl>
      <w:tblPr>
        <w:tblW w:w="5000" w:type="pct"/>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680"/>
        <w:gridCol w:w="1481"/>
        <w:gridCol w:w="1693"/>
        <w:gridCol w:w="3478"/>
        <w:gridCol w:w="1239"/>
      </w:tblGrid>
      <w:tr w:rsidR="00B070BF" w:rsidRPr="00827314" w:rsidTr="00C33D4A">
        <w:trPr>
          <w:cantSplit/>
        </w:trPr>
        <w:tc>
          <w:tcPr>
            <w:tcW w:w="5000" w:type="pct"/>
            <w:gridSpan w:val="5"/>
            <w:tcBorders>
              <w:top w:val="single" w:sz="4" w:space="0" w:color="auto"/>
              <w:bottom w:val="single" w:sz="4" w:space="0" w:color="auto"/>
            </w:tcBorders>
            <w:shd w:val="clear" w:color="auto" w:fill="CCFFFF"/>
            <w:vAlign w:val="center"/>
          </w:tcPr>
          <w:p w:rsidR="00B070BF" w:rsidRPr="00827314" w:rsidRDefault="00B070BF" w:rsidP="00C33D4A">
            <w:pPr>
              <w:widowControl w:val="0"/>
              <w:tabs>
                <w:tab w:val="left" w:pos="1735"/>
              </w:tabs>
              <w:spacing w:before="120" w:after="120"/>
              <w:ind w:left="1735" w:hanging="1735"/>
              <w:rPr>
                <w:b/>
                <w:bCs/>
                <w:sz w:val="16"/>
                <w:szCs w:val="16"/>
              </w:rPr>
            </w:pPr>
            <w:r w:rsidRPr="00827314">
              <w:rPr>
                <w:b/>
                <w:bCs/>
                <w:sz w:val="16"/>
                <w:szCs w:val="16"/>
              </w:rPr>
              <w:t>Resultado previsto:</w:t>
            </w:r>
            <w:r w:rsidRPr="00827314">
              <w:rPr>
                <w:b/>
                <w:bCs/>
                <w:sz w:val="16"/>
                <w:szCs w:val="16"/>
              </w:rPr>
              <w:tab/>
            </w:r>
            <w:r w:rsidRPr="00827314">
              <w:rPr>
                <w:bCs/>
                <w:sz w:val="16"/>
                <w:szCs w:val="16"/>
              </w:rPr>
              <w:t xml:space="preserve"> Mejor utilización de los sistemas de Madrid y de Lisboa por los países en desarrollo y los PMA, entre otros.</w:t>
            </w:r>
          </w:p>
        </w:tc>
      </w:tr>
      <w:tr w:rsidR="00B070BF" w:rsidRPr="00827314" w:rsidTr="00C33D4A">
        <w:trPr>
          <w:cantSplit/>
        </w:trPr>
        <w:tc>
          <w:tcPr>
            <w:tcW w:w="902" w:type="pct"/>
            <w:tcBorders>
              <w:top w:val="single" w:sz="4" w:space="0" w:color="auto"/>
            </w:tcBorders>
            <w:shd w:val="clear" w:color="auto" w:fill="auto"/>
            <w:vAlign w:val="center"/>
          </w:tcPr>
          <w:p w:rsidR="00B070BF" w:rsidRPr="00827314" w:rsidRDefault="00B070BF" w:rsidP="00C33D4A">
            <w:pPr>
              <w:widowControl w:val="0"/>
              <w:spacing w:after="120"/>
              <w:rPr>
                <w:sz w:val="16"/>
                <w:szCs w:val="16"/>
              </w:rPr>
            </w:pPr>
            <w:r w:rsidRPr="00827314">
              <w:rPr>
                <w:b/>
                <w:bCs/>
                <w:sz w:val="16"/>
                <w:szCs w:val="16"/>
              </w:rPr>
              <w:t>Indicadores de rendimiento</w:t>
            </w:r>
          </w:p>
        </w:tc>
        <w:tc>
          <w:tcPr>
            <w:tcW w:w="798" w:type="pct"/>
            <w:tcBorders>
              <w:top w:val="single" w:sz="4" w:space="0" w:color="auto"/>
            </w:tcBorders>
            <w:shd w:val="clear" w:color="auto" w:fill="C0C0C0"/>
          </w:tcPr>
          <w:p w:rsidR="00B070BF" w:rsidRPr="00827314" w:rsidRDefault="00B070BF" w:rsidP="00C33D4A">
            <w:pPr>
              <w:widowControl w:val="0"/>
              <w:spacing w:after="120"/>
              <w:rPr>
                <w:b/>
                <w:bCs/>
                <w:sz w:val="16"/>
                <w:szCs w:val="16"/>
              </w:rPr>
            </w:pPr>
            <w:r w:rsidRPr="00827314">
              <w:rPr>
                <w:b/>
                <w:bCs/>
                <w:sz w:val="16"/>
                <w:szCs w:val="16"/>
              </w:rPr>
              <w:t>Referencia (</w:t>
            </w:r>
            <w:proofErr w:type="spellStart"/>
            <w:r w:rsidRPr="00827314">
              <w:rPr>
                <w:b/>
                <w:bCs/>
                <w:sz w:val="16"/>
                <w:szCs w:val="16"/>
              </w:rPr>
              <w:t>Presup</w:t>
            </w:r>
            <w:proofErr w:type="spellEnd"/>
            <w:r w:rsidRPr="00827314">
              <w:rPr>
                <w:b/>
                <w:bCs/>
                <w:sz w:val="16"/>
                <w:szCs w:val="16"/>
              </w:rPr>
              <w:t xml:space="preserve">. por </w:t>
            </w:r>
            <w:proofErr w:type="spellStart"/>
            <w:r w:rsidRPr="00827314">
              <w:rPr>
                <w:b/>
                <w:bCs/>
                <w:sz w:val="16"/>
                <w:szCs w:val="16"/>
              </w:rPr>
              <w:t>prog</w:t>
            </w:r>
            <w:proofErr w:type="spellEnd"/>
            <w:r w:rsidRPr="00827314">
              <w:rPr>
                <w:b/>
                <w:bCs/>
                <w:sz w:val="16"/>
                <w:szCs w:val="16"/>
              </w:rPr>
              <w:t>. 2012/13)</w:t>
            </w:r>
          </w:p>
        </w:tc>
        <w:tc>
          <w:tcPr>
            <w:tcW w:w="909" w:type="pct"/>
            <w:tcBorders>
              <w:top w:val="single" w:sz="4" w:space="0" w:color="auto"/>
            </w:tcBorders>
            <w:shd w:val="clear" w:color="auto" w:fill="auto"/>
            <w:tcMar>
              <w:top w:w="110" w:type="dxa"/>
            </w:tcMar>
            <w:vAlign w:val="center"/>
          </w:tcPr>
          <w:p w:rsidR="00B070BF" w:rsidRPr="00793D61" w:rsidRDefault="00B070BF" w:rsidP="00C33D4A">
            <w:pPr>
              <w:widowControl w:val="0"/>
              <w:spacing w:after="120"/>
              <w:rPr>
                <w:b/>
                <w:color w:val="943634"/>
                <w:sz w:val="16"/>
                <w:szCs w:val="16"/>
              </w:rPr>
            </w:pPr>
            <w:r w:rsidRPr="00BF138D">
              <w:rPr>
                <w:b/>
                <w:color w:val="993300"/>
                <w:sz w:val="16"/>
                <w:szCs w:val="16"/>
              </w:rPr>
              <w:t>Referencia actualizada a finales de 2011</w:t>
            </w:r>
            <w:r w:rsidRPr="00793D61">
              <w:rPr>
                <w:b/>
                <w:color w:val="943634"/>
                <w:sz w:val="16"/>
                <w:szCs w:val="16"/>
              </w:rPr>
              <w:t xml:space="preserve"> </w:t>
            </w:r>
          </w:p>
        </w:tc>
        <w:tc>
          <w:tcPr>
            <w:tcW w:w="1841" w:type="pct"/>
            <w:tcBorders>
              <w:top w:val="single" w:sz="4" w:space="0" w:color="auto"/>
            </w:tcBorders>
            <w:shd w:val="clear" w:color="auto" w:fill="FFFFFF"/>
            <w:tcMar>
              <w:top w:w="110" w:type="dxa"/>
            </w:tcMar>
            <w:vAlign w:val="center"/>
          </w:tcPr>
          <w:p w:rsidR="00B070BF" w:rsidRPr="00827314" w:rsidRDefault="00B070BF" w:rsidP="00C33D4A">
            <w:pPr>
              <w:widowControl w:val="0"/>
              <w:spacing w:after="120"/>
              <w:rPr>
                <w:sz w:val="16"/>
                <w:szCs w:val="16"/>
              </w:rPr>
            </w:pPr>
            <w:r w:rsidRPr="00827314">
              <w:rPr>
                <w:b/>
                <w:bCs/>
                <w:sz w:val="16"/>
                <w:szCs w:val="16"/>
              </w:rPr>
              <w:t>Datos sobre el rendimiento</w:t>
            </w:r>
          </w:p>
        </w:tc>
        <w:tc>
          <w:tcPr>
            <w:tcW w:w="551" w:type="pct"/>
            <w:tcBorders>
              <w:top w:val="single" w:sz="4" w:space="0" w:color="auto"/>
            </w:tcBorders>
            <w:shd w:val="clear" w:color="auto" w:fill="auto"/>
            <w:tcMar>
              <w:top w:w="110" w:type="dxa"/>
            </w:tcMar>
            <w:vAlign w:val="center"/>
          </w:tcPr>
          <w:p w:rsidR="00B070BF" w:rsidRPr="00827314" w:rsidRDefault="00B070BF" w:rsidP="00C33D4A">
            <w:pPr>
              <w:widowControl w:val="0"/>
              <w:spacing w:after="120"/>
              <w:jc w:val="center"/>
              <w:rPr>
                <w:b/>
                <w:bCs/>
                <w:sz w:val="16"/>
                <w:szCs w:val="16"/>
              </w:rPr>
            </w:pPr>
            <w:r w:rsidRPr="00827314">
              <w:rPr>
                <w:b/>
                <w:bCs/>
                <w:sz w:val="16"/>
                <w:szCs w:val="16"/>
              </w:rPr>
              <w:t>Clave de colores</w:t>
            </w:r>
          </w:p>
        </w:tc>
      </w:tr>
      <w:tr w:rsidR="00B070BF" w:rsidRPr="00827314" w:rsidTr="00C33D4A">
        <w:trPr>
          <w:cantSplit/>
        </w:trPr>
        <w:tc>
          <w:tcPr>
            <w:tcW w:w="902" w:type="pct"/>
            <w:shd w:val="clear" w:color="auto" w:fill="auto"/>
          </w:tcPr>
          <w:p w:rsidR="00B070BF" w:rsidRPr="00827314" w:rsidRDefault="00B070BF" w:rsidP="00C33D4A">
            <w:pPr>
              <w:widowControl w:val="0"/>
              <w:rPr>
                <w:sz w:val="16"/>
                <w:szCs w:val="16"/>
              </w:rPr>
            </w:pPr>
            <w:r w:rsidRPr="00827314">
              <w:rPr>
                <w:sz w:val="16"/>
                <w:szCs w:val="16"/>
              </w:rPr>
              <w:t>Número de nuevos registros (sistema de Madrid).</w:t>
            </w:r>
          </w:p>
        </w:tc>
        <w:tc>
          <w:tcPr>
            <w:tcW w:w="798" w:type="pct"/>
            <w:shd w:val="clear" w:color="auto" w:fill="C0C0C0"/>
          </w:tcPr>
          <w:p w:rsidR="00B070BF" w:rsidRPr="00827314" w:rsidRDefault="00B070BF" w:rsidP="00C33D4A">
            <w:pPr>
              <w:widowControl w:val="0"/>
              <w:rPr>
                <w:sz w:val="16"/>
                <w:szCs w:val="16"/>
              </w:rPr>
            </w:pPr>
            <w:r w:rsidRPr="00827314">
              <w:rPr>
                <w:sz w:val="16"/>
                <w:szCs w:val="16"/>
              </w:rPr>
              <w:t xml:space="preserve">37.533 (2010); </w:t>
            </w:r>
            <w:r w:rsidRPr="00827314">
              <w:rPr>
                <w:sz w:val="16"/>
                <w:szCs w:val="16"/>
              </w:rPr>
              <w:br/>
              <w:t>40.900 (2011)</w:t>
            </w:r>
          </w:p>
        </w:tc>
        <w:tc>
          <w:tcPr>
            <w:tcW w:w="909" w:type="pct"/>
            <w:shd w:val="clear" w:color="auto" w:fill="auto"/>
            <w:tcMar>
              <w:top w:w="110" w:type="dxa"/>
            </w:tcMar>
          </w:tcPr>
          <w:p w:rsidR="00B070BF" w:rsidRPr="00793D61" w:rsidRDefault="00B070BF" w:rsidP="00C33D4A">
            <w:pPr>
              <w:pStyle w:val="Footer"/>
              <w:widowControl w:val="0"/>
              <w:rPr>
                <w:rStyle w:val="FootnoteReference"/>
                <w:color w:val="943634"/>
                <w:sz w:val="16"/>
                <w:szCs w:val="16"/>
              </w:rPr>
            </w:pPr>
            <w:r w:rsidRPr="00793D61">
              <w:rPr>
                <w:rStyle w:val="FootnoteReference"/>
                <w:color w:val="943634"/>
                <w:sz w:val="16"/>
                <w:szCs w:val="16"/>
              </w:rPr>
              <w:t>40.711 (2011)</w:t>
            </w:r>
          </w:p>
          <w:p w:rsidR="00B070BF" w:rsidRPr="00793D61" w:rsidRDefault="00B070BF" w:rsidP="00C33D4A">
            <w:pPr>
              <w:pStyle w:val="Footer"/>
              <w:widowControl w:val="0"/>
              <w:rPr>
                <w:rStyle w:val="FootnoteReference"/>
                <w:color w:val="943634"/>
                <w:sz w:val="16"/>
                <w:szCs w:val="16"/>
              </w:rPr>
            </w:pPr>
          </w:p>
          <w:p w:rsidR="00B070BF" w:rsidRPr="00793D61" w:rsidRDefault="00B070BF" w:rsidP="00C33D4A">
            <w:pPr>
              <w:pStyle w:val="Footer"/>
              <w:widowControl w:val="0"/>
              <w:rPr>
                <w:rStyle w:val="FootnoteReference"/>
                <w:color w:val="943634"/>
                <w:sz w:val="16"/>
                <w:szCs w:val="16"/>
              </w:rPr>
            </w:pPr>
          </w:p>
        </w:tc>
        <w:tc>
          <w:tcPr>
            <w:tcW w:w="1841" w:type="pct"/>
            <w:shd w:val="clear" w:color="auto" w:fill="FFFFFF"/>
            <w:tcMar>
              <w:top w:w="110" w:type="dxa"/>
            </w:tcMar>
          </w:tcPr>
          <w:p w:rsidR="00B070BF" w:rsidRPr="00827314" w:rsidRDefault="00B070BF" w:rsidP="00C33D4A">
            <w:pPr>
              <w:widowControl w:val="0"/>
              <w:rPr>
                <w:sz w:val="16"/>
                <w:szCs w:val="16"/>
                <w:lang w:bidi="th-TH"/>
              </w:rPr>
            </w:pPr>
            <w:r w:rsidRPr="00827314">
              <w:rPr>
                <w:sz w:val="16"/>
                <w:szCs w:val="16"/>
                <w:lang w:bidi="th-TH"/>
              </w:rPr>
              <w:t>41.954 (2012)</w:t>
            </w:r>
          </w:p>
          <w:p w:rsidR="00B070BF" w:rsidRPr="00827314" w:rsidRDefault="00B070BF" w:rsidP="00C33D4A">
            <w:pPr>
              <w:widowControl w:val="0"/>
              <w:rPr>
                <w:sz w:val="16"/>
                <w:szCs w:val="16"/>
              </w:rPr>
            </w:pPr>
          </w:p>
        </w:tc>
        <w:tc>
          <w:tcPr>
            <w:tcW w:w="551" w:type="pct"/>
            <w:shd w:val="clear" w:color="auto" w:fill="auto"/>
            <w:tcMar>
              <w:top w:w="110" w:type="dxa"/>
            </w:tcMar>
          </w:tcPr>
          <w:p w:rsidR="00B070BF" w:rsidRPr="00827314" w:rsidRDefault="00B070BF" w:rsidP="00C33D4A">
            <w:pPr>
              <w:widowControl w:val="0"/>
              <w:jc w:val="center"/>
              <w:rPr>
                <w:b/>
                <w:bCs/>
                <w:sz w:val="16"/>
                <w:szCs w:val="16"/>
              </w:rPr>
            </w:pPr>
            <w:r w:rsidRPr="009577DE">
              <w:rPr>
                <w:b/>
                <w:bCs/>
                <w:color w:val="008000"/>
                <w:sz w:val="16"/>
                <w:szCs w:val="16"/>
              </w:rPr>
              <w:t>Progresa con normalidad</w:t>
            </w:r>
          </w:p>
          <w:p w:rsidR="00B070BF" w:rsidRPr="00827314" w:rsidRDefault="00B070BF" w:rsidP="00C33D4A">
            <w:pPr>
              <w:widowControl w:val="0"/>
              <w:jc w:val="center"/>
              <w:rPr>
                <w:bCs/>
                <w:sz w:val="16"/>
                <w:szCs w:val="16"/>
              </w:rPr>
            </w:pPr>
          </w:p>
          <w:p w:rsidR="00B070BF" w:rsidRPr="00827314" w:rsidRDefault="00B070BF" w:rsidP="00C33D4A">
            <w:pPr>
              <w:widowControl w:val="0"/>
              <w:jc w:val="center"/>
              <w:rPr>
                <w:bCs/>
                <w:sz w:val="16"/>
                <w:szCs w:val="16"/>
              </w:rPr>
            </w:pPr>
          </w:p>
          <w:p w:rsidR="00B070BF" w:rsidRPr="00827314" w:rsidRDefault="00B070BF" w:rsidP="00C33D4A">
            <w:pPr>
              <w:widowControl w:val="0"/>
              <w:rPr>
                <w:bCs/>
                <w:sz w:val="16"/>
                <w:szCs w:val="16"/>
              </w:rPr>
            </w:pPr>
          </w:p>
        </w:tc>
      </w:tr>
      <w:tr w:rsidR="00B070BF" w:rsidRPr="00827314" w:rsidTr="00C33D4A">
        <w:trPr>
          <w:cantSplit/>
        </w:trPr>
        <w:tc>
          <w:tcPr>
            <w:tcW w:w="902" w:type="pct"/>
            <w:shd w:val="clear" w:color="auto" w:fill="auto"/>
          </w:tcPr>
          <w:p w:rsidR="00B070BF" w:rsidRPr="00827314" w:rsidRDefault="00B070BF" w:rsidP="00C33D4A">
            <w:pPr>
              <w:widowControl w:val="0"/>
              <w:rPr>
                <w:sz w:val="16"/>
                <w:szCs w:val="16"/>
              </w:rPr>
            </w:pPr>
            <w:r w:rsidRPr="00827314">
              <w:rPr>
                <w:sz w:val="16"/>
                <w:szCs w:val="16"/>
              </w:rPr>
              <w:t>Número de renovaciones (sistema de Madrid).</w:t>
            </w:r>
          </w:p>
        </w:tc>
        <w:tc>
          <w:tcPr>
            <w:tcW w:w="798" w:type="pct"/>
            <w:shd w:val="clear" w:color="auto" w:fill="C0C0C0"/>
          </w:tcPr>
          <w:p w:rsidR="00B070BF" w:rsidRPr="00827314" w:rsidRDefault="00B070BF" w:rsidP="00C33D4A">
            <w:pPr>
              <w:widowControl w:val="0"/>
              <w:rPr>
                <w:sz w:val="16"/>
                <w:szCs w:val="16"/>
              </w:rPr>
            </w:pPr>
            <w:r w:rsidRPr="00827314">
              <w:rPr>
                <w:sz w:val="16"/>
                <w:szCs w:val="16"/>
              </w:rPr>
              <w:t>21.949 (2010); 21.900 (2011)</w:t>
            </w:r>
          </w:p>
        </w:tc>
        <w:tc>
          <w:tcPr>
            <w:tcW w:w="909" w:type="pct"/>
            <w:shd w:val="clear" w:color="auto" w:fill="auto"/>
            <w:tcMar>
              <w:top w:w="110" w:type="dxa"/>
            </w:tcMar>
          </w:tcPr>
          <w:p w:rsidR="00B070BF" w:rsidRPr="00793D61" w:rsidRDefault="00B070BF" w:rsidP="00C33D4A">
            <w:pPr>
              <w:pStyle w:val="Footer"/>
              <w:widowControl w:val="0"/>
              <w:rPr>
                <w:rStyle w:val="FootnoteReference"/>
                <w:color w:val="943634"/>
                <w:sz w:val="16"/>
                <w:szCs w:val="16"/>
              </w:rPr>
            </w:pPr>
            <w:r w:rsidRPr="00793D61">
              <w:rPr>
                <w:rStyle w:val="FootnoteReference"/>
                <w:color w:val="943634"/>
                <w:sz w:val="16"/>
                <w:szCs w:val="16"/>
              </w:rPr>
              <w:t>21.754 (2011)</w:t>
            </w:r>
          </w:p>
          <w:p w:rsidR="00B070BF" w:rsidRPr="00793D61" w:rsidRDefault="00B070BF" w:rsidP="00C33D4A">
            <w:pPr>
              <w:pStyle w:val="Footer"/>
              <w:widowControl w:val="0"/>
              <w:rPr>
                <w:rStyle w:val="FootnoteReference"/>
                <w:color w:val="943634"/>
                <w:sz w:val="16"/>
                <w:szCs w:val="16"/>
              </w:rPr>
            </w:pPr>
          </w:p>
        </w:tc>
        <w:tc>
          <w:tcPr>
            <w:tcW w:w="1841" w:type="pct"/>
            <w:shd w:val="clear" w:color="auto" w:fill="FFFFFF"/>
            <w:tcMar>
              <w:top w:w="110" w:type="dxa"/>
            </w:tcMar>
          </w:tcPr>
          <w:p w:rsidR="00B070BF" w:rsidRPr="00827314" w:rsidRDefault="00B070BF" w:rsidP="00C33D4A">
            <w:pPr>
              <w:widowControl w:val="0"/>
              <w:rPr>
                <w:sz w:val="16"/>
                <w:szCs w:val="16"/>
                <w:lang w:bidi="th-TH"/>
              </w:rPr>
            </w:pPr>
            <w:r w:rsidRPr="00827314">
              <w:rPr>
                <w:sz w:val="16"/>
                <w:szCs w:val="16"/>
                <w:lang w:bidi="th-TH"/>
              </w:rPr>
              <w:t>21.859 (2012)</w:t>
            </w:r>
          </w:p>
          <w:p w:rsidR="00B070BF" w:rsidRPr="00827314" w:rsidRDefault="00B070BF" w:rsidP="00C33D4A">
            <w:pPr>
              <w:widowControl w:val="0"/>
              <w:rPr>
                <w:sz w:val="16"/>
                <w:szCs w:val="16"/>
                <w:lang w:bidi="th-TH"/>
              </w:rPr>
            </w:pPr>
          </w:p>
          <w:p w:rsidR="00B070BF" w:rsidRPr="00827314" w:rsidRDefault="00B070BF" w:rsidP="00C33D4A">
            <w:pPr>
              <w:widowControl w:val="0"/>
              <w:rPr>
                <w:sz w:val="16"/>
                <w:szCs w:val="16"/>
              </w:rPr>
            </w:pPr>
          </w:p>
        </w:tc>
        <w:tc>
          <w:tcPr>
            <w:tcW w:w="551" w:type="pct"/>
            <w:shd w:val="clear" w:color="auto" w:fill="auto"/>
            <w:tcMar>
              <w:top w:w="110" w:type="dxa"/>
            </w:tcMar>
          </w:tcPr>
          <w:p w:rsidR="00B070BF" w:rsidRPr="00827314" w:rsidRDefault="00B070BF" w:rsidP="00C33D4A">
            <w:pPr>
              <w:widowControl w:val="0"/>
              <w:jc w:val="center"/>
              <w:rPr>
                <w:b/>
                <w:bCs/>
                <w:sz w:val="16"/>
                <w:szCs w:val="16"/>
              </w:rPr>
            </w:pPr>
            <w:r w:rsidRPr="009577DE">
              <w:rPr>
                <w:b/>
                <w:bCs/>
                <w:color w:val="008000"/>
                <w:sz w:val="16"/>
                <w:szCs w:val="16"/>
              </w:rPr>
              <w:t>Progresa con normalidad</w:t>
            </w:r>
          </w:p>
          <w:p w:rsidR="00B070BF" w:rsidRPr="00827314" w:rsidRDefault="00B070BF" w:rsidP="00C33D4A">
            <w:pPr>
              <w:widowControl w:val="0"/>
              <w:jc w:val="center"/>
              <w:rPr>
                <w:bCs/>
                <w:sz w:val="16"/>
                <w:szCs w:val="16"/>
              </w:rPr>
            </w:pPr>
          </w:p>
          <w:p w:rsidR="00B070BF" w:rsidRPr="00827314" w:rsidRDefault="00B070BF" w:rsidP="00C33D4A">
            <w:pPr>
              <w:widowControl w:val="0"/>
              <w:jc w:val="center"/>
              <w:rPr>
                <w:bCs/>
                <w:sz w:val="16"/>
                <w:szCs w:val="16"/>
              </w:rPr>
            </w:pPr>
          </w:p>
        </w:tc>
      </w:tr>
      <w:tr w:rsidR="00B070BF" w:rsidRPr="00827314" w:rsidTr="00C33D4A">
        <w:trPr>
          <w:cantSplit/>
        </w:trPr>
        <w:tc>
          <w:tcPr>
            <w:tcW w:w="902" w:type="pct"/>
            <w:shd w:val="clear" w:color="auto" w:fill="auto"/>
          </w:tcPr>
          <w:p w:rsidR="00B070BF" w:rsidRPr="00827314" w:rsidRDefault="00B070BF" w:rsidP="00C33D4A">
            <w:pPr>
              <w:widowControl w:val="0"/>
              <w:rPr>
                <w:sz w:val="16"/>
                <w:szCs w:val="16"/>
              </w:rPr>
            </w:pPr>
            <w:r w:rsidRPr="00827314">
              <w:rPr>
                <w:sz w:val="16"/>
                <w:szCs w:val="16"/>
              </w:rPr>
              <w:t>Porcentaje de notificaciones de irregularidad sobre el número total de solicitudes recibidas (sistema de Madrid).</w:t>
            </w:r>
          </w:p>
        </w:tc>
        <w:tc>
          <w:tcPr>
            <w:tcW w:w="798" w:type="pct"/>
            <w:shd w:val="clear" w:color="auto" w:fill="C0C0C0"/>
          </w:tcPr>
          <w:p w:rsidR="00B070BF" w:rsidRPr="00827314" w:rsidRDefault="00B070BF" w:rsidP="00C33D4A">
            <w:pPr>
              <w:widowControl w:val="0"/>
              <w:rPr>
                <w:sz w:val="16"/>
                <w:szCs w:val="16"/>
              </w:rPr>
            </w:pPr>
            <w:r w:rsidRPr="00827314">
              <w:rPr>
                <w:sz w:val="16"/>
                <w:szCs w:val="16"/>
              </w:rPr>
              <w:t>19,3% (fin de 2010)</w:t>
            </w:r>
          </w:p>
        </w:tc>
        <w:tc>
          <w:tcPr>
            <w:tcW w:w="909" w:type="pct"/>
            <w:shd w:val="clear" w:color="auto" w:fill="auto"/>
            <w:tcMar>
              <w:top w:w="110" w:type="dxa"/>
            </w:tcMar>
          </w:tcPr>
          <w:p w:rsidR="00B070BF" w:rsidRPr="00793D61" w:rsidRDefault="00B070BF" w:rsidP="00C33D4A">
            <w:pPr>
              <w:pStyle w:val="Footer"/>
              <w:widowControl w:val="0"/>
              <w:rPr>
                <w:rStyle w:val="FootnoteReference"/>
                <w:color w:val="943634"/>
                <w:sz w:val="16"/>
                <w:szCs w:val="16"/>
              </w:rPr>
            </w:pPr>
            <w:r w:rsidRPr="00793D61">
              <w:rPr>
                <w:rStyle w:val="FootnoteReference"/>
                <w:color w:val="943634"/>
                <w:sz w:val="16"/>
                <w:szCs w:val="16"/>
              </w:rPr>
              <w:t>23% (fin de 2011)</w:t>
            </w:r>
          </w:p>
        </w:tc>
        <w:tc>
          <w:tcPr>
            <w:tcW w:w="1841" w:type="pct"/>
            <w:shd w:val="clear" w:color="auto" w:fill="FFFFFF"/>
            <w:tcMar>
              <w:top w:w="110" w:type="dxa"/>
            </w:tcMar>
          </w:tcPr>
          <w:p w:rsidR="00B070BF" w:rsidRPr="00827314" w:rsidRDefault="00B070BF" w:rsidP="00C33D4A">
            <w:pPr>
              <w:widowControl w:val="0"/>
              <w:rPr>
                <w:sz w:val="16"/>
                <w:szCs w:val="16"/>
                <w:lang w:bidi="th-TH"/>
              </w:rPr>
            </w:pPr>
            <w:r w:rsidRPr="00827314">
              <w:rPr>
                <w:sz w:val="16"/>
                <w:szCs w:val="16"/>
                <w:lang w:bidi="th-TH"/>
              </w:rPr>
              <w:t>22,9%</w:t>
            </w:r>
          </w:p>
          <w:p w:rsidR="00B070BF" w:rsidRPr="00827314" w:rsidRDefault="00B070BF" w:rsidP="00C33D4A">
            <w:pPr>
              <w:widowControl w:val="0"/>
              <w:rPr>
                <w:sz w:val="16"/>
                <w:szCs w:val="16"/>
                <w:lang w:bidi="th-TH"/>
              </w:rPr>
            </w:pPr>
          </w:p>
          <w:p w:rsidR="00B070BF" w:rsidRPr="00827314" w:rsidRDefault="00B070BF" w:rsidP="00C33D4A">
            <w:pPr>
              <w:widowControl w:val="0"/>
              <w:rPr>
                <w:sz w:val="16"/>
                <w:szCs w:val="16"/>
                <w:lang w:bidi="th-TH"/>
              </w:rPr>
            </w:pPr>
          </w:p>
          <w:p w:rsidR="00B070BF" w:rsidRPr="00827314" w:rsidRDefault="00B070BF" w:rsidP="00C33D4A">
            <w:pPr>
              <w:widowControl w:val="0"/>
              <w:rPr>
                <w:sz w:val="16"/>
                <w:szCs w:val="16"/>
                <w:lang w:bidi="th-TH"/>
              </w:rPr>
            </w:pPr>
          </w:p>
          <w:p w:rsidR="00B070BF" w:rsidRPr="00827314" w:rsidRDefault="00B070BF" w:rsidP="00C33D4A">
            <w:pPr>
              <w:widowControl w:val="0"/>
              <w:rPr>
                <w:sz w:val="16"/>
                <w:szCs w:val="16"/>
              </w:rPr>
            </w:pPr>
          </w:p>
        </w:tc>
        <w:tc>
          <w:tcPr>
            <w:tcW w:w="551" w:type="pct"/>
            <w:shd w:val="clear" w:color="auto" w:fill="auto"/>
            <w:tcMar>
              <w:top w:w="110" w:type="dxa"/>
            </w:tcMar>
          </w:tcPr>
          <w:p w:rsidR="00B070BF" w:rsidRPr="00827314" w:rsidRDefault="00B070BF" w:rsidP="00C33D4A">
            <w:pPr>
              <w:widowControl w:val="0"/>
              <w:jc w:val="center"/>
              <w:rPr>
                <w:b/>
                <w:bCs/>
                <w:sz w:val="16"/>
                <w:szCs w:val="16"/>
              </w:rPr>
            </w:pPr>
            <w:r w:rsidRPr="009577DE">
              <w:rPr>
                <w:b/>
                <w:bCs/>
                <w:color w:val="FF0000"/>
                <w:sz w:val="16"/>
                <w:szCs w:val="16"/>
              </w:rPr>
              <w:t>Sin avances significativos</w:t>
            </w:r>
          </w:p>
          <w:p w:rsidR="00B070BF" w:rsidRPr="00827314" w:rsidRDefault="00B070BF" w:rsidP="00C33D4A">
            <w:pPr>
              <w:widowControl w:val="0"/>
              <w:jc w:val="center"/>
              <w:rPr>
                <w:bCs/>
                <w:sz w:val="16"/>
                <w:szCs w:val="16"/>
              </w:rPr>
            </w:pPr>
          </w:p>
        </w:tc>
      </w:tr>
      <w:tr w:rsidR="00B070BF" w:rsidRPr="00827314" w:rsidTr="00C33D4A">
        <w:trPr>
          <w:cantSplit/>
        </w:trPr>
        <w:tc>
          <w:tcPr>
            <w:tcW w:w="902" w:type="pct"/>
            <w:shd w:val="clear" w:color="auto" w:fill="auto"/>
          </w:tcPr>
          <w:p w:rsidR="00B070BF" w:rsidRPr="00827314" w:rsidRDefault="00B070BF" w:rsidP="00C33D4A">
            <w:pPr>
              <w:widowControl w:val="0"/>
              <w:rPr>
                <w:sz w:val="16"/>
                <w:szCs w:val="16"/>
              </w:rPr>
            </w:pPr>
            <w:r w:rsidRPr="00827314">
              <w:rPr>
                <w:sz w:val="16"/>
                <w:szCs w:val="16"/>
              </w:rPr>
              <w:lastRenderedPageBreak/>
              <w:t>Porcentaje de solicitudes internacionales de países en desarrollo y PMA (sistema de Madrid).</w:t>
            </w:r>
          </w:p>
        </w:tc>
        <w:tc>
          <w:tcPr>
            <w:tcW w:w="798" w:type="pct"/>
            <w:shd w:val="clear" w:color="auto" w:fill="C0C0C0"/>
          </w:tcPr>
          <w:p w:rsidR="00B070BF" w:rsidRPr="00827314" w:rsidRDefault="00B070BF" w:rsidP="00C33D4A">
            <w:pPr>
              <w:widowControl w:val="0"/>
              <w:rPr>
                <w:sz w:val="16"/>
                <w:szCs w:val="16"/>
              </w:rPr>
            </w:pPr>
            <w:r w:rsidRPr="00827314">
              <w:rPr>
                <w:sz w:val="16"/>
                <w:szCs w:val="16"/>
              </w:rPr>
              <w:t>7% de solicitudes internacionales.</w:t>
            </w:r>
          </w:p>
        </w:tc>
        <w:tc>
          <w:tcPr>
            <w:tcW w:w="909" w:type="pct"/>
            <w:shd w:val="clear" w:color="auto" w:fill="auto"/>
            <w:tcMar>
              <w:top w:w="110" w:type="dxa"/>
            </w:tcMar>
          </w:tcPr>
          <w:p w:rsidR="00B070BF" w:rsidRPr="00793D61" w:rsidRDefault="00B070BF" w:rsidP="00C33D4A">
            <w:pPr>
              <w:pStyle w:val="Footer"/>
              <w:widowControl w:val="0"/>
              <w:rPr>
                <w:rStyle w:val="FootnoteReference"/>
                <w:color w:val="943634"/>
                <w:sz w:val="16"/>
                <w:szCs w:val="16"/>
              </w:rPr>
            </w:pPr>
            <w:r w:rsidRPr="00793D61">
              <w:rPr>
                <w:rStyle w:val="FootnoteReference"/>
                <w:color w:val="943634"/>
                <w:sz w:val="16"/>
                <w:szCs w:val="16"/>
              </w:rPr>
              <w:t>7,4% (2011)</w:t>
            </w:r>
          </w:p>
          <w:p w:rsidR="00B070BF" w:rsidRPr="00793D61" w:rsidRDefault="00B070BF" w:rsidP="00C33D4A">
            <w:pPr>
              <w:pStyle w:val="Footer"/>
              <w:widowControl w:val="0"/>
              <w:rPr>
                <w:rStyle w:val="FootnoteReference"/>
                <w:color w:val="943634"/>
                <w:sz w:val="16"/>
                <w:szCs w:val="16"/>
              </w:rPr>
            </w:pPr>
          </w:p>
        </w:tc>
        <w:tc>
          <w:tcPr>
            <w:tcW w:w="1841" w:type="pct"/>
            <w:shd w:val="clear" w:color="auto" w:fill="FFFFFF"/>
            <w:tcMar>
              <w:top w:w="110" w:type="dxa"/>
            </w:tcMar>
          </w:tcPr>
          <w:p w:rsidR="00B070BF" w:rsidRPr="00827314" w:rsidRDefault="00B070BF" w:rsidP="00C33D4A">
            <w:pPr>
              <w:widowControl w:val="0"/>
              <w:rPr>
                <w:sz w:val="16"/>
                <w:szCs w:val="16"/>
                <w:lang w:bidi="th-TH"/>
              </w:rPr>
            </w:pPr>
            <w:r w:rsidRPr="00827314">
              <w:rPr>
                <w:sz w:val="16"/>
                <w:szCs w:val="16"/>
              </w:rPr>
              <w:t>7% (2012)</w:t>
            </w:r>
          </w:p>
          <w:p w:rsidR="00B070BF" w:rsidRPr="00827314" w:rsidRDefault="00B070BF" w:rsidP="00C33D4A">
            <w:pPr>
              <w:widowControl w:val="0"/>
              <w:rPr>
                <w:sz w:val="16"/>
                <w:szCs w:val="16"/>
                <w:lang w:bidi="th-TH"/>
              </w:rPr>
            </w:pPr>
          </w:p>
          <w:p w:rsidR="00B070BF" w:rsidRPr="00827314" w:rsidRDefault="00B070BF" w:rsidP="00C33D4A">
            <w:pPr>
              <w:widowControl w:val="0"/>
              <w:rPr>
                <w:sz w:val="16"/>
                <w:szCs w:val="16"/>
                <w:lang w:bidi="th-TH"/>
              </w:rPr>
            </w:pPr>
          </w:p>
          <w:p w:rsidR="00B070BF" w:rsidRPr="00827314" w:rsidRDefault="00B070BF" w:rsidP="00C33D4A">
            <w:pPr>
              <w:widowControl w:val="0"/>
              <w:rPr>
                <w:sz w:val="16"/>
                <w:szCs w:val="16"/>
                <w:lang w:bidi="th-TH"/>
              </w:rPr>
            </w:pPr>
          </w:p>
          <w:p w:rsidR="00B070BF" w:rsidRPr="00827314" w:rsidRDefault="00B070BF" w:rsidP="00C33D4A">
            <w:pPr>
              <w:widowControl w:val="0"/>
              <w:rPr>
                <w:sz w:val="16"/>
                <w:szCs w:val="16"/>
              </w:rPr>
            </w:pPr>
          </w:p>
        </w:tc>
        <w:tc>
          <w:tcPr>
            <w:tcW w:w="551" w:type="pct"/>
            <w:shd w:val="clear" w:color="auto" w:fill="auto"/>
            <w:tcMar>
              <w:top w:w="110" w:type="dxa"/>
            </w:tcMar>
          </w:tcPr>
          <w:p w:rsidR="00B070BF" w:rsidRPr="00827314" w:rsidRDefault="00B070BF" w:rsidP="00C33D4A">
            <w:pPr>
              <w:widowControl w:val="0"/>
              <w:jc w:val="center"/>
              <w:rPr>
                <w:b/>
                <w:bCs/>
                <w:sz w:val="16"/>
                <w:szCs w:val="16"/>
              </w:rPr>
            </w:pPr>
            <w:r w:rsidRPr="009577DE">
              <w:rPr>
                <w:b/>
                <w:bCs/>
                <w:color w:val="FF0000"/>
                <w:sz w:val="16"/>
                <w:szCs w:val="16"/>
              </w:rPr>
              <w:t>Sin avances significativos</w:t>
            </w:r>
          </w:p>
          <w:p w:rsidR="00B070BF" w:rsidRPr="00827314" w:rsidRDefault="00B070BF" w:rsidP="00C33D4A">
            <w:pPr>
              <w:widowControl w:val="0"/>
              <w:jc w:val="center"/>
              <w:rPr>
                <w:bCs/>
                <w:sz w:val="16"/>
                <w:szCs w:val="16"/>
              </w:rPr>
            </w:pPr>
          </w:p>
          <w:p w:rsidR="00B070BF" w:rsidRPr="00827314" w:rsidRDefault="00B070BF" w:rsidP="00C33D4A">
            <w:pPr>
              <w:widowControl w:val="0"/>
              <w:jc w:val="center"/>
              <w:rPr>
                <w:bCs/>
                <w:sz w:val="16"/>
                <w:szCs w:val="16"/>
              </w:rPr>
            </w:pPr>
            <w:r w:rsidRPr="00827314">
              <w:rPr>
                <w:bCs/>
                <w:sz w:val="16"/>
                <w:szCs w:val="16"/>
              </w:rPr>
              <w:br/>
            </w:r>
          </w:p>
        </w:tc>
      </w:tr>
      <w:tr w:rsidR="00B070BF" w:rsidRPr="00827314" w:rsidTr="00C33D4A">
        <w:trPr>
          <w:cantSplit/>
        </w:trPr>
        <w:tc>
          <w:tcPr>
            <w:tcW w:w="902" w:type="pct"/>
            <w:shd w:val="clear" w:color="auto" w:fill="auto"/>
          </w:tcPr>
          <w:p w:rsidR="00B070BF" w:rsidRPr="00827314" w:rsidRDefault="00B070BF" w:rsidP="00C33D4A">
            <w:pPr>
              <w:widowControl w:val="0"/>
              <w:rPr>
                <w:sz w:val="16"/>
                <w:szCs w:val="16"/>
              </w:rPr>
            </w:pPr>
            <w:r w:rsidRPr="00827314">
              <w:rPr>
                <w:sz w:val="16"/>
                <w:szCs w:val="16"/>
              </w:rPr>
              <w:t>Número de Partes Contratantes del Protocolo de Madrid.</w:t>
            </w:r>
          </w:p>
        </w:tc>
        <w:tc>
          <w:tcPr>
            <w:tcW w:w="798" w:type="pct"/>
            <w:shd w:val="clear" w:color="auto" w:fill="C0C0C0"/>
          </w:tcPr>
          <w:p w:rsidR="00B070BF" w:rsidRPr="00827314" w:rsidRDefault="00B070BF" w:rsidP="00C33D4A">
            <w:pPr>
              <w:widowControl w:val="0"/>
              <w:rPr>
                <w:sz w:val="16"/>
                <w:szCs w:val="16"/>
              </w:rPr>
            </w:pPr>
            <w:r w:rsidRPr="00827314">
              <w:rPr>
                <w:sz w:val="16"/>
                <w:szCs w:val="16"/>
              </w:rPr>
              <w:t>85 partes contratantes en el sistema de Madrid</w:t>
            </w:r>
          </w:p>
        </w:tc>
        <w:tc>
          <w:tcPr>
            <w:tcW w:w="909" w:type="pct"/>
            <w:shd w:val="clear" w:color="auto" w:fill="auto"/>
            <w:tcMar>
              <w:top w:w="110" w:type="dxa"/>
            </w:tcMar>
          </w:tcPr>
          <w:p w:rsidR="00B070BF" w:rsidRPr="00827314" w:rsidRDefault="00B070BF" w:rsidP="00C33D4A">
            <w:pPr>
              <w:pStyle w:val="Footer"/>
              <w:widowControl w:val="0"/>
              <w:rPr>
                <w:rStyle w:val="FootnoteReference"/>
              </w:rPr>
            </w:pPr>
          </w:p>
        </w:tc>
        <w:tc>
          <w:tcPr>
            <w:tcW w:w="1841" w:type="pct"/>
            <w:shd w:val="clear" w:color="auto" w:fill="FFFFFF"/>
            <w:tcMar>
              <w:top w:w="110" w:type="dxa"/>
            </w:tcMar>
          </w:tcPr>
          <w:p w:rsidR="00B070BF" w:rsidRPr="00827314" w:rsidRDefault="00B070BF" w:rsidP="00C33D4A">
            <w:pPr>
              <w:widowControl w:val="0"/>
              <w:rPr>
                <w:sz w:val="16"/>
                <w:szCs w:val="16"/>
                <w:lang w:bidi="th-TH"/>
              </w:rPr>
            </w:pPr>
            <w:r w:rsidRPr="00827314">
              <w:rPr>
                <w:sz w:val="16"/>
                <w:szCs w:val="16"/>
                <w:lang w:bidi="th-TH"/>
              </w:rPr>
              <w:t>89 partes contratantes en el sistema de Madrid (4 países adicionales:  Colombia, México, Nueva Zelandia y Filipinas)</w:t>
            </w:r>
          </w:p>
          <w:p w:rsidR="00B070BF" w:rsidRPr="00827314" w:rsidRDefault="00B070BF" w:rsidP="00C33D4A">
            <w:pPr>
              <w:widowControl w:val="0"/>
              <w:rPr>
                <w:sz w:val="16"/>
                <w:szCs w:val="16"/>
              </w:rPr>
            </w:pPr>
          </w:p>
        </w:tc>
        <w:tc>
          <w:tcPr>
            <w:tcW w:w="551" w:type="pct"/>
            <w:shd w:val="clear" w:color="auto" w:fill="auto"/>
            <w:tcMar>
              <w:top w:w="110" w:type="dxa"/>
            </w:tcMar>
          </w:tcPr>
          <w:p w:rsidR="00B070BF" w:rsidRPr="00827314" w:rsidRDefault="00B070BF" w:rsidP="00C33D4A">
            <w:pPr>
              <w:widowControl w:val="0"/>
              <w:jc w:val="center"/>
              <w:rPr>
                <w:b/>
                <w:bCs/>
                <w:sz w:val="16"/>
                <w:szCs w:val="16"/>
              </w:rPr>
            </w:pPr>
            <w:r w:rsidRPr="009577DE">
              <w:rPr>
                <w:b/>
                <w:bCs/>
                <w:color w:val="008000"/>
                <w:sz w:val="16"/>
                <w:szCs w:val="16"/>
              </w:rPr>
              <w:t>Progresa con normalidad</w:t>
            </w:r>
          </w:p>
          <w:p w:rsidR="00B070BF" w:rsidRPr="00827314" w:rsidRDefault="00B070BF" w:rsidP="00C33D4A">
            <w:pPr>
              <w:widowControl w:val="0"/>
              <w:jc w:val="center"/>
              <w:rPr>
                <w:bCs/>
                <w:sz w:val="16"/>
                <w:szCs w:val="16"/>
              </w:rPr>
            </w:pPr>
          </w:p>
          <w:p w:rsidR="00B070BF" w:rsidRPr="00827314" w:rsidRDefault="00B070BF" w:rsidP="00C33D4A">
            <w:pPr>
              <w:widowControl w:val="0"/>
              <w:jc w:val="center"/>
              <w:rPr>
                <w:bCs/>
                <w:sz w:val="16"/>
                <w:szCs w:val="16"/>
              </w:rPr>
            </w:pPr>
          </w:p>
          <w:p w:rsidR="00B070BF" w:rsidRPr="00827314" w:rsidRDefault="00B070BF" w:rsidP="00C33D4A">
            <w:pPr>
              <w:widowControl w:val="0"/>
              <w:jc w:val="center"/>
              <w:rPr>
                <w:bCs/>
                <w:sz w:val="16"/>
                <w:szCs w:val="16"/>
              </w:rPr>
            </w:pPr>
          </w:p>
        </w:tc>
      </w:tr>
      <w:tr w:rsidR="00B070BF" w:rsidRPr="00827314" w:rsidTr="00C33D4A">
        <w:trPr>
          <w:cantSplit/>
        </w:trPr>
        <w:tc>
          <w:tcPr>
            <w:tcW w:w="902" w:type="pct"/>
            <w:shd w:val="clear" w:color="auto" w:fill="auto"/>
          </w:tcPr>
          <w:p w:rsidR="00B070BF" w:rsidRPr="00827314" w:rsidRDefault="00B070BF" w:rsidP="00C33D4A">
            <w:pPr>
              <w:widowControl w:val="0"/>
              <w:rPr>
                <w:sz w:val="16"/>
                <w:szCs w:val="16"/>
              </w:rPr>
            </w:pPr>
            <w:r w:rsidRPr="00827314">
              <w:rPr>
                <w:sz w:val="16"/>
                <w:szCs w:val="16"/>
              </w:rPr>
              <w:t>Número de Partes Contratantes del Arreglo de Lisboa.</w:t>
            </w:r>
          </w:p>
        </w:tc>
        <w:tc>
          <w:tcPr>
            <w:tcW w:w="798" w:type="pct"/>
            <w:shd w:val="clear" w:color="auto" w:fill="C0C0C0"/>
          </w:tcPr>
          <w:p w:rsidR="00B070BF" w:rsidRPr="00827314" w:rsidRDefault="00B070BF" w:rsidP="00C33D4A">
            <w:pPr>
              <w:widowControl w:val="0"/>
              <w:rPr>
                <w:sz w:val="16"/>
                <w:szCs w:val="16"/>
              </w:rPr>
            </w:pPr>
            <w:r w:rsidRPr="00827314">
              <w:rPr>
                <w:sz w:val="16"/>
                <w:szCs w:val="16"/>
              </w:rPr>
              <w:t>27 (marzo de 2011).</w:t>
            </w:r>
          </w:p>
        </w:tc>
        <w:tc>
          <w:tcPr>
            <w:tcW w:w="909" w:type="pct"/>
            <w:shd w:val="clear" w:color="auto" w:fill="auto"/>
            <w:tcMar>
              <w:top w:w="110" w:type="dxa"/>
            </w:tcMar>
          </w:tcPr>
          <w:p w:rsidR="00B070BF" w:rsidRPr="00827314" w:rsidRDefault="00B070BF" w:rsidP="00C33D4A">
            <w:pPr>
              <w:pStyle w:val="Footer"/>
              <w:widowControl w:val="0"/>
              <w:rPr>
                <w:rStyle w:val="FootnoteReference"/>
              </w:rPr>
            </w:pPr>
          </w:p>
        </w:tc>
        <w:tc>
          <w:tcPr>
            <w:tcW w:w="1841" w:type="pct"/>
            <w:shd w:val="clear" w:color="auto" w:fill="FFFFFF"/>
            <w:tcMar>
              <w:top w:w="110" w:type="dxa"/>
            </w:tcMar>
          </w:tcPr>
          <w:p w:rsidR="00B070BF" w:rsidRPr="00827314" w:rsidRDefault="00B070BF" w:rsidP="00C33D4A">
            <w:pPr>
              <w:widowControl w:val="0"/>
              <w:rPr>
                <w:sz w:val="16"/>
                <w:szCs w:val="16"/>
                <w:lang w:bidi="th-TH"/>
              </w:rPr>
            </w:pPr>
            <w:r w:rsidRPr="00827314">
              <w:rPr>
                <w:sz w:val="16"/>
                <w:szCs w:val="16"/>
                <w:lang w:bidi="th-TH"/>
              </w:rPr>
              <w:t>Ninguna adhesión</w:t>
            </w:r>
          </w:p>
          <w:p w:rsidR="00B070BF" w:rsidRPr="00827314" w:rsidRDefault="00B070BF" w:rsidP="00C33D4A">
            <w:pPr>
              <w:widowControl w:val="0"/>
              <w:rPr>
                <w:sz w:val="16"/>
                <w:szCs w:val="16"/>
                <w:lang w:bidi="th-TH"/>
              </w:rPr>
            </w:pPr>
          </w:p>
          <w:p w:rsidR="00B070BF" w:rsidRPr="00827314" w:rsidRDefault="00B070BF" w:rsidP="00C33D4A">
            <w:pPr>
              <w:widowControl w:val="0"/>
              <w:rPr>
                <w:sz w:val="16"/>
                <w:szCs w:val="16"/>
                <w:lang w:bidi="th-TH"/>
              </w:rPr>
            </w:pPr>
          </w:p>
          <w:p w:rsidR="00B070BF" w:rsidRPr="00827314" w:rsidRDefault="00B070BF" w:rsidP="00C33D4A">
            <w:pPr>
              <w:widowControl w:val="0"/>
              <w:rPr>
                <w:sz w:val="16"/>
                <w:szCs w:val="16"/>
              </w:rPr>
            </w:pPr>
          </w:p>
        </w:tc>
        <w:tc>
          <w:tcPr>
            <w:tcW w:w="551" w:type="pct"/>
            <w:shd w:val="clear" w:color="auto" w:fill="auto"/>
            <w:tcMar>
              <w:top w:w="110" w:type="dxa"/>
            </w:tcMar>
          </w:tcPr>
          <w:p w:rsidR="00B070BF" w:rsidRPr="00827314" w:rsidRDefault="00B070BF" w:rsidP="00C33D4A">
            <w:pPr>
              <w:widowControl w:val="0"/>
              <w:jc w:val="center"/>
              <w:rPr>
                <w:b/>
                <w:bCs/>
                <w:sz w:val="16"/>
                <w:szCs w:val="16"/>
              </w:rPr>
            </w:pPr>
            <w:r w:rsidRPr="009577DE">
              <w:rPr>
                <w:b/>
                <w:bCs/>
                <w:color w:val="FF0000"/>
                <w:sz w:val="16"/>
                <w:szCs w:val="16"/>
              </w:rPr>
              <w:t>Sin avances significativos</w:t>
            </w:r>
          </w:p>
          <w:p w:rsidR="00B070BF" w:rsidRPr="00827314" w:rsidRDefault="00B070BF" w:rsidP="00C33D4A">
            <w:pPr>
              <w:widowControl w:val="0"/>
              <w:jc w:val="center"/>
              <w:rPr>
                <w:bCs/>
                <w:sz w:val="16"/>
                <w:szCs w:val="16"/>
              </w:rPr>
            </w:pPr>
          </w:p>
          <w:p w:rsidR="00B070BF" w:rsidRPr="00827314" w:rsidRDefault="00B070BF" w:rsidP="00C33D4A">
            <w:pPr>
              <w:widowControl w:val="0"/>
              <w:jc w:val="center"/>
              <w:rPr>
                <w:bCs/>
                <w:sz w:val="16"/>
                <w:szCs w:val="16"/>
              </w:rPr>
            </w:pPr>
          </w:p>
        </w:tc>
      </w:tr>
      <w:tr w:rsidR="00B070BF" w:rsidRPr="00827314" w:rsidTr="00C33D4A">
        <w:trPr>
          <w:cantSplit/>
        </w:trPr>
        <w:tc>
          <w:tcPr>
            <w:tcW w:w="902" w:type="pct"/>
            <w:tcBorders>
              <w:bottom w:val="single" w:sz="4" w:space="0" w:color="auto"/>
            </w:tcBorders>
            <w:shd w:val="clear" w:color="auto" w:fill="auto"/>
          </w:tcPr>
          <w:p w:rsidR="00B070BF" w:rsidRPr="00827314" w:rsidRDefault="00B070BF" w:rsidP="00C33D4A">
            <w:pPr>
              <w:widowControl w:val="0"/>
              <w:rPr>
                <w:sz w:val="16"/>
                <w:szCs w:val="16"/>
              </w:rPr>
            </w:pPr>
            <w:r w:rsidRPr="00827314">
              <w:rPr>
                <w:sz w:val="16"/>
                <w:szCs w:val="16"/>
              </w:rPr>
              <w:t>Número de registros internacionales en vigor, correspondientes a países en desarrollo y PMA, en virtud del sistema de Lisboa relativo a las denominaciones de origen.</w:t>
            </w:r>
          </w:p>
        </w:tc>
        <w:tc>
          <w:tcPr>
            <w:tcW w:w="798" w:type="pct"/>
            <w:tcBorders>
              <w:bottom w:val="single" w:sz="4" w:space="0" w:color="auto"/>
            </w:tcBorders>
            <w:shd w:val="clear" w:color="auto" w:fill="C0C0C0"/>
          </w:tcPr>
          <w:p w:rsidR="00B070BF" w:rsidRPr="00827314" w:rsidRDefault="00B070BF" w:rsidP="00C33D4A">
            <w:pPr>
              <w:widowControl w:val="0"/>
              <w:rPr>
                <w:sz w:val="16"/>
                <w:szCs w:val="16"/>
              </w:rPr>
            </w:pPr>
            <w:r w:rsidRPr="00827314">
              <w:rPr>
                <w:sz w:val="16"/>
                <w:szCs w:val="16"/>
              </w:rPr>
              <w:t>58 (de 795)</w:t>
            </w:r>
            <w:r w:rsidRPr="00827314">
              <w:rPr>
                <w:sz w:val="16"/>
                <w:szCs w:val="16"/>
              </w:rPr>
              <w:br/>
            </w:r>
          </w:p>
        </w:tc>
        <w:tc>
          <w:tcPr>
            <w:tcW w:w="909" w:type="pct"/>
            <w:tcBorders>
              <w:bottom w:val="single" w:sz="4" w:space="0" w:color="auto"/>
            </w:tcBorders>
            <w:shd w:val="clear" w:color="auto" w:fill="auto"/>
            <w:tcMar>
              <w:top w:w="110" w:type="dxa"/>
            </w:tcMar>
          </w:tcPr>
          <w:p w:rsidR="00B070BF" w:rsidRPr="00827314" w:rsidRDefault="00B070BF" w:rsidP="00C33D4A">
            <w:pPr>
              <w:pStyle w:val="Footer"/>
              <w:widowControl w:val="0"/>
              <w:rPr>
                <w:rStyle w:val="FootnoteReference"/>
              </w:rPr>
            </w:pPr>
            <w:r w:rsidRPr="00827314">
              <w:rPr>
                <w:rStyle w:val="FootnoteReference"/>
              </w:rPr>
              <w:t>75</w:t>
            </w:r>
          </w:p>
        </w:tc>
        <w:tc>
          <w:tcPr>
            <w:tcW w:w="1841" w:type="pct"/>
            <w:tcBorders>
              <w:bottom w:val="single" w:sz="4" w:space="0" w:color="auto"/>
            </w:tcBorders>
            <w:shd w:val="clear" w:color="auto" w:fill="FFFFFF"/>
            <w:tcMar>
              <w:top w:w="110" w:type="dxa"/>
            </w:tcMar>
          </w:tcPr>
          <w:p w:rsidR="00B070BF" w:rsidRPr="00827314" w:rsidRDefault="00B070BF" w:rsidP="00C33D4A">
            <w:pPr>
              <w:widowControl w:val="0"/>
              <w:rPr>
                <w:sz w:val="16"/>
                <w:szCs w:val="16"/>
                <w:lang w:bidi="th-TH"/>
              </w:rPr>
            </w:pPr>
            <w:r w:rsidRPr="00827314">
              <w:rPr>
                <w:sz w:val="16"/>
                <w:szCs w:val="16"/>
                <w:lang w:bidi="th-TH"/>
              </w:rPr>
              <w:t>62 (de 804)</w:t>
            </w:r>
          </w:p>
          <w:p w:rsidR="00B070BF" w:rsidRPr="00827314" w:rsidRDefault="00B070BF" w:rsidP="00C33D4A">
            <w:pPr>
              <w:widowControl w:val="0"/>
              <w:rPr>
                <w:sz w:val="16"/>
                <w:szCs w:val="16"/>
                <w:lang w:bidi="th-TH"/>
              </w:rPr>
            </w:pPr>
          </w:p>
          <w:p w:rsidR="00B070BF" w:rsidRPr="00827314" w:rsidRDefault="00B070BF" w:rsidP="00C33D4A">
            <w:pPr>
              <w:widowControl w:val="0"/>
              <w:rPr>
                <w:sz w:val="16"/>
                <w:szCs w:val="16"/>
                <w:lang w:bidi="th-TH"/>
              </w:rPr>
            </w:pPr>
          </w:p>
          <w:p w:rsidR="00B070BF" w:rsidRPr="00827314" w:rsidRDefault="00B070BF" w:rsidP="00C33D4A">
            <w:pPr>
              <w:widowControl w:val="0"/>
              <w:rPr>
                <w:sz w:val="16"/>
                <w:szCs w:val="16"/>
                <w:lang w:bidi="th-TH"/>
              </w:rPr>
            </w:pPr>
          </w:p>
          <w:p w:rsidR="00B070BF" w:rsidRPr="00827314" w:rsidRDefault="00B070BF" w:rsidP="00C33D4A">
            <w:pPr>
              <w:widowControl w:val="0"/>
              <w:rPr>
                <w:sz w:val="16"/>
                <w:szCs w:val="16"/>
              </w:rPr>
            </w:pPr>
          </w:p>
        </w:tc>
        <w:tc>
          <w:tcPr>
            <w:tcW w:w="551" w:type="pct"/>
            <w:tcBorders>
              <w:bottom w:val="single" w:sz="4" w:space="0" w:color="auto"/>
            </w:tcBorders>
            <w:shd w:val="clear" w:color="auto" w:fill="auto"/>
            <w:tcMar>
              <w:top w:w="110" w:type="dxa"/>
            </w:tcMar>
          </w:tcPr>
          <w:p w:rsidR="00B070BF" w:rsidRPr="00827314" w:rsidRDefault="00B070BF" w:rsidP="00C33D4A">
            <w:pPr>
              <w:widowControl w:val="0"/>
              <w:jc w:val="center"/>
              <w:rPr>
                <w:b/>
                <w:bCs/>
                <w:sz w:val="16"/>
                <w:szCs w:val="16"/>
              </w:rPr>
            </w:pPr>
            <w:r w:rsidRPr="009577DE">
              <w:rPr>
                <w:b/>
                <w:bCs/>
                <w:color w:val="008000"/>
                <w:sz w:val="16"/>
                <w:szCs w:val="16"/>
              </w:rPr>
              <w:t>Progresa con normalidad</w:t>
            </w:r>
          </w:p>
          <w:p w:rsidR="00B070BF" w:rsidRPr="00827314" w:rsidRDefault="00B070BF" w:rsidP="00C33D4A">
            <w:pPr>
              <w:widowControl w:val="0"/>
              <w:jc w:val="center"/>
              <w:rPr>
                <w:bCs/>
                <w:sz w:val="16"/>
                <w:szCs w:val="16"/>
              </w:rPr>
            </w:pPr>
          </w:p>
          <w:p w:rsidR="00B070BF" w:rsidRPr="00827314" w:rsidRDefault="00B070BF" w:rsidP="00C33D4A">
            <w:pPr>
              <w:widowControl w:val="0"/>
              <w:jc w:val="center"/>
              <w:rPr>
                <w:bCs/>
                <w:sz w:val="16"/>
                <w:szCs w:val="16"/>
              </w:rPr>
            </w:pPr>
          </w:p>
        </w:tc>
      </w:tr>
      <w:tr w:rsidR="00B070BF" w:rsidRPr="00827314" w:rsidTr="00C33D4A">
        <w:trPr>
          <w:cantSplit/>
        </w:trPr>
        <w:tc>
          <w:tcPr>
            <w:tcW w:w="5000" w:type="pct"/>
            <w:gridSpan w:val="5"/>
            <w:tcBorders>
              <w:top w:val="single" w:sz="4" w:space="0" w:color="auto"/>
              <w:bottom w:val="single" w:sz="4" w:space="0" w:color="auto"/>
            </w:tcBorders>
            <w:shd w:val="clear" w:color="auto" w:fill="CCFFFF"/>
            <w:vAlign w:val="center"/>
          </w:tcPr>
          <w:p w:rsidR="00B070BF" w:rsidRPr="00827314" w:rsidRDefault="00B070BF" w:rsidP="00C33D4A">
            <w:pPr>
              <w:widowControl w:val="0"/>
              <w:tabs>
                <w:tab w:val="left" w:pos="1735"/>
              </w:tabs>
              <w:spacing w:before="120" w:after="120"/>
              <w:ind w:left="1735" w:hanging="1735"/>
              <w:rPr>
                <w:b/>
                <w:bCs/>
                <w:sz w:val="16"/>
                <w:szCs w:val="16"/>
              </w:rPr>
            </w:pPr>
            <w:r w:rsidRPr="00827314">
              <w:rPr>
                <w:b/>
                <w:bCs/>
                <w:sz w:val="16"/>
                <w:szCs w:val="16"/>
              </w:rPr>
              <w:t>Resultado previsto:</w:t>
            </w:r>
            <w:r w:rsidRPr="00827314">
              <w:rPr>
                <w:b/>
                <w:bCs/>
                <w:sz w:val="16"/>
                <w:szCs w:val="16"/>
              </w:rPr>
              <w:tab/>
            </w:r>
            <w:r w:rsidRPr="00827314">
              <w:rPr>
                <w:bCs/>
                <w:sz w:val="16"/>
                <w:szCs w:val="16"/>
              </w:rPr>
              <w:t xml:space="preserve"> Mejora del funcionamiento de los sistemas de Madrid y de Lisboa.</w:t>
            </w:r>
          </w:p>
        </w:tc>
      </w:tr>
      <w:tr w:rsidR="00B070BF" w:rsidRPr="00827314" w:rsidTr="00C33D4A">
        <w:trPr>
          <w:cantSplit/>
        </w:trPr>
        <w:tc>
          <w:tcPr>
            <w:tcW w:w="902" w:type="pct"/>
            <w:tcBorders>
              <w:top w:val="single" w:sz="4" w:space="0" w:color="auto"/>
            </w:tcBorders>
            <w:shd w:val="clear" w:color="auto" w:fill="auto"/>
            <w:vAlign w:val="center"/>
          </w:tcPr>
          <w:p w:rsidR="00B070BF" w:rsidRPr="00827314" w:rsidRDefault="00B070BF" w:rsidP="00C33D4A">
            <w:pPr>
              <w:widowControl w:val="0"/>
              <w:spacing w:after="120"/>
              <w:rPr>
                <w:sz w:val="16"/>
                <w:szCs w:val="16"/>
              </w:rPr>
            </w:pPr>
            <w:r w:rsidRPr="00827314">
              <w:rPr>
                <w:b/>
                <w:bCs/>
                <w:sz w:val="16"/>
                <w:szCs w:val="16"/>
              </w:rPr>
              <w:t>Indicadores de rendimiento</w:t>
            </w:r>
          </w:p>
        </w:tc>
        <w:tc>
          <w:tcPr>
            <w:tcW w:w="798" w:type="pct"/>
            <w:tcBorders>
              <w:top w:val="single" w:sz="4" w:space="0" w:color="auto"/>
            </w:tcBorders>
            <w:shd w:val="clear" w:color="auto" w:fill="C0C0C0"/>
          </w:tcPr>
          <w:p w:rsidR="00B070BF" w:rsidRPr="00827314" w:rsidRDefault="00B070BF" w:rsidP="00C33D4A">
            <w:pPr>
              <w:widowControl w:val="0"/>
              <w:spacing w:after="120"/>
              <w:rPr>
                <w:b/>
                <w:bCs/>
                <w:sz w:val="16"/>
                <w:szCs w:val="16"/>
              </w:rPr>
            </w:pPr>
            <w:r w:rsidRPr="00827314">
              <w:rPr>
                <w:b/>
                <w:bCs/>
                <w:sz w:val="16"/>
                <w:szCs w:val="16"/>
              </w:rPr>
              <w:t>Referencia (</w:t>
            </w:r>
            <w:proofErr w:type="spellStart"/>
            <w:r w:rsidRPr="00827314">
              <w:rPr>
                <w:b/>
                <w:bCs/>
                <w:sz w:val="16"/>
                <w:szCs w:val="16"/>
              </w:rPr>
              <w:t>Presup</w:t>
            </w:r>
            <w:proofErr w:type="spellEnd"/>
            <w:r w:rsidRPr="00827314">
              <w:rPr>
                <w:b/>
                <w:bCs/>
                <w:sz w:val="16"/>
                <w:szCs w:val="16"/>
              </w:rPr>
              <w:t xml:space="preserve">. por </w:t>
            </w:r>
            <w:proofErr w:type="spellStart"/>
            <w:r w:rsidRPr="00827314">
              <w:rPr>
                <w:b/>
                <w:bCs/>
                <w:sz w:val="16"/>
                <w:szCs w:val="16"/>
              </w:rPr>
              <w:t>prog</w:t>
            </w:r>
            <w:proofErr w:type="spellEnd"/>
            <w:r w:rsidRPr="00827314">
              <w:rPr>
                <w:b/>
                <w:bCs/>
                <w:sz w:val="16"/>
                <w:szCs w:val="16"/>
              </w:rPr>
              <w:t>. 2012/13)</w:t>
            </w:r>
          </w:p>
        </w:tc>
        <w:tc>
          <w:tcPr>
            <w:tcW w:w="909" w:type="pct"/>
            <w:tcBorders>
              <w:top w:val="single" w:sz="4" w:space="0" w:color="auto"/>
            </w:tcBorders>
            <w:shd w:val="clear" w:color="auto" w:fill="auto"/>
            <w:tcMar>
              <w:top w:w="110" w:type="dxa"/>
            </w:tcMar>
            <w:vAlign w:val="center"/>
          </w:tcPr>
          <w:p w:rsidR="00B070BF" w:rsidRPr="00827314" w:rsidRDefault="00B070BF" w:rsidP="00C33D4A">
            <w:pPr>
              <w:widowControl w:val="0"/>
              <w:spacing w:after="120"/>
              <w:rPr>
                <w:b/>
                <w:sz w:val="16"/>
                <w:szCs w:val="16"/>
              </w:rPr>
            </w:pPr>
            <w:r w:rsidRPr="00BF138D">
              <w:rPr>
                <w:b/>
                <w:color w:val="993300"/>
                <w:sz w:val="16"/>
                <w:szCs w:val="16"/>
              </w:rPr>
              <w:t>Referencia actualizada a finales de 2011</w:t>
            </w:r>
            <w:r w:rsidRPr="00827314">
              <w:rPr>
                <w:b/>
                <w:sz w:val="16"/>
                <w:szCs w:val="16"/>
              </w:rPr>
              <w:t xml:space="preserve"> </w:t>
            </w:r>
          </w:p>
        </w:tc>
        <w:tc>
          <w:tcPr>
            <w:tcW w:w="1841" w:type="pct"/>
            <w:tcBorders>
              <w:top w:val="single" w:sz="4" w:space="0" w:color="auto"/>
            </w:tcBorders>
            <w:shd w:val="clear" w:color="auto" w:fill="FFFFFF"/>
            <w:tcMar>
              <w:top w:w="110" w:type="dxa"/>
            </w:tcMar>
            <w:vAlign w:val="center"/>
          </w:tcPr>
          <w:p w:rsidR="00B070BF" w:rsidRPr="00827314" w:rsidRDefault="00B070BF" w:rsidP="00C33D4A">
            <w:pPr>
              <w:widowControl w:val="0"/>
              <w:spacing w:after="120"/>
              <w:rPr>
                <w:sz w:val="16"/>
                <w:szCs w:val="16"/>
              </w:rPr>
            </w:pPr>
            <w:r w:rsidRPr="00827314">
              <w:rPr>
                <w:b/>
                <w:bCs/>
                <w:sz w:val="16"/>
                <w:szCs w:val="16"/>
              </w:rPr>
              <w:t>Datos sobre el rendimiento</w:t>
            </w:r>
          </w:p>
        </w:tc>
        <w:tc>
          <w:tcPr>
            <w:tcW w:w="551" w:type="pct"/>
            <w:tcBorders>
              <w:top w:val="single" w:sz="4" w:space="0" w:color="auto"/>
            </w:tcBorders>
            <w:shd w:val="clear" w:color="auto" w:fill="auto"/>
            <w:tcMar>
              <w:top w:w="110" w:type="dxa"/>
            </w:tcMar>
            <w:vAlign w:val="center"/>
          </w:tcPr>
          <w:p w:rsidR="00B070BF" w:rsidRPr="00827314" w:rsidRDefault="00B070BF" w:rsidP="00C33D4A">
            <w:pPr>
              <w:widowControl w:val="0"/>
              <w:spacing w:after="120"/>
              <w:jc w:val="center"/>
              <w:rPr>
                <w:b/>
                <w:bCs/>
                <w:sz w:val="16"/>
                <w:szCs w:val="16"/>
              </w:rPr>
            </w:pPr>
            <w:r w:rsidRPr="00827314">
              <w:rPr>
                <w:b/>
                <w:bCs/>
                <w:sz w:val="16"/>
                <w:szCs w:val="16"/>
              </w:rPr>
              <w:t>Clave de colores</w:t>
            </w:r>
          </w:p>
        </w:tc>
      </w:tr>
      <w:tr w:rsidR="00B070BF" w:rsidRPr="00827314" w:rsidTr="00C33D4A">
        <w:trPr>
          <w:cantSplit/>
        </w:trPr>
        <w:tc>
          <w:tcPr>
            <w:tcW w:w="902" w:type="pct"/>
            <w:shd w:val="clear" w:color="auto" w:fill="FFFFFF"/>
          </w:tcPr>
          <w:p w:rsidR="00B070BF" w:rsidRPr="00827314" w:rsidRDefault="00B070BF" w:rsidP="00C33D4A">
            <w:pPr>
              <w:widowControl w:val="0"/>
              <w:rPr>
                <w:sz w:val="16"/>
                <w:szCs w:val="16"/>
              </w:rPr>
            </w:pPr>
            <w:r w:rsidRPr="00827314">
              <w:rPr>
                <w:sz w:val="16"/>
                <w:szCs w:val="16"/>
              </w:rPr>
              <w:t>Media de tiempo de tramitación de nuevas solicitudes sin irregularidades (sistema de Madrid).</w:t>
            </w:r>
          </w:p>
        </w:tc>
        <w:tc>
          <w:tcPr>
            <w:tcW w:w="798" w:type="pct"/>
            <w:shd w:val="clear" w:color="auto" w:fill="C0C0C0"/>
          </w:tcPr>
          <w:p w:rsidR="00B070BF" w:rsidRPr="00827314" w:rsidRDefault="00B070BF" w:rsidP="00C33D4A">
            <w:pPr>
              <w:widowControl w:val="0"/>
              <w:rPr>
                <w:sz w:val="16"/>
                <w:szCs w:val="16"/>
              </w:rPr>
            </w:pPr>
            <w:r w:rsidRPr="00827314">
              <w:rPr>
                <w:sz w:val="16"/>
                <w:szCs w:val="16"/>
              </w:rPr>
              <w:t>24 días (fines de 2010).</w:t>
            </w:r>
          </w:p>
        </w:tc>
        <w:tc>
          <w:tcPr>
            <w:tcW w:w="909" w:type="pct"/>
            <w:shd w:val="clear" w:color="auto" w:fill="auto"/>
            <w:tcMar>
              <w:top w:w="110" w:type="dxa"/>
            </w:tcMar>
          </w:tcPr>
          <w:p w:rsidR="00B070BF" w:rsidRPr="00793D61" w:rsidRDefault="00B070BF" w:rsidP="00C33D4A">
            <w:pPr>
              <w:widowControl w:val="0"/>
              <w:rPr>
                <w:color w:val="943634"/>
                <w:sz w:val="16"/>
                <w:szCs w:val="16"/>
              </w:rPr>
            </w:pPr>
            <w:r w:rsidRPr="00793D61">
              <w:rPr>
                <w:color w:val="943634"/>
                <w:sz w:val="16"/>
                <w:szCs w:val="16"/>
              </w:rPr>
              <w:t>25 días (fines de 2011).</w:t>
            </w:r>
          </w:p>
          <w:p w:rsidR="00B070BF" w:rsidRPr="00827314" w:rsidRDefault="00B070BF" w:rsidP="00C33D4A">
            <w:pPr>
              <w:widowControl w:val="0"/>
              <w:rPr>
                <w:sz w:val="16"/>
                <w:szCs w:val="16"/>
                <w:lang w:bidi="th-TH"/>
              </w:rPr>
            </w:pPr>
          </w:p>
        </w:tc>
        <w:tc>
          <w:tcPr>
            <w:tcW w:w="1841" w:type="pct"/>
            <w:shd w:val="clear" w:color="auto" w:fill="FFFFFF"/>
            <w:tcMar>
              <w:top w:w="110" w:type="dxa"/>
            </w:tcMar>
          </w:tcPr>
          <w:p w:rsidR="00B070BF" w:rsidRPr="00827314" w:rsidRDefault="00B070BF" w:rsidP="00C33D4A">
            <w:pPr>
              <w:widowControl w:val="0"/>
              <w:rPr>
                <w:sz w:val="16"/>
                <w:szCs w:val="16"/>
                <w:lang w:bidi="th-TH"/>
              </w:rPr>
            </w:pPr>
            <w:r w:rsidRPr="00827314">
              <w:rPr>
                <w:sz w:val="16"/>
                <w:szCs w:val="16"/>
                <w:lang w:bidi="th-TH"/>
              </w:rPr>
              <w:t>34 días (fines de 2012).</w:t>
            </w:r>
          </w:p>
          <w:p w:rsidR="00B070BF" w:rsidRPr="00827314" w:rsidRDefault="00B070BF" w:rsidP="00C33D4A">
            <w:pPr>
              <w:widowControl w:val="0"/>
              <w:rPr>
                <w:sz w:val="16"/>
                <w:szCs w:val="16"/>
                <w:lang w:bidi="th-TH"/>
              </w:rPr>
            </w:pPr>
          </w:p>
          <w:p w:rsidR="00B070BF" w:rsidRPr="00827314" w:rsidRDefault="00B070BF" w:rsidP="00C33D4A">
            <w:pPr>
              <w:widowControl w:val="0"/>
              <w:rPr>
                <w:sz w:val="16"/>
                <w:szCs w:val="16"/>
                <w:lang w:bidi="th-TH"/>
              </w:rPr>
            </w:pPr>
          </w:p>
          <w:p w:rsidR="00B070BF" w:rsidRPr="00827314" w:rsidRDefault="00B070BF" w:rsidP="00C33D4A">
            <w:pPr>
              <w:widowControl w:val="0"/>
              <w:rPr>
                <w:sz w:val="16"/>
                <w:szCs w:val="16"/>
                <w:lang w:bidi="th-TH"/>
              </w:rPr>
            </w:pPr>
          </w:p>
          <w:p w:rsidR="00B070BF" w:rsidRPr="00827314" w:rsidRDefault="00B070BF" w:rsidP="00C33D4A">
            <w:pPr>
              <w:widowControl w:val="0"/>
              <w:rPr>
                <w:sz w:val="16"/>
                <w:szCs w:val="16"/>
                <w:lang w:bidi="th-TH"/>
              </w:rPr>
            </w:pPr>
          </w:p>
          <w:p w:rsidR="00B070BF" w:rsidRPr="00827314" w:rsidRDefault="00B070BF" w:rsidP="00C33D4A">
            <w:pPr>
              <w:widowControl w:val="0"/>
              <w:rPr>
                <w:sz w:val="16"/>
                <w:szCs w:val="16"/>
                <w:lang w:bidi="th-TH"/>
              </w:rPr>
            </w:pPr>
          </w:p>
        </w:tc>
        <w:tc>
          <w:tcPr>
            <w:tcW w:w="551" w:type="pct"/>
            <w:shd w:val="clear" w:color="auto" w:fill="auto"/>
            <w:tcMar>
              <w:top w:w="110" w:type="dxa"/>
            </w:tcMar>
          </w:tcPr>
          <w:p w:rsidR="00B070BF" w:rsidRPr="00827314" w:rsidRDefault="00B070BF" w:rsidP="00C33D4A">
            <w:pPr>
              <w:widowControl w:val="0"/>
              <w:jc w:val="center"/>
              <w:rPr>
                <w:b/>
                <w:bCs/>
                <w:sz w:val="16"/>
                <w:szCs w:val="16"/>
              </w:rPr>
            </w:pPr>
            <w:r w:rsidRPr="009577DE">
              <w:rPr>
                <w:b/>
                <w:bCs/>
                <w:color w:val="FF0000"/>
                <w:sz w:val="16"/>
                <w:szCs w:val="16"/>
              </w:rPr>
              <w:t>Sin avances significativos</w:t>
            </w:r>
          </w:p>
          <w:p w:rsidR="00B070BF" w:rsidRPr="00827314" w:rsidRDefault="00B070BF" w:rsidP="00C33D4A">
            <w:pPr>
              <w:widowControl w:val="0"/>
              <w:jc w:val="center"/>
              <w:rPr>
                <w:b/>
                <w:bCs/>
                <w:sz w:val="16"/>
                <w:szCs w:val="16"/>
              </w:rPr>
            </w:pPr>
          </w:p>
          <w:p w:rsidR="00B070BF" w:rsidRPr="00827314" w:rsidRDefault="00B070BF" w:rsidP="00C33D4A">
            <w:pPr>
              <w:widowControl w:val="0"/>
              <w:jc w:val="center"/>
              <w:rPr>
                <w:b/>
                <w:bCs/>
                <w:sz w:val="16"/>
                <w:szCs w:val="16"/>
              </w:rPr>
            </w:pPr>
            <w:r w:rsidRPr="00827314">
              <w:rPr>
                <w:b/>
                <w:bCs/>
                <w:sz w:val="16"/>
                <w:szCs w:val="16"/>
              </w:rPr>
              <w:br/>
            </w:r>
          </w:p>
        </w:tc>
      </w:tr>
      <w:tr w:rsidR="00B070BF" w:rsidRPr="00827314" w:rsidTr="00C33D4A">
        <w:trPr>
          <w:cantSplit/>
        </w:trPr>
        <w:tc>
          <w:tcPr>
            <w:tcW w:w="902" w:type="pct"/>
            <w:shd w:val="clear" w:color="auto" w:fill="auto"/>
          </w:tcPr>
          <w:p w:rsidR="00B070BF" w:rsidRPr="00827314" w:rsidRDefault="00B070BF" w:rsidP="00C33D4A">
            <w:pPr>
              <w:widowControl w:val="0"/>
              <w:rPr>
                <w:sz w:val="16"/>
                <w:szCs w:val="16"/>
              </w:rPr>
            </w:pPr>
            <w:r w:rsidRPr="00827314">
              <w:rPr>
                <w:sz w:val="16"/>
                <w:szCs w:val="16"/>
              </w:rPr>
              <w:t>Número de oficinas que envían solicitudes en formato XML y reciben designaciones en formato XML (sistema de Madrid).</w:t>
            </w:r>
          </w:p>
        </w:tc>
        <w:tc>
          <w:tcPr>
            <w:tcW w:w="798" w:type="pct"/>
            <w:shd w:val="clear" w:color="auto" w:fill="B3B3B3"/>
          </w:tcPr>
          <w:p w:rsidR="00B070BF" w:rsidRPr="00827314" w:rsidRDefault="00B070BF" w:rsidP="00C33D4A">
            <w:pPr>
              <w:widowControl w:val="0"/>
              <w:rPr>
                <w:sz w:val="16"/>
                <w:szCs w:val="16"/>
              </w:rPr>
            </w:pPr>
            <w:r w:rsidRPr="00827314">
              <w:rPr>
                <w:sz w:val="16"/>
                <w:szCs w:val="16"/>
              </w:rPr>
              <w:t>Cinco oficinas.</w:t>
            </w:r>
          </w:p>
        </w:tc>
        <w:tc>
          <w:tcPr>
            <w:tcW w:w="909" w:type="pct"/>
            <w:shd w:val="clear" w:color="auto" w:fill="auto"/>
            <w:tcMar>
              <w:top w:w="110" w:type="dxa"/>
            </w:tcMar>
          </w:tcPr>
          <w:p w:rsidR="00B070BF" w:rsidRPr="00827314" w:rsidRDefault="00B070BF" w:rsidP="00C33D4A">
            <w:pPr>
              <w:widowControl w:val="0"/>
              <w:rPr>
                <w:sz w:val="16"/>
                <w:szCs w:val="16"/>
                <w:lang w:bidi="th-TH"/>
              </w:rPr>
            </w:pPr>
          </w:p>
        </w:tc>
        <w:tc>
          <w:tcPr>
            <w:tcW w:w="1841" w:type="pct"/>
            <w:shd w:val="clear" w:color="auto" w:fill="FFFFFF"/>
            <w:tcMar>
              <w:top w:w="110" w:type="dxa"/>
            </w:tcMar>
          </w:tcPr>
          <w:p w:rsidR="00B070BF" w:rsidRPr="00827314" w:rsidRDefault="00B070BF" w:rsidP="00C33D4A">
            <w:pPr>
              <w:widowControl w:val="0"/>
              <w:rPr>
                <w:sz w:val="16"/>
                <w:szCs w:val="16"/>
                <w:lang w:bidi="th-TH"/>
              </w:rPr>
            </w:pPr>
            <w:r w:rsidRPr="00827314">
              <w:rPr>
                <w:sz w:val="16"/>
                <w:szCs w:val="16"/>
              </w:rPr>
              <w:t>10 oficinas (a finales de 2012)</w:t>
            </w:r>
          </w:p>
        </w:tc>
        <w:tc>
          <w:tcPr>
            <w:tcW w:w="551" w:type="pct"/>
            <w:shd w:val="clear" w:color="auto" w:fill="auto"/>
          </w:tcPr>
          <w:p w:rsidR="00B070BF" w:rsidRPr="00827314" w:rsidRDefault="00B070BF" w:rsidP="00C33D4A">
            <w:pPr>
              <w:widowControl w:val="0"/>
              <w:jc w:val="center"/>
              <w:rPr>
                <w:bCs/>
                <w:sz w:val="16"/>
                <w:szCs w:val="16"/>
              </w:rPr>
            </w:pPr>
            <w:r w:rsidRPr="009577DE">
              <w:rPr>
                <w:b/>
                <w:bCs/>
                <w:color w:val="008000"/>
                <w:sz w:val="16"/>
                <w:szCs w:val="16"/>
              </w:rPr>
              <w:t>Progresa con normalidad</w:t>
            </w:r>
          </w:p>
          <w:p w:rsidR="00B070BF" w:rsidRPr="00827314" w:rsidRDefault="00B070BF" w:rsidP="00C33D4A">
            <w:pPr>
              <w:widowControl w:val="0"/>
              <w:jc w:val="center"/>
              <w:rPr>
                <w:bCs/>
                <w:sz w:val="16"/>
                <w:szCs w:val="16"/>
              </w:rPr>
            </w:pPr>
          </w:p>
          <w:p w:rsidR="00B070BF" w:rsidRPr="00827314" w:rsidRDefault="00B070BF" w:rsidP="00C33D4A">
            <w:pPr>
              <w:widowControl w:val="0"/>
              <w:jc w:val="center"/>
              <w:rPr>
                <w:bCs/>
                <w:sz w:val="16"/>
                <w:szCs w:val="16"/>
              </w:rPr>
            </w:pPr>
            <w:r w:rsidRPr="00827314">
              <w:rPr>
                <w:bCs/>
                <w:sz w:val="16"/>
                <w:szCs w:val="16"/>
              </w:rPr>
              <w:br/>
            </w:r>
            <w:r w:rsidRPr="00827314">
              <w:rPr>
                <w:bCs/>
                <w:sz w:val="16"/>
                <w:szCs w:val="16"/>
              </w:rPr>
              <w:br/>
            </w:r>
          </w:p>
        </w:tc>
      </w:tr>
      <w:tr w:rsidR="00B070BF" w:rsidRPr="00827314" w:rsidTr="00C33D4A">
        <w:trPr>
          <w:cantSplit/>
        </w:trPr>
        <w:tc>
          <w:tcPr>
            <w:tcW w:w="902" w:type="pct"/>
            <w:shd w:val="clear" w:color="auto" w:fill="FFFFFF"/>
          </w:tcPr>
          <w:p w:rsidR="00B070BF" w:rsidRPr="00827314" w:rsidRDefault="00B070BF" w:rsidP="00C33D4A">
            <w:pPr>
              <w:widowControl w:val="0"/>
              <w:rPr>
                <w:sz w:val="16"/>
                <w:szCs w:val="16"/>
              </w:rPr>
            </w:pPr>
            <w:r w:rsidRPr="00827314">
              <w:rPr>
                <w:sz w:val="16"/>
                <w:szCs w:val="16"/>
              </w:rPr>
              <w:t>Porcentaje de documentos recibidos en formato electrónico (sistema de Madrid).</w:t>
            </w:r>
          </w:p>
        </w:tc>
        <w:tc>
          <w:tcPr>
            <w:tcW w:w="798" w:type="pct"/>
            <w:shd w:val="clear" w:color="auto" w:fill="C0C0C0"/>
          </w:tcPr>
          <w:p w:rsidR="00B070BF" w:rsidRPr="00827314" w:rsidRDefault="00B070BF" w:rsidP="00C33D4A">
            <w:pPr>
              <w:widowControl w:val="0"/>
              <w:rPr>
                <w:sz w:val="16"/>
                <w:szCs w:val="16"/>
              </w:rPr>
            </w:pPr>
            <w:r w:rsidRPr="00827314">
              <w:rPr>
                <w:sz w:val="16"/>
                <w:szCs w:val="16"/>
              </w:rPr>
              <w:t>46%</w:t>
            </w:r>
          </w:p>
        </w:tc>
        <w:tc>
          <w:tcPr>
            <w:tcW w:w="909" w:type="pct"/>
            <w:shd w:val="clear" w:color="auto" w:fill="auto"/>
            <w:tcMar>
              <w:top w:w="110" w:type="dxa"/>
            </w:tcMar>
          </w:tcPr>
          <w:p w:rsidR="00B070BF" w:rsidRPr="00827314" w:rsidRDefault="00B070BF" w:rsidP="00C33D4A">
            <w:pPr>
              <w:widowControl w:val="0"/>
              <w:rPr>
                <w:sz w:val="16"/>
                <w:szCs w:val="16"/>
                <w:lang w:bidi="th-TH"/>
              </w:rPr>
            </w:pPr>
          </w:p>
        </w:tc>
        <w:tc>
          <w:tcPr>
            <w:tcW w:w="1841" w:type="pct"/>
            <w:shd w:val="clear" w:color="auto" w:fill="FFFFFF"/>
            <w:tcMar>
              <w:top w:w="110" w:type="dxa"/>
            </w:tcMar>
          </w:tcPr>
          <w:p w:rsidR="00B070BF" w:rsidRPr="00827314" w:rsidRDefault="00B070BF" w:rsidP="00C33D4A">
            <w:pPr>
              <w:widowControl w:val="0"/>
              <w:rPr>
                <w:sz w:val="16"/>
                <w:szCs w:val="16"/>
                <w:lang w:bidi="th-TH"/>
              </w:rPr>
            </w:pPr>
            <w:r w:rsidRPr="00827314">
              <w:rPr>
                <w:sz w:val="16"/>
                <w:szCs w:val="16"/>
              </w:rPr>
              <w:t>65%</w:t>
            </w:r>
          </w:p>
          <w:p w:rsidR="00B070BF" w:rsidRPr="00827314" w:rsidRDefault="00B070BF" w:rsidP="00C33D4A">
            <w:pPr>
              <w:widowControl w:val="0"/>
              <w:rPr>
                <w:sz w:val="16"/>
                <w:szCs w:val="16"/>
                <w:lang w:bidi="th-TH"/>
              </w:rPr>
            </w:pPr>
          </w:p>
          <w:p w:rsidR="00B070BF" w:rsidRPr="00827314" w:rsidRDefault="00B070BF" w:rsidP="00C33D4A">
            <w:pPr>
              <w:widowControl w:val="0"/>
              <w:rPr>
                <w:sz w:val="16"/>
                <w:szCs w:val="16"/>
                <w:lang w:bidi="th-TH"/>
              </w:rPr>
            </w:pPr>
          </w:p>
          <w:p w:rsidR="00B070BF" w:rsidRPr="00827314" w:rsidRDefault="00B070BF" w:rsidP="00C33D4A">
            <w:pPr>
              <w:widowControl w:val="0"/>
              <w:rPr>
                <w:sz w:val="16"/>
                <w:szCs w:val="16"/>
                <w:lang w:bidi="th-TH"/>
              </w:rPr>
            </w:pPr>
          </w:p>
          <w:p w:rsidR="00B070BF" w:rsidRPr="00827314" w:rsidRDefault="00B070BF" w:rsidP="00C33D4A">
            <w:pPr>
              <w:widowControl w:val="0"/>
              <w:rPr>
                <w:sz w:val="16"/>
                <w:szCs w:val="16"/>
                <w:lang w:bidi="th-TH"/>
              </w:rPr>
            </w:pPr>
          </w:p>
        </w:tc>
        <w:tc>
          <w:tcPr>
            <w:tcW w:w="551" w:type="pct"/>
            <w:shd w:val="clear" w:color="auto" w:fill="auto"/>
            <w:tcMar>
              <w:top w:w="110" w:type="dxa"/>
            </w:tcMar>
          </w:tcPr>
          <w:p w:rsidR="00B070BF" w:rsidRPr="00827314" w:rsidRDefault="00B070BF" w:rsidP="00C33D4A">
            <w:pPr>
              <w:widowControl w:val="0"/>
              <w:jc w:val="center"/>
              <w:rPr>
                <w:b/>
                <w:bCs/>
                <w:sz w:val="16"/>
                <w:szCs w:val="16"/>
              </w:rPr>
            </w:pPr>
            <w:r w:rsidRPr="009577DE">
              <w:rPr>
                <w:b/>
                <w:bCs/>
                <w:color w:val="008000"/>
                <w:sz w:val="16"/>
                <w:szCs w:val="16"/>
              </w:rPr>
              <w:t>Progresa con normalidad</w:t>
            </w:r>
          </w:p>
          <w:p w:rsidR="00B070BF" w:rsidRPr="00827314" w:rsidRDefault="00B070BF" w:rsidP="00C33D4A">
            <w:pPr>
              <w:widowControl w:val="0"/>
              <w:jc w:val="center"/>
              <w:rPr>
                <w:bCs/>
                <w:sz w:val="16"/>
                <w:szCs w:val="16"/>
              </w:rPr>
            </w:pPr>
          </w:p>
          <w:p w:rsidR="00B070BF" w:rsidRPr="00827314" w:rsidRDefault="00B070BF" w:rsidP="00C33D4A">
            <w:pPr>
              <w:widowControl w:val="0"/>
              <w:jc w:val="center"/>
              <w:rPr>
                <w:bCs/>
                <w:sz w:val="16"/>
                <w:szCs w:val="16"/>
              </w:rPr>
            </w:pPr>
            <w:r w:rsidRPr="00827314">
              <w:rPr>
                <w:bCs/>
                <w:sz w:val="16"/>
                <w:szCs w:val="16"/>
              </w:rPr>
              <w:br/>
            </w:r>
            <w:r w:rsidRPr="00827314">
              <w:rPr>
                <w:bCs/>
                <w:sz w:val="16"/>
                <w:szCs w:val="16"/>
              </w:rPr>
              <w:br/>
            </w:r>
          </w:p>
        </w:tc>
      </w:tr>
      <w:tr w:rsidR="00B070BF" w:rsidRPr="00827314" w:rsidTr="00C33D4A">
        <w:trPr>
          <w:cantSplit/>
        </w:trPr>
        <w:tc>
          <w:tcPr>
            <w:tcW w:w="902" w:type="pct"/>
            <w:shd w:val="clear" w:color="auto" w:fill="auto"/>
          </w:tcPr>
          <w:p w:rsidR="00B070BF" w:rsidRPr="00827314" w:rsidRDefault="00B070BF" w:rsidP="00C33D4A">
            <w:pPr>
              <w:widowControl w:val="0"/>
              <w:rPr>
                <w:sz w:val="16"/>
                <w:szCs w:val="16"/>
              </w:rPr>
            </w:pPr>
            <w:r w:rsidRPr="00827314">
              <w:rPr>
                <w:sz w:val="16"/>
                <w:szCs w:val="16"/>
              </w:rPr>
              <w:t>Número de clientes que reciben notificaciones por correo-e (sistema de Madrid).</w:t>
            </w:r>
          </w:p>
          <w:p w:rsidR="00B070BF" w:rsidRPr="00827314" w:rsidRDefault="00B070BF" w:rsidP="00C33D4A">
            <w:pPr>
              <w:widowControl w:val="0"/>
              <w:rPr>
                <w:sz w:val="16"/>
                <w:szCs w:val="16"/>
              </w:rPr>
            </w:pPr>
          </w:p>
        </w:tc>
        <w:tc>
          <w:tcPr>
            <w:tcW w:w="798" w:type="pct"/>
            <w:shd w:val="clear" w:color="auto" w:fill="B3B3B3"/>
          </w:tcPr>
          <w:p w:rsidR="00B070BF" w:rsidRPr="00827314" w:rsidRDefault="00B070BF" w:rsidP="00C33D4A">
            <w:pPr>
              <w:widowControl w:val="0"/>
              <w:rPr>
                <w:sz w:val="16"/>
                <w:szCs w:val="16"/>
              </w:rPr>
            </w:pPr>
            <w:r w:rsidRPr="00827314">
              <w:rPr>
                <w:sz w:val="16"/>
                <w:szCs w:val="16"/>
              </w:rPr>
              <w:t>23.800</w:t>
            </w:r>
          </w:p>
        </w:tc>
        <w:tc>
          <w:tcPr>
            <w:tcW w:w="909" w:type="pct"/>
            <w:shd w:val="clear" w:color="auto" w:fill="auto"/>
            <w:tcMar>
              <w:top w:w="110" w:type="dxa"/>
            </w:tcMar>
          </w:tcPr>
          <w:p w:rsidR="00B070BF" w:rsidRPr="00827314" w:rsidRDefault="00B070BF" w:rsidP="00C33D4A">
            <w:pPr>
              <w:widowControl w:val="0"/>
              <w:rPr>
                <w:sz w:val="16"/>
                <w:szCs w:val="16"/>
                <w:lang w:bidi="th-TH"/>
              </w:rPr>
            </w:pPr>
          </w:p>
        </w:tc>
        <w:tc>
          <w:tcPr>
            <w:tcW w:w="1841" w:type="pct"/>
            <w:shd w:val="clear" w:color="auto" w:fill="FFFFFF"/>
            <w:tcMar>
              <w:top w:w="110" w:type="dxa"/>
            </w:tcMar>
          </w:tcPr>
          <w:p w:rsidR="00B070BF" w:rsidRPr="00827314" w:rsidRDefault="00B070BF" w:rsidP="00C33D4A">
            <w:pPr>
              <w:widowControl w:val="0"/>
              <w:rPr>
                <w:sz w:val="16"/>
                <w:szCs w:val="16"/>
                <w:lang w:bidi="th-TH"/>
              </w:rPr>
            </w:pPr>
            <w:r w:rsidRPr="00827314">
              <w:rPr>
                <w:sz w:val="16"/>
                <w:szCs w:val="16"/>
              </w:rPr>
              <w:t>50.000 (2012)</w:t>
            </w:r>
          </w:p>
        </w:tc>
        <w:tc>
          <w:tcPr>
            <w:tcW w:w="551" w:type="pct"/>
            <w:shd w:val="clear" w:color="auto" w:fill="auto"/>
          </w:tcPr>
          <w:p w:rsidR="00B070BF" w:rsidRPr="00827314" w:rsidRDefault="00B070BF" w:rsidP="00C33D4A">
            <w:pPr>
              <w:widowControl w:val="0"/>
              <w:jc w:val="center"/>
              <w:rPr>
                <w:b/>
                <w:bCs/>
                <w:sz w:val="16"/>
                <w:szCs w:val="16"/>
              </w:rPr>
            </w:pPr>
            <w:r w:rsidRPr="009577DE">
              <w:rPr>
                <w:b/>
                <w:bCs/>
                <w:color w:val="008000"/>
                <w:sz w:val="16"/>
                <w:szCs w:val="16"/>
              </w:rPr>
              <w:t>Progresa con normalidad</w:t>
            </w:r>
          </w:p>
          <w:p w:rsidR="00B070BF" w:rsidRPr="00827314" w:rsidRDefault="00B070BF" w:rsidP="00C33D4A">
            <w:pPr>
              <w:widowControl w:val="0"/>
              <w:jc w:val="center"/>
              <w:rPr>
                <w:bCs/>
                <w:sz w:val="16"/>
                <w:szCs w:val="16"/>
              </w:rPr>
            </w:pPr>
          </w:p>
          <w:p w:rsidR="00B070BF" w:rsidRPr="00827314" w:rsidRDefault="00B070BF" w:rsidP="00C33D4A">
            <w:pPr>
              <w:widowControl w:val="0"/>
              <w:jc w:val="center"/>
              <w:rPr>
                <w:bCs/>
                <w:sz w:val="16"/>
                <w:szCs w:val="16"/>
              </w:rPr>
            </w:pPr>
          </w:p>
        </w:tc>
      </w:tr>
      <w:tr w:rsidR="00B070BF" w:rsidRPr="00827314" w:rsidTr="00C33D4A">
        <w:trPr>
          <w:cantSplit/>
        </w:trPr>
        <w:tc>
          <w:tcPr>
            <w:tcW w:w="902" w:type="pct"/>
            <w:shd w:val="clear" w:color="auto" w:fill="auto"/>
          </w:tcPr>
          <w:p w:rsidR="00B070BF" w:rsidRPr="00827314" w:rsidRDefault="00B070BF" w:rsidP="00C33D4A">
            <w:pPr>
              <w:widowControl w:val="0"/>
              <w:rPr>
                <w:sz w:val="16"/>
                <w:szCs w:val="16"/>
              </w:rPr>
            </w:pPr>
            <w:r w:rsidRPr="00827314">
              <w:rPr>
                <w:sz w:val="16"/>
                <w:szCs w:val="16"/>
              </w:rPr>
              <w:t xml:space="preserve">Número de clientes que utilizan el </w:t>
            </w:r>
            <w:r w:rsidRPr="00827314">
              <w:rPr>
                <w:i/>
                <w:sz w:val="16"/>
                <w:szCs w:val="16"/>
              </w:rPr>
              <w:t>Portfolio</w:t>
            </w:r>
            <w:r w:rsidRPr="00827314">
              <w:rPr>
                <w:sz w:val="16"/>
                <w:szCs w:val="16"/>
              </w:rPr>
              <w:t xml:space="preserve"> </w:t>
            </w:r>
            <w:r w:rsidRPr="00827314">
              <w:rPr>
                <w:i/>
                <w:sz w:val="16"/>
                <w:szCs w:val="16"/>
              </w:rPr>
              <w:t>Manager</w:t>
            </w:r>
            <w:r w:rsidRPr="00827314">
              <w:rPr>
                <w:sz w:val="16"/>
                <w:szCs w:val="16"/>
              </w:rPr>
              <w:t xml:space="preserve"> (sistema de Madrid).</w:t>
            </w:r>
          </w:p>
        </w:tc>
        <w:tc>
          <w:tcPr>
            <w:tcW w:w="798" w:type="pct"/>
            <w:shd w:val="clear" w:color="auto" w:fill="B3B3B3"/>
          </w:tcPr>
          <w:p w:rsidR="00B070BF" w:rsidRPr="00827314" w:rsidRDefault="00B070BF" w:rsidP="00C33D4A">
            <w:pPr>
              <w:widowControl w:val="0"/>
              <w:rPr>
                <w:sz w:val="16"/>
                <w:szCs w:val="16"/>
              </w:rPr>
            </w:pPr>
            <w:r w:rsidRPr="00827314">
              <w:rPr>
                <w:sz w:val="16"/>
                <w:szCs w:val="16"/>
              </w:rPr>
              <w:t>Ninguno.</w:t>
            </w:r>
          </w:p>
        </w:tc>
        <w:tc>
          <w:tcPr>
            <w:tcW w:w="909" w:type="pct"/>
            <w:shd w:val="clear" w:color="auto" w:fill="auto"/>
            <w:tcMar>
              <w:top w:w="110" w:type="dxa"/>
            </w:tcMar>
          </w:tcPr>
          <w:p w:rsidR="00B070BF" w:rsidRPr="00827314" w:rsidRDefault="00B070BF" w:rsidP="00C33D4A">
            <w:pPr>
              <w:widowControl w:val="0"/>
              <w:rPr>
                <w:sz w:val="16"/>
                <w:szCs w:val="16"/>
                <w:lang w:bidi="th-TH"/>
              </w:rPr>
            </w:pPr>
          </w:p>
        </w:tc>
        <w:tc>
          <w:tcPr>
            <w:tcW w:w="1841" w:type="pct"/>
            <w:shd w:val="clear" w:color="auto" w:fill="FFFFFF"/>
            <w:tcMar>
              <w:top w:w="110" w:type="dxa"/>
            </w:tcMar>
          </w:tcPr>
          <w:p w:rsidR="00B070BF" w:rsidRPr="00827314" w:rsidRDefault="00B070BF" w:rsidP="00C33D4A">
            <w:pPr>
              <w:widowControl w:val="0"/>
              <w:rPr>
                <w:sz w:val="16"/>
                <w:szCs w:val="16"/>
                <w:lang w:bidi="th-TH"/>
              </w:rPr>
            </w:pPr>
            <w:r w:rsidRPr="00827314">
              <w:rPr>
                <w:sz w:val="16"/>
                <w:szCs w:val="16"/>
              </w:rPr>
              <w:t>400 (2012)</w:t>
            </w:r>
          </w:p>
        </w:tc>
        <w:tc>
          <w:tcPr>
            <w:tcW w:w="551" w:type="pct"/>
            <w:shd w:val="clear" w:color="auto" w:fill="auto"/>
            <w:tcMar>
              <w:top w:w="110" w:type="dxa"/>
            </w:tcMar>
            <w:vAlign w:val="center"/>
          </w:tcPr>
          <w:p w:rsidR="00B070BF" w:rsidRPr="00827314" w:rsidRDefault="00B070BF" w:rsidP="00C33D4A">
            <w:pPr>
              <w:widowControl w:val="0"/>
              <w:jc w:val="center"/>
              <w:rPr>
                <w:b/>
                <w:bCs/>
                <w:sz w:val="16"/>
                <w:szCs w:val="16"/>
              </w:rPr>
            </w:pPr>
            <w:r w:rsidRPr="009577DE">
              <w:rPr>
                <w:b/>
                <w:bCs/>
                <w:color w:val="008000"/>
                <w:sz w:val="16"/>
                <w:szCs w:val="16"/>
              </w:rPr>
              <w:t>Progresa con normalidad</w:t>
            </w:r>
          </w:p>
          <w:p w:rsidR="00B070BF" w:rsidRPr="00827314" w:rsidRDefault="00B070BF" w:rsidP="00C33D4A">
            <w:pPr>
              <w:widowControl w:val="0"/>
              <w:jc w:val="center"/>
              <w:rPr>
                <w:bCs/>
                <w:sz w:val="16"/>
                <w:szCs w:val="16"/>
              </w:rPr>
            </w:pPr>
          </w:p>
          <w:p w:rsidR="00B070BF" w:rsidRPr="00827314" w:rsidRDefault="00B070BF" w:rsidP="00C33D4A">
            <w:pPr>
              <w:widowControl w:val="0"/>
              <w:spacing w:after="120"/>
              <w:jc w:val="center"/>
              <w:rPr>
                <w:bCs/>
                <w:sz w:val="16"/>
                <w:szCs w:val="16"/>
              </w:rPr>
            </w:pPr>
          </w:p>
        </w:tc>
      </w:tr>
      <w:tr w:rsidR="00B070BF" w:rsidRPr="00827314" w:rsidTr="00C33D4A">
        <w:trPr>
          <w:cantSplit/>
        </w:trPr>
        <w:tc>
          <w:tcPr>
            <w:tcW w:w="902" w:type="pct"/>
            <w:shd w:val="clear" w:color="auto" w:fill="auto"/>
          </w:tcPr>
          <w:p w:rsidR="00B070BF" w:rsidRPr="00827314" w:rsidRDefault="00B070BF" w:rsidP="00C33D4A">
            <w:pPr>
              <w:widowControl w:val="0"/>
              <w:rPr>
                <w:sz w:val="16"/>
                <w:szCs w:val="16"/>
              </w:rPr>
            </w:pPr>
            <w:r w:rsidRPr="00827314">
              <w:rPr>
                <w:sz w:val="16"/>
                <w:szCs w:val="16"/>
              </w:rPr>
              <w:t xml:space="preserve">Número de trámites totalmente automatizados (sistema de Madrid). </w:t>
            </w:r>
          </w:p>
        </w:tc>
        <w:tc>
          <w:tcPr>
            <w:tcW w:w="798" w:type="pct"/>
            <w:shd w:val="clear" w:color="auto" w:fill="B3B3B3"/>
          </w:tcPr>
          <w:p w:rsidR="00B070BF" w:rsidRPr="00827314" w:rsidRDefault="00B070BF" w:rsidP="00C33D4A">
            <w:pPr>
              <w:widowControl w:val="0"/>
              <w:rPr>
                <w:sz w:val="16"/>
                <w:szCs w:val="16"/>
              </w:rPr>
            </w:pPr>
            <w:r w:rsidRPr="00827314">
              <w:rPr>
                <w:sz w:val="16"/>
                <w:szCs w:val="16"/>
              </w:rPr>
              <w:t>Denegaciones provisionales, renovaciones, traducción automática (decisión final, concesión de la protección).</w:t>
            </w:r>
          </w:p>
        </w:tc>
        <w:tc>
          <w:tcPr>
            <w:tcW w:w="909" w:type="pct"/>
            <w:shd w:val="clear" w:color="auto" w:fill="auto"/>
            <w:tcMar>
              <w:top w:w="110" w:type="dxa"/>
            </w:tcMar>
          </w:tcPr>
          <w:p w:rsidR="00B070BF" w:rsidRPr="00793D61" w:rsidRDefault="00B070BF" w:rsidP="00C33D4A">
            <w:pPr>
              <w:pStyle w:val="Footer"/>
              <w:widowControl w:val="0"/>
              <w:rPr>
                <w:rStyle w:val="FootnoteReference"/>
                <w:color w:val="943634"/>
                <w:sz w:val="16"/>
                <w:szCs w:val="16"/>
              </w:rPr>
            </w:pPr>
            <w:r w:rsidRPr="00793D61">
              <w:rPr>
                <w:rStyle w:val="FootnoteReference"/>
                <w:color w:val="943634"/>
                <w:sz w:val="16"/>
                <w:szCs w:val="16"/>
              </w:rPr>
              <w:t>Decisiones de las Oficinas: 53% automatizadas (2011)</w:t>
            </w:r>
          </w:p>
          <w:p w:rsidR="00B070BF" w:rsidRPr="00793D61" w:rsidRDefault="00B070BF" w:rsidP="00C33D4A">
            <w:pPr>
              <w:pStyle w:val="Footer"/>
              <w:widowControl w:val="0"/>
              <w:rPr>
                <w:rStyle w:val="FootnoteReference"/>
                <w:color w:val="943634"/>
                <w:sz w:val="16"/>
                <w:szCs w:val="16"/>
              </w:rPr>
            </w:pPr>
          </w:p>
        </w:tc>
        <w:tc>
          <w:tcPr>
            <w:tcW w:w="1841" w:type="pct"/>
            <w:shd w:val="clear" w:color="auto" w:fill="FFFFFF"/>
            <w:tcMar>
              <w:top w:w="110" w:type="dxa"/>
            </w:tcMar>
          </w:tcPr>
          <w:p w:rsidR="00B070BF" w:rsidRPr="00827314" w:rsidRDefault="00B070BF" w:rsidP="00C33D4A">
            <w:pPr>
              <w:widowControl w:val="0"/>
              <w:rPr>
                <w:sz w:val="16"/>
                <w:szCs w:val="16"/>
                <w:lang w:bidi="th-TH"/>
              </w:rPr>
            </w:pPr>
            <w:r w:rsidRPr="00827314">
              <w:rPr>
                <w:sz w:val="16"/>
                <w:szCs w:val="16"/>
                <w:lang w:bidi="th-TH"/>
              </w:rPr>
              <w:t>68% automatizadas (2012)</w:t>
            </w:r>
          </w:p>
          <w:p w:rsidR="00B070BF" w:rsidRPr="00827314" w:rsidRDefault="00B070BF" w:rsidP="00C33D4A">
            <w:pPr>
              <w:widowControl w:val="0"/>
              <w:rPr>
                <w:sz w:val="16"/>
                <w:szCs w:val="16"/>
              </w:rPr>
            </w:pPr>
          </w:p>
        </w:tc>
        <w:tc>
          <w:tcPr>
            <w:tcW w:w="551" w:type="pct"/>
            <w:shd w:val="clear" w:color="auto" w:fill="auto"/>
          </w:tcPr>
          <w:p w:rsidR="00B070BF" w:rsidRPr="00827314" w:rsidRDefault="00B070BF" w:rsidP="00C33D4A">
            <w:pPr>
              <w:widowControl w:val="0"/>
              <w:jc w:val="center"/>
              <w:rPr>
                <w:b/>
                <w:bCs/>
                <w:sz w:val="16"/>
                <w:szCs w:val="16"/>
              </w:rPr>
            </w:pPr>
            <w:r w:rsidRPr="009577DE">
              <w:rPr>
                <w:b/>
                <w:bCs/>
                <w:color w:val="008000"/>
                <w:sz w:val="16"/>
                <w:szCs w:val="16"/>
              </w:rPr>
              <w:t>Progresa con normalidad</w:t>
            </w:r>
          </w:p>
          <w:p w:rsidR="00B070BF" w:rsidRPr="00827314" w:rsidRDefault="00B070BF" w:rsidP="00C33D4A">
            <w:pPr>
              <w:widowControl w:val="0"/>
              <w:jc w:val="center"/>
              <w:rPr>
                <w:bCs/>
                <w:sz w:val="16"/>
                <w:szCs w:val="16"/>
              </w:rPr>
            </w:pPr>
          </w:p>
          <w:p w:rsidR="00B070BF" w:rsidRPr="00827314" w:rsidRDefault="00B070BF" w:rsidP="00C33D4A">
            <w:pPr>
              <w:widowControl w:val="0"/>
              <w:jc w:val="center"/>
              <w:rPr>
                <w:bCs/>
                <w:sz w:val="16"/>
                <w:szCs w:val="16"/>
              </w:rPr>
            </w:pPr>
          </w:p>
        </w:tc>
      </w:tr>
      <w:tr w:rsidR="00B070BF" w:rsidRPr="00827314" w:rsidTr="00C33D4A">
        <w:trPr>
          <w:cantSplit/>
        </w:trPr>
        <w:tc>
          <w:tcPr>
            <w:tcW w:w="902" w:type="pct"/>
            <w:shd w:val="clear" w:color="auto" w:fill="FFFFFF"/>
          </w:tcPr>
          <w:p w:rsidR="00B070BF" w:rsidRPr="00827314" w:rsidRDefault="00B070BF" w:rsidP="00C33D4A">
            <w:pPr>
              <w:widowControl w:val="0"/>
              <w:rPr>
                <w:sz w:val="16"/>
                <w:szCs w:val="16"/>
              </w:rPr>
            </w:pPr>
            <w:r w:rsidRPr="00827314">
              <w:rPr>
                <w:sz w:val="16"/>
                <w:szCs w:val="16"/>
              </w:rPr>
              <w:lastRenderedPageBreak/>
              <w:t>Porcentaje de correcciones inscritas, en relación con el total de procedimientos inscritos (exceptuando las denegaciones y las decisiones finales) (sistema de Madrid).</w:t>
            </w:r>
          </w:p>
        </w:tc>
        <w:tc>
          <w:tcPr>
            <w:tcW w:w="798" w:type="pct"/>
            <w:shd w:val="clear" w:color="auto" w:fill="C0C0C0"/>
          </w:tcPr>
          <w:p w:rsidR="00B070BF" w:rsidRPr="00827314" w:rsidRDefault="00B070BF" w:rsidP="00C33D4A">
            <w:pPr>
              <w:widowControl w:val="0"/>
              <w:rPr>
                <w:sz w:val="16"/>
                <w:szCs w:val="16"/>
              </w:rPr>
            </w:pPr>
            <w:r w:rsidRPr="00827314">
              <w:rPr>
                <w:sz w:val="16"/>
                <w:szCs w:val="16"/>
              </w:rPr>
              <w:t>5,30%</w:t>
            </w:r>
          </w:p>
        </w:tc>
        <w:tc>
          <w:tcPr>
            <w:tcW w:w="909" w:type="pct"/>
            <w:shd w:val="clear" w:color="auto" w:fill="auto"/>
            <w:tcMar>
              <w:top w:w="110" w:type="dxa"/>
            </w:tcMar>
          </w:tcPr>
          <w:p w:rsidR="00B070BF" w:rsidRPr="00793D61" w:rsidRDefault="00B070BF" w:rsidP="00C33D4A">
            <w:pPr>
              <w:pStyle w:val="Footer"/>
              <w:widowControl w:val="0"/>
              <w:rPr>
                <w:rStyle w:val="FootnoteReference"/>
                <w:color w:val="943634"/>
                <w:sz w:val="16"/>
                <w:szCs w:val="16"/>
              </w:rPr>
            </w:pPr>
            <w:r w:rsidRPr="00793D61">
              <w:rPr>
                <w:rStyle w:val="FootnoteReference"/>
                <w:color w:val="943634"/>
                <w:sz w:val="16"/>
                <w:szCs w:val="16"/>
              </w:rPr>
              <w:t>4,7% (2011)</w:t>
            </w:r>
          </w:p>
          <w:p w:rsidR="00B070BF" w:rsidRPr="00793D61" w:rsidRDefault="00B070BF" w:rsidP="00C33D4A">
            <w:pPr>
              <w:pStyle w:val="Footer"/>
              <w:widowControl w:val="0"/>
              <w:rPr>
                <w:rStyle w:val="FootnoteReference"/>
                <w:color w:val="943634"/>
                <w:sz w:val="16"/>
                <w:szCs w:val="16"/>
              </w:rPr>
            </w:pPr>
          </w:p>
        </w:tc>
        <w:tc>
          <w:tcPr>
            <w:tcW w:w="1841" w:type="pct"/>
            <w:shd w:val="clear" w:color="auto" w:fill="FFFFFF"/>
            <w:tcMar>
              <w:top w:w="110" w:type="dxa"/>
            </w:tcMar>
          </w:tcPr>
          <w:p w:rsidR="00B070BF" w:rsidRPr="00827314" w:rsidRDefault="00B070BF" w:rsidP="00C33D4A">
            <w:pPr>
              <w:widowControl w:val="0"/>
              <w:rPr>
                <w:sz w:val="16"/>
                <w:szCs w:val="16"/>
                <w:lang w:bidi="th-TH"/>
              </w:rPr>
            </w:pPr>
            <w:r w:rsidRPr="00827314">
              <w:rPr>
                <w:sz w:val="16"/>
                <w:szCs w:val="16"/>
              </w:rPr>
              <w:t>3,6% (2012)</w:t>
            </w:r>
          </w:p>
          <w:p w:rsidR="00B070BF" w:rsidRPr="00827314" w:rsidRDefault="00B070BF" w:rsidP="00C33D4A">
            <w:pPr>
              <w:widowControl w:val="0"/>
              <w:rPr>
                <w:sz w:val="16"/>
                <w:szCs w:val="16"/>
                <w:lang w:bidi="th-TH"/>
              </w:rPr>
            </w:pPr>
          </w:p>
          <w:p w:rsidR="00B070BF" w:rsidRPr="00827314" w:rsidRDefault="00B070BF" w:rsidP="00C33D4A">
            <w:pPr>
              <w:widowControl w:val="0"/>
              <w:rPr>
                <w:sz w:val="16"/>
                <w:szCs w:val="16"/>
                <w:lang w:bidi="th-TH"/>
              </w:rPr>
            </w:pPr>
          </w:p>
          <w:p w:rsidR="00B070BF" w:rsidRPr="00827314" w:rsidRDefault="00B070BF" w:rsidP="00C33D4A">
            <w:pPr>
              <w:widowControl w:val="0"/>
              <w:rPr>
                <w:sz w:val="16"/>
                <w:szCs w:val="16"/>
                <w:lang w:bidi="th-TH"/>
              </w:rPr>
            </w:pPr>
          </w:p>
          <w:p w:rsidR="00B070BF" w:rsidRPr="00827314" w:rsidRDefault="00B070BF" w:rsidP="00C33D4A">
            <w:pPr>
              <w:widowControl w:val="0"/>
              <w:rPr>
                <w:sz w:val="16"/>
                <w:szCs w:val="16"/>
                <w:lang w:bidi="th-TH"/>
              </w:rPr>
            </w:pPr>
          </w:p>
          <w:p w:rsidR="00B070BF" w:rsidRPr="00827314" w:rsidRDefault="00B070BF" w:rsidP="00C33D4A">
            <w:pPr>
              <w:widowControl w:val="0"/>
              <w:rPr>
                <w:sz w:val="16"/>
                <w:szCs w:val="16"/>
                <w:lang w:bidi="th-TH"/>
              </w:rPr>
            </w:pPr>
          </w:p>
          <w:p w:rsidR="00B070BF" w:rsidRPr="00827314" w:rsidRDefault="00B070BF" w:rsidP="00C33D4A">
            <w:pPr>
              <w:widowControl w:val="0"/>
              <w:rPr>
                <w:sz w:val="16"/>
                <w:szCs w:val="16"/>
                <w:lang w:bidi="th-TH"/>
              </w:rPr>
            </w:pPr>
          </w:p>
        </w:tc>
        <w:tc>
          <w:tcPr>
            <w:tcW w:w="551" w:type="pct"/>
            <w:shd w:val="clear" w:color="auto" w:fill="auto"/>
            <w:tcMar>
              <w:top w:w="110" w:type="dxa"/>
            </w:tcMar>
          </w:tcPr>
          <w:p w:rsidR="00B070BF" w:rsidRPr="00827314" w:rsidRDefault="00B070BF" w:rsidP="00C33D4A">
            <w:pPr>
              <w:widowControl w:val="0"/>
              <w:jc w:val="center"/>
              <w:rPr>
                <w:b/>
                <w:bCs/>
                <w:sz w:val="16"/>
                <w:szCs w:val="16"/>
              </w:rPr>
            </w:pPr>
            <w:r w:rsidRPr="009577DE">
              <w:rPr>
                <w:b/>
                <w:bCs/>
                <w:color w:val="008000"/>
                <w:sz w:val="16"/>
                <w:szCs w:val="16"/>
              </w:rPr>
              <w:t>Progresa con normalidad</w:t>
            </w:r>
          </w:p>
          <w:p w:rsidR="00B070BF" w:rsidRPr="00827314" w:rsidRDefault="00B070BF" w:rsidP="00C33D4A">
            <w:pPr>
              <w:widowControl w:val="0"/>
              <w:jc w:val="center"/>
              <w:rPr>
                <w:bCs/>
                <w:sz w:val="16"/>
                <w:szCs w:val="16"/>
              </w:rPr>
            </w:pPr>
          </w:p>
          <w:p w:rsidR="00B070BF" w:rsidRPr="00827314" w:rsidRDefault="00B070BF" w:rsidP="00C33D4A">
            <w:pPr>
              <w:widowControl w:val="0"/>
              <w:jc w:val="center"/>
              <w:rPr>
                <w:bCs/>
                <w:sz w:val="16"/>
                <w:szCs w:val="16"/>
              </w:rPr>
            </w:pPr>
          </w:p>
        </w:tc>
      </w:tr>
      <w:tr w:rsidR="00B070BF" w:rsidRPr="00827314" w:rsidTr="00C33D4A">
        <w:trPr>
          <w:cantSplit/>
        </w:trPr>
        <w:tc>
          <w:tcPr>
            <w:tcW w:w="902" w:type="pct"/>
            <w:shd w:val="clear" w:color="auto" w:fill="auto"/>
          </w:tcPr>
          <w:p w:rsidR="00B070BF" w:rsidRPr="00827314" w:rsidRDefault="00B070BF" w:rsidP="00C33D4A">
            <w:pPr>
              <w:widowControl w:val="0"/>
              <w:spacing w:after="240"/>
              <w:rPr>
                <w:sz w:val="16"/>
                <w:szCs w:val="16"/>
              </w:rPr>
            </w:pPr>
            <w:r w:rsidRPr="00827314">
              <w:rPr>
                <w:sz w:val="16"/>
                <w:szCs w:val="16"/>
              </w:rPr>
              <w:t>Creación de un Registro Internacional automatizado (sistema de Lisboa).</w:t>
            </w:r>
          </w:p>
        </w:tc>
        <w:tc>
          <w:tcPr>
            <w:tcW w:w="798" w:type="pct"/>
            <w:shd w:val="clear" w:color="auto" w:fill="B3B3B3"/>
          </w:tcPr>
          <w:p w:rsidR="00B070BF" w:rsidRPr="00827314" w:rsidRDefault="00B070BF" w:rsidP="00C33D4A">
            <w:pPr>
              <w:widowControl w:val="0"/>
              <w:rPr>
                <w:sz w:val="16"/>
                <w:szCs w:val="16"/>
              </w:rPr>
            </w:pPr>
            <w:r w:rsidRPr="00827314">
              <w:rPr>
                <w:sz w:val="16"/>
                <w:szCs w:val="16"/>
              </w:rPr>
              <w:t>Situación del proceso de automatización a fines de 2011.</w:t>
            </w:r>
          </w:p>
        </w:tc>
        <w:tc>
          <w:tcPr>
            <w:tcW w:w="909" w:type="pct"/>
            <w:shd w:val="clear" w:color="auto" w:fill="auto"/>
            <w:tcMar>
              <w:top w:w="110" w:type="dxa"/>
            </w:tcMar>
          </w:tcPr>
          <w:p w:rsidR="00B070BF" w:rsidRPr="00793D61" w:rsidRDefault="00B070BF" w:rsidP="00C33D4A">
            <w:pPr>
              <w:widowControl w:val="0"/>
              <w:rPr>
                <w:color w:val="943634"/>
                <w:sz w:val="16"/>
                <w:szCs w:val="16"/>
                <w:lang w:bidi="th-TH"/>
              </w:rPr>
            </w:pPr>
          </w:p>
        </w:tc>
        <w:tc>
          <w:tcPr>
            <w:tcW w:w="1841" w:type="pct"/>
            <w:shd w:val="clear" w:color="auto" w:fill="FFFFFF"/>
            <w:tcMar>
              <w:top w:w="110" w:type="dxa"/>
            </w:tcMar>
          </w:tcPr>
          <w:p w:rsidR="00B070BF" w:rsidRPr="00827314" w:rsidRDefault="00B070BF" w:rsidP="00C33D4A">
            <w:pPr>
              <w:widowControl w:val="0"/>
              <w:rPr>
                <w:sz w:val="16"/>
                <w:szCs w:val="16"/>
                <w:lang w:bidi="th-TH"/>
              </w:rPr>
            </w:pPr>
            <w:r w:rsidRPr="00827314">
              <w:rPr>
                <w:sz w:val="16"/>
                <w:szCs w:val="16"/>
                <w:lang w:bidi="th-TH"/>
              </w:rPr>
              <w:t>Aplicación informática relativa a un Registro Internacional electrónico desarrollada y en proceso de prueba.</w:t>
            </w:r>
          </w:p>
        </w:tc>
        <w:tc>
          <w:tcPr>
            <w:tcW w:w="551" w:type="pct"/>
            <w:shd w:val="clear" w:color="auto" w:fill="auto"/>
          </w:tcPr>
          <w:p w:rsidR="00B070BF" w:rsidRPr="00827314" w:rsidRDefault="00B070BF" w:rsidP="00C33D4A">
            <w:pPr>
              <w:widowControl w:val="0"/>
              <w:jc w:val="center"/>
              <w:rPr>
                <w:b/>
                <w:bCs/>
                <w:sz w:val="16"/>
                <w:szCs w:val="16"/>
              </w:rPr>
            </w:pPr>
            <w:r w:rsidRPr="009577DE">
              <w:rPr>
                <w:b/>
                <w:bCs/>
                <w:color w:val="008000"/>
                <w:sz w:val="16"/>
                <w:szCs w:val="16"/>
              </w:rPr>
              <w:t>Progresa con normalidad</w:t>
            </w:r>
          </w:p>
          <w:p w:rsidR="00B070BF" w:rsidRPr="00827314" w:rsidRDefault="00B070BF" w:rsidP="00C33D4A">
            <w:pPr>
              <w:widowControl w:val="0"/>
              <w:jc w:val="center"/>
              <w:rPr>
                <w:bCs/>
                <w:sz w:val="16"/>
                <w:szCs w:val="16"/>
              </w:rPr>
            </w:pPr>
          </w:p>
          <w:p w:rsidR="00B070BF" w:rsidRPr="00827314" w:rsidRDefault="00B070BF" w:rsidP="00C33D4A">
            <w:pPr>
              <w:widowControl w:val="0"/>
              <w:jc w:val="center"/>
              <w:rPr>
                <w:bCs/>
                <w:sz w:val="16"/>
                <w:szCs w:val="16"/>
              </w:rPr>
            </w:pPr>
          </w:p>
          <w:p w:rsidR="00B070BF" w:rsidRPr="00827314" w:rsidRDefault="00B070BF" w:rsidP="00C33D4A">
            <w:pPr>
              <w:widowControl w:val="0"/>
              <w:jc w:val="center"/>
              <w:rPr>
                <w:bCs/>
                <w:sz w:val="16"/>
                <w:szCs w:val="16"/>
              </w:rPr>
            </w:pPr>
          </w:p>
        </w:tc>
      </w:tr>
      <w:tr w:rsidR="00B070BF" w:rsidRPr="00827314" w:rsidTr="00C33D4A">
        <w:trPr>
          <w:cantSplit/>
        </w:trPr>
        <w:tc>
          <w:tcPr>
            <w:tcW w:w="902" w:type="pct"/>
            <w:shd w:val="clear" w:color="auto" w:fill="auto"/>
          </w:tcPr>
          <w:p w:rsidR="00B070BF" w:rsidRPr="00827314" w:rsidRDefault="00B070BF" w:rsidP="00C33D4A">
            <w:pPr>
              <w:widowControl w:val="0"/>
              <w:rPr>
                <w:sz w:val="16"/>
                <w:szCs w:val="16"/>
              </w:rPr>
            </w:pPr>
            <w:r w:rsidRPr="00827314">
              <w:rPr>
                <w:sz w:val="16"/>
                <w:szCs w:val="16"/>
              </w:rPr>
              <w:t>Aumento en el número de administraciones competentes que se valen de medios electrónicos de comunicación en el marco de los procedimientos del sistema de Lisboa.</w:t>
            </w:r>
          </w:p>
        </w:tc>
        <w:tc>
          <w:tcPr>
            <w:tcW w:w="798" w:type="pct"/>
            <w:shd w:val="clear" w:color="auto" w:fill="B3B3B3"/>
          </w:tcPr>
          <w:p w:rsidR="00B070BF" w:rsidRPr="00827314" w:rsidRDefault="00B070BF" w:rsidP="00C33D4A">
            <w:pPr>
              <w:widowControl w:val="0"/>
              <w:rPr>
                <w:sz w:val="16"/>
                <w:szCs w:val="16"/>
              </w:rPr>
            </w:pPr>
            <w:r w:rsidRPr="00827314">
              <w:rPr>
                <w:sz w:val="16"/>
                <w:szCs w:val="16"/>
              </w:rPr>
              <w:t>14 (marzo de 2011).</w:t>
            </w:r>
          </w:p>
        </w:tc>
        <w:tc>
          <w:tcPr>
            <w:tcW w:w="909" w:type="pct"/>
            <w:shd w:val="clear" w:color="auto" w:fill="auto"/>
            <w:tcMar>
              <w:top w:w="110" w:type="dxa"/>
            </w:tcMar>
          </w:tcPr>
          <w:p w:rsidR="00B070BF" w:rsidRPr="00793D61" w:rsidRDefault="00B070BF" w:rsidP="00C33D4A">
            <w:pPr>
              <w:widowControl w:val="0"/>
              <w:rPr>
                <w:color w:val="943634"/>
                <w:sz w:val="16"/>
                <w:szCs w:val="16"/>
                <w:lang w:bidi="th-TH"/>
              </w:rPr>
            </w:pPr>
            <w:r w:rsidRPr="00793D61">
              <w:rPr>
                <w:color w:val="943634"/>
                <w:sz w:val="16"/>
                <w:szCs w:val="16"/>
              </w:rPr>
              <w:t>16% (fin de 2011)</w:t>
            </w:r>
          </w:p>
        </w:tc>
        <w:tc>
          <w:tcPr>
            <w:tcW w:w="1841" w:type="pct"/>
            <w:shd w:val="clear" w:color="auto" w:fill="FFFFFF"/>
            <w:tcMar>
              <w:top w:w="110" w:type="dxa"/>
            </w:tcMar>
          </w:tcPr>
          <w:p w:rsidR="00B070BF" w:rsidRPr="00827314" w:rsidRDefault="00B070BF" w:rsidP="00C33D4A">
            <w:pPr>
              <w:widowControl w:val="0"/>
              <w:rPr>
                <w:sz w:val="16"/>
                <w:szCs w:val="16"/>
                <w:lang w:bidi="th-TH"/>
              </w:rPr>
            </w:pPr>
            <w:r w:rsidRPr="00827314">
              <w:rPr>
                <w:sz w:val="16"/>
                <w:szCs w:val="16"/>
                <w:lang w:bidi="th-TH"/>
              </w:rPr>
              <w:t>21 administraciones competentes habían autorizado el uso de medios electrónicos.</w:t>
            </w:r>
          </w:p>
        </w:tc>
        <w:tc>
          <w:tcPr>
            <w:tcW w:w="551" w:type="pct"/>
            <w:shd w:val="clear" w:color="auto" w:fill="auto"/>
            <w:tcMar>
              <w:top w:w="110" w:type="dxa"/>
            </w:tcMar>
            <w:vAlign w:val="center"/>
          </w:tcPr>
          <w:p w:rsidR="00B070BF" w:rsidRPr="00827314" w:rsidRDefault="00B070BF" w:rsidP="00C33D4A">
            <w:pPr>
              <w:widowControl w:val="0"/>
              <w:jc w:val="center"/>
              <w:rPr>
                <w:b/>
                <w:bCs/>
                <w:sz w:val="16"/>
                <w:szCs w:val="16"/>
              </w:rPr>
            </w:pPr>
            <w:r w:rsidRPr="009577DE">
              <w:rPr>
                <w:b/>
                <w:bCs/>
                <w:color w:val="008000"/>
                <w:sz w:val="16"/>
                <w:szCs w:val="16"/>
              </w:rPr>
              <w:t>Progresa con normalidad</w:t>
            </w:r>
          </w:p>
          <w:p w:rsidR="00B070BF" w:rsidRPr="00827314" w:rsidRDefault="00B070BF" w:rsidP="00C33D4A">
            <w:pPr>
              <w:widowControl w:val="0"/>
              <w:spacing w:after="120"/>
              <w:jc w:val="center"/>
              <w:rPr>
                <w:bCs/>
                <w:sz w:val="16"/>
                <w:szCs w:val="16"/>
              </w:rPr>
            </w:pPr>
          </w:p>
          <w:p w:rsidR="00B070BF" w:rsidRPr="00827314" w:rsidRDefault="00B070BF" w:rsidP="00C33D4A">
            <w:pPr>
              <w:widowControl w:val="0"/>
              <w:spacing w:after="120"/>
              <w:jc w:val="center"/>
              <w:rPr>
                <w:bCs/>
                <w:sz w:val="16"/>
                <w:szCs w:val="16"/>
              </w:rPr>
            </w:pPr>
          </w:p>
          <w:p w:rsidR="00B070BF" w:rsidRPr="00827314" w:rsidRDefault="00B070BF" w:rsidP="00C33D4A">
            <w:pPr>
              <w:widowControl w:val="0"/>
              <w:spacing w:after="120"/>
              <w:jc w:val="center"/>
              <w:rPr>
                <w:bCs/>
                <w:sz w:val="16"/>
                <w:szCs w:val="16"/>
              </w:rPr>
            </w:pPr>
          </w:p>
          <w:p w:rsidR="00B070BF" w:rsidRPr="00827314" w:rsidRDefault="00B070BF" w:rsidP="00C33D4A">
            <w:pPr>
              <w:widowControl w:val="0"/>
              <w:spacing w:after="120"/>
              <w:jc w:val="center"/>
              <w:rPr>
                <w:bCs/>
                <w:sz w:val="16"/>
                <w:szCs w:val="16"/>
              </w:rPr>
            </w:pPr>
          </w:p>
        </w:tc>
      </w:tr>
      <w:tr w:rsidR="00B070BF" w:rsidRPr="00827314" w:rsidTr="00C33D4A">
        <w:trPr>
          <w:cantSplit/>
        </w:trPr>
        <w:tc>
          <w:tcPr>
            <w:tcW w:w="902" w:type="pct"/>
            <w:tcBorders>
              <w:bottom w:val="single" w:sz="4" w:space="0" w:color="auto"/>
            </w:tcBorders>
            <w:shd w:val="clear" w:color="auto" w:fill="auto"/>
          </w:tcPr>
          <w:p w:rsidR="00B070BF" w:rsidRPr="00827314" w:rsidRDefault="00B070BF" w:rsidP="00C33D4A">
            <w:pPr>
              <w:widowControl w:val="0"/>
              <w:rPr>
                <w:sz w:val="16"/>
                <w:szCs w:val="16"/>
              </w:rPr>
            </w:pPr>
            <w:r w:rsidRPr="00827314">
              <w:rPr>
                <w:sz w:val="16"/>
                <w:szCs w:val="16"/>
              </w:rPr>
              <w:t>Adopción de disposiciones que agilicen o modernicen el marco jurídico del sistema de Lisboa.</w:t>
            </w:r>
          </w:p>
        </w:tc>
        <w:tc>
          <w:tcPr>
            <w:tcW w:w="798" w:type="pct"/>
            <w:tcBorders>
              <w:bottom w:val="single" w:sz="4" w:space="0" w:color="auto"/>
            </w:tcBorders>
            <w:shd w:val="clear" w:color="auto" w:fill="B3B3B3"/>
          </w:tcPr>
          <w:p w:rsidR="00B070BF" w:rsidRPr="00827314" w:rsidRDefault="00B070BF" w:rsidP="00C33D4A">
            <w:pPr>
              <w:widowControl w:val="0"/>
              <w:rPr>
                <w:sz w:val="16"/>
                <w:szCs w:val="16"/>
              </w:rPr>
            </w:pPr>
            <w:r w:rsidRPr="00827314">
              <w:rPr>
                <w:sz w:val="16"/>
                <w:szCs w:val="16"/>
              </w:rPr>
              <w:t>Procedimientos en el marco del sistema de Lisboa a fines de 2011.</w:t>
            </w:r>
          </w:p>
        </w:tc>
        <w:tc>
          <w:tcPr>
            <w:tcW w:w="909" w:type="pct"/>
            <w:tcBorders>
              <w:bottom w:val="single" w:sz="4" w:space="0" w:color="auto"/>
            </w:tcBorders>
            <w:shd w:val="clear" w:color="auto" w:fill="auto"/>
            <w:tcMar>
              <w:top w:w="110" w:type="dxa"/>
            </w:tcMar>
          </w:tcPr>
          <w:p w:rsidR="00B070BF" w:rsidRPr="00793D61" w:rsidRDefault="00B070BF" w:rsidP="00C33D4A">
            <w:pPr>
              <w:widowControl w:val="0"/>
              <w:rPr>
                <w:color w:val="943634"/>
                <w:sz w:val="16"/>
                <w:szCs w:val="16"/>
              </w:rPr>
            </w:pPr>
            <w:r w:rsidRPr="00793D61">
              <w:rPr>
                <w:color w:val="943634"/>
                <w:sz w:val="16"/>
                <w:szCs w:val="16"/>
              </w:rPr>
              <w:t xml:space="preserve">Procedimientos del </w:t>
            </w:r>
            <w:r w:rsidRPr="00793D61">
              <w:rPr>
                <w:snapToGrid w:val="0"/>
                <w:color w:val="943634"/>
                <w:sz w:val="16"/>
                <w:szCs w:val="16"/>
              </w:rPr>
              <w:t>sistema de Lisboa</w:t>
            </w:r>
            <w:r w:rsidRPr="00793D61">
              <w:rPr>
                <w:color w:val="943634"/>
                <w:sz w:val="16"/>
                <w:szCs w:val="16"/>
              </w:rPr>
              <w:t xml:space="preserve"> tras las modificaciones que entraron en vigor el 1 de enero de 2012</w:t>
            </w:r>
            <w:r w:rsidRPr="00793D61" w:rsidDel="00F24504">
              <w:rPr>
                <w:color w:val="943634"/>
                <w:sz w:val="16"/>
                <w:szCs w:val="16"/>
              </w:rPr>
              <w:t xml:space="preserve"> </w:t>
            </w:r>
          </w:p>
          <w:p w:rsidR="00B070BF" w:rsidRPr="00827314" w:rsidRDefault="00B070BF" w:rsidP="00C33D4A">
            <w:pPr>
              <w:widowControl w:val="0"/>
              <w:rPr>
                <w:sz w:val="16"/>
                <w:szCs w:val="16"/>
                <w:lang w:bidi="th-TH"/>
              </w:rPr>
            </w:pPr>
          </w:p>
        </w:tc>
        <w:tc>
          <w:tcPr>
            <w:tcW w:w="1841" w:type="pct"/>
            <w:tcBorders>
              <w:bottom w:val="single" w:sz="4" w:space="0" w:color="auto"/>
            </w:tcBorders>
            <w:shd w:val="clear" w:color="auto" w:fill="FFFFFF"/>
            <w:tcMar>
              <w:top w:w="110" w:type="dxa"/>
            </w:tcMar>
          </w:tcPr>
          <w:p w:rsidR="00B070BF" w:rsidRPr="00827314" w:rsidRDefault="00B070BF" w:rsidP="00C33D4A">
            <w:pPr>
              <w:widowControl w:val="0"/>
              <w:rPr>
                <w:sz w:val="16"/>
                <w:szCs w:val="16"/>
                <w:lang w:bidi="th-TH"/>
              </w:rPr>
            </w:pPr>
            <w:r w:rsidRPr="00827314">
              <w:rPr>
                <w:snapToGrid w:val="0"/>
                <w:sz w:val="16"/>
                <w:szCs w:val="16"/>
                <w:lang w:bidi="th-TH"/>
              </w:rPr>
              <w:t xml:space="preserve">La preparación de una revisión del Acuerdo de Lisboa y la introducción de modificaciones al Reglamento de Lisboa está en curso en el marco del </w:t>
            </w:r>
            <w:r w:rsidRPr="00827314">
              <w:rPr>
                <w:sz w:val="16"/>
                <w:szCs w:val="16"/>
                <w:lang w:bidi="th-TH"/>
              </w:rPr>
              <w:t xml:space="preserve">Grupo de Trabajo sobre el Desarrollo del </w:t>
            </w:r>
            <w:r w:rsidRPr="00827314">
              <w:rPr>
                <w:snapToGrid w:val="0"/>
                <w:sz w:val="16"/>
                <w:szCs w:val="16"/>
                <w:lang w:bidi="th-TH"/>
              </w:rPr>
              <w:t>Sistema de Lisboa.</w:t>
            </w:r>
          </w:p>
          <w:p w:rsidR="00B070BF" w:rsidRPr="00827314" w:rsidRDefault="00B070BF" w:rsidP="00C33D4A">
            <w:pPr>
              <w:widowControl w:val="0"/>
              <w:rPr>
                <w:sz w:val="16"/>
                <w:szCs w:val="16"/>
                <w:lang w:bidi="th-TH"/>
              </w:rPr>
            </w:pPr>
          </w:p>
          <w:p w:rsidR="00B070BF" w:rsidRPr="00827314" w:rsidRDefault="00B070BF" w:rsidP="00C33D4A">
            <w:pPr>
              <w:widowControl w:val="0"/>
              <w:rPr>
                <w:sz w:val="16"/>
                <w:szCs w:val="16"/>
              </w:rPr>
            </w:pPr>
          </w:p>
        </w:tc>
        <w:tc>
          <w:tcPr>
            <w:tcW w:w="551" w:type="pct"/>
            <w:tcBorders>
              <w:bottom w:val="single" w:sz="4" w:space="0" w:color="auto"/>
            </w:tcBorders>
            <w:shd w:val="clear" w:color="auto" w:fill="auto"/>
          </w:tcPr>
          <w:p w:rsidR="00B070BF" w:rsidRPr="00827314" w:rsidRDefault="00B070BF" w:rsidP="00C33D4A">
            <w:pPr>
              <w:widowControl w:val="0"/>
              <w:jc w:val="center"/>
              <w:rPr>
                <w:b/>
                <w:bCs/>
                <w:sz w:val="16"/>
                <w:szCs w:val="16"/>
              </w:rPr>
            </w:pPr>
            <w:r w:rsidRPr="009577DE">
              <w:rPr>
                <w:b/>
                <w:bCs/>
                <w:color w:val="008000"/>
                <w:sz w:val="16"/>
                <w:szCs w:val="16"/>
              </w:rPr>
              <w:t>Progresa con normalidad</w:t>
            </w:r>
          </w:p>
          <w:p w:rsidR="00B070BF" w:rsidRPr="00827314" w:rsidRDefault="00B070BF" w:rsidP="00C33D4A">
            <w:pPr>
              <w:widowControl w:val="0"/>
              <w:jc w:val="center"/>
              <w:rPr>
                <w:bCs/>
                <w:sz w:val="16"/>
                <w:szCs w:val="16"/>
              </w:rPr>
            </w:pPr>
          </w:p>
          <w:p w:rsidR="00B070BF" w:rsidRPr="00827314" w:rsidRDefault="00B070BF" w:rsidP="00C33D4A">
            <w:pPr>
              <w:widowControl w:val="0"/>
              <w:jc w:val="center"/>
              <w:rPr>
                <w:bCs/>
                <w:sz w:val="16"/>
                <w:szCs w:val="16"/>
              </w:rPr>
            </w:pPr>
          </w:p>
        </w:tc>
      </w:tr>
      <w:tr w:rsidR="00B070BF" w:rsidRPr="00827314" w:rsidTr="00C33D4A">
        <w:trPr>
          <w:cantSplit/>
        </w:trPr>
        <w:tc>
          <w:tcPr>
            <w:tcW w:w="5000" w:type="pct"/>
            <w:gridSpan w:val="5"/>
            <w:tcBorders>
              <w:top w:val="single" w:sz="4" w:space="0" w:color="auto"/>
              <w:bottom w:val="single" w:sz="4" w:space="0" w:color="auto"/>
            </w:tcBorders>
            <w:shd w:val="clear" w:color="auto" w:fill="CCFFFF"/>
            <w:vAlign w:val="center"/>
          </w:tcPr>
          <w:p w:rsidR="00B070BF" w:rsidRPr="00827314" w:rsidRDefault="00B070BF" w:rsidP="00C33D4A">
            <w:pPr>
              <w:keepNext/>
              <w:widowControl w:val="0"/>
              <w:tabs>
                <w:tab w:val="left" w:pos="1735"/>
              </w:tabs>
              <w:spacing w:before="120" w:after="120"/>
              <w:ind w:left="1735" w:hanging="1735"/>
              <w:rPr>
                <w:b/>
                <w:bCs/>
                <w:sz w:val="16"/>
                <w:szCs w:val="16"/>
              </w:rPr>
            </w:pPr>
            <w:r w:rsidRPr="00827314">
              <w:rPr>
                <w:b/>
                <w:bCs/>
                <w:sz w:val="16"/>
                <w:szCs w:val="16"/>
              </w:rPr>
              <w:t>Resultado previsto:</w:t>
            </w:r>
            <w:r w:rsidRPr="00827314">
              <w:rPr>
                <w:b/>
                <w:bCs/>
                <w:sz w:val="16"/>
                <w:szCs w:val="16"/>
              </w:rPr>
              <w:tab/>
            </w:r>
            <w:r w:rsidRPr="00827314">
              <w:rPr>
                <w:bCs/>
                <w:sz w:val="16"/>
                <w:szCs w:val="16"/>
              </w:rPr>
              <w:t xml:space="preserve"> Mayor conocimiento de los sistemas de Madrid y de Lisboa.</w:t>
            </w:r>
          </w:p>
        </w:tc>
      </w:tr>
      <w:tr w:rsidR="00B070BF" w:rsidRPr="00827314" w:rsidTr="00C33D4A">
        <w:trPr>
          <w:cantSplit/>
        </w:trPr>
        <w:tc>
          <w:tcPr>
            <w:tcW w:w="902" w:type="pct"/>
            <w:tcBorders>
              <w:top w:val="single" w:sz="4" w:space="0" w:color="auto"/>
            </w:tcBorders>
            <w:shd w:val="clear" w:color="auto" w:fill="auto"/>
            <w:vAlign w:val="center"/>
          </w:tcPr>
          <w:p w:rsidR="00B070BF" w:rsidRPr="00827314" w:rsidRDefault="00B070BF" w:rsidP="00C33D4A">
            <w:pPr>
              <w:widowControl w:val="0"/>
              <w:spacing w:after="120"/>
              <w:rPr>
                <w:sz w:val="16"/>
                <w:szCs w:val="16"/>
              </w:rPr>
            </w:pPr>
            <w:r w:rsidRPr="00827314">
              <w:rPr>
                <w:b/>
                <w:bCs/>
                <w:sz w:val="16"/>
                <w:szCs w:val="16"/>
              </w:rPr>
              <w:t>Indicadores de rendimiento</w:t>
            </w:r>
          </w:p>
        </w:tc>
        <w:tc>
          <w:tcPr>
            <w:tcW w:w="798" w:type="pct"/>
            <w:tcBorders>
              <w:top w:val="single" w:sz="4" w:space="0" w:color="auto"/>
            </w:tcBorders>
            <w:shd w:val="clear" w:color="auto" w:fill="C0C0C0"/>
          </w:tcPr>
          <w:p w:rsidR="00B070BF" w:rsidRPr="00827314" w:rsidRDefault="00B070BF" w:rsidP="00C33D4A">
            <w:pPr>
              <w:widowControl w:val="0"/>
              <w:spacing w:after="120"/>
              <w:rPr>
                <w:b/>
                <w:bCs/>
                <w:sz w:val="16"/>
                <w:szCs w:val="16"/>
              </w:rPr>
            </w:pPr>
            <w:r w:rsidRPr="00827314">
              <w:rPr>
                <w:b/>
                <w:bCs/>
                <w:sz w:val="16"/>
                <w:szCs w:val="16"/>
              </w:rPr>
              <w:t>Referencia (</w:t>
            </w:r>
            <w:proofErr w:type="spellStart"/>
            <w:r w:rsidRPr="00827314">
              <w:rPr>
                <w:b/>
                <w:bCs/>
                <w:sz w:val="16"/>
                <w:szCs w:val="16"/>
              </w:rPr>
              <w:t>Presup</w:t>
            </w:r>
            <w:proofErr w:type="spellEnd"/>
            <w:r w:rsidRPr="00827314">
              <w:rPr>
                <w:b/>
                <w:bCs/>
                <w:sz w:val="16"/>
                <w:szCs w:val="16"/>
              </w:rPr>
              <w:t xml:space="preserve">. por </w:t>
            </w:r>
            <w:proofErr w:type="spellStart"/>
            <w:r w:rsidRPr="00827314">
              <w:rPr>
                <w:b/>
                <w:bCs/>
                <w:sz w:val="16"/>
                <w:szCs w:val="16"/>
              </w:rPr>
              <w:t>prog</w:t>
            </w:r>
            <w:proofErr w:type="spellEnd"/>
            <w:r w:rsidRPr="00827314">
              <w:rPr>
                <w:b/>
                <w:bCs/>
                <w:sz w:val="16"/>
                <w:szCs w:val="16"/>
              </w:rPr>
              <w:t>. 2012/13)</w:t>
            </w:r>
          </w:p>
        </w:tc>
        <w:tc>
          <w:tcPr>
            <w:tcW w:w="909" w:type="pct"/>
            <w:tcBorders>
              <w:top w:val="single" w:sz="4" w:space="0" w:color="auto"/>
            </w:tcBorders>
            <w:shd w:val="clear" w:color="auto" w:fill="auto"/>
            <w:tcMar>
              <w:top w:w="110" w:type="dxa"/>
            </w:tcMar>
            <w:vAlign w:val="center"/>
          </w:tcPr>
          <w:p w:rsidR="00B070BF" w:rsidRPr="00827314" w:rsidRDefault="00B070BF" w:rsidP="00C33D4A">
            <w:pPr>
              <w:widowControl w:val="0"/>
              <w:spacing w:after="120"/>
              <w:rPr>
                <w:b/>
                <w:sz w:val="16"/>
                <w:szCs w:val="16"/>
              </w:rPr>
            </w:pPr>
            <w:r w:rsidRPr="00BF138D">
              <w:rPr>
                <w:b/>
                <w:color w:val="993300"/>
                <w:sz w:val="16"/>
                <w:szCs w:val="16"/>
              </w:rPr>
              <w:t>Referencia actualizada a finales de 2011</w:t>
            </w:r>
            <w:r w:rsidRPr="00827314">
              <w:rPr>
                <w:b/>
                <w:sz w:val="16"/>
                <w:szCs w:val="16"/>
              </w:rPr>
              <w:t xml:space="preserve"> </w:t>
            </w:r>
          </w:p>
        </w:tc>
        <w:tc>
          <w:tcPr>
            <w:tcW w:w="1841" w:type="pct"/>
            <w:tcBorders>
              <w:top w:val="single" w:sz="4" w:space="0" w:color="auto"/>
            </w:tcBorders>
            <w:shd w:val="clear" w:color="auto" w:fill="FFFFFF"/>
            <w:tcMar>
              <w:top w:w="110" w:type="dxa"/>
            </w:tcMar>
            <w:vAlign w:val="center"/>
          </w:tcPr>
          <w:p w:rsidR="00B070BF" w:rsidRPr="00827314" w:rsidRDefault="00B070BF" w:rsidP="00C33D4A">
            <w:pPr>
              <w:widowControl w:val="0"/>
              <w:spacing w:after="120"/>
              <w:rPr>
                <w:sz w:val="16"/>
                <w:szCs w:val="16"/>
              </w:rPr>
            </w:pPr>
            <w:r w:rsidRPr="00827314">
              <w:rPr>
                <w:b/>
                <w:bCs/>
                <w:sz w:val="16"/>
                <w:szCs w:val="16"/>
              </w:rPr>
              <w:t>Datos sobre el rendimiento</w:t>
            </w:r>
          </w:p>
        </w:tc>
        <w:tc>
          <w:tcPr>
            <w:tcW w:w="551" w:type="pct"/>
            <w:tcBorders>
              <w:top w:val="single" w:sz="4" w:space="0" w:color="auto"/>
            </w:tcBorders>
            <w:shd w:val="clear" w:color="auto" w:fill="auto"/>
            <w:tcMar>
              <w:top w:w="110" w:type="dxa"/>
            </w:tcMar>
            <w:vAlign w:val="center"/>
          </w:tcPr>
          <w:p w:rsidR="00B070BF" w:rsidRPr="00827314" w:rsidRDefault="00B070BF" w:rsidP="00C33D4A">
            <w:pPr>
              <w:widowControl w:val="0"/>
              <w:spacing w:after="120"/>
              <w:jc w:val="center"/>
              <w:rPr>
                <w:b/>
                <w:bCs/>
                <w:sz w:val="16"/>
                <w:szCs w:val="16"/>
              </w:rPr>
            </w:pPr>
            <w:r w:rsidRPr="00827314">
              <w:rPr>
                <w:b/>
                <w:bCs/>
                <w:sz w:val="16"/>
                <w:szCs w:val="16"/>
              </w:rPr>
              <w:t>Clave de colores</w:t>
            </w:r>
          </w:p>
        </w:tc>
      </w:tr>
      <w:tr w:rsidR="00B070BF" w:rsidRPr="00827314" w:rsidTr="00C33D4A">
        <w:trPr>
          <w:cantSplit/>
          <w:trHeight w:val="1424"/>
        </w:trPr>
        <w:tc>
          <w:tcPr>
            <w:tcW w:w="902" w:type="pct"/>
            <w:shd w:val="clear" w:color="auto" w:fill="FFFFFF"/>
          </w:tcPr>
          <w:p w:rsidR="00B070BF" w:rsidRPr="00827314" w:rsidRDefault="00B070BF" w:rsidP="00C33D4A">
            <w:pPr>
              <w:widowControl w:val="0"/>
              <w:rPr>
                <w:sz w:val="16"/>
                <w:szCs w:val="16"/>
              </w:rPr>
            </w:pPr>
            <w:r w:rsidRPr="00827314">
              <w:rPr>
                <w:sz w:val="16"/>
                <w:szCs w:val="16"/>
              </w:rPr>
              <w:t>Porcentaje de participantes en reuniones relacionadas con el sistema de Madrid que están satisfechos y manifiestan haber mejorado sus conocimientos tras haber participado en reuniones de capacitación.</w:t>
            </w:r>
          </w:p>
        </w:tc>
        <w:tc>
          <w:tcPr>
            <w:tcW w:w="798" w:type="pct"/>
            <w:shd w:val="clear" w:color="auto" w:fill="C0C0C0"/>
          </w:tcPr>
          <w:p w:rsidR="00B070BF" w:rsidRPr="00827314" w:rsidRDefault="00B070BF" w:rsidP="00C33D4A">
            <w:pPr>
              <w:widowControl w:val="0"/>
              <w:rPr>
                <w:sz w:val="16"/>
                <w:szCs w:val="16"/>
              </w:rPr>
            </w:pPr>
            <w:r w:rsidRPr="00827314">
              <w:rPr>
                <w:sz w:val="16"/>
                <w:szCs w:val="16"/>
              </w:rPr>
              <w:t>No se dispone de datos.</w:t>
            </w:r>
          </w:p>
        </w:tc>
        <w:tc>
          <w:tcPr>
            <w:tcW w:w="909" w:type="pct"/>
            <w:shd w:val="clear" w:color="auto" w:fill="auto"/>
            <w:tcMar>
              <w:top w:w="110" w:type="dxa"/>
            </w:tcMar>
          </w:tcPr>
          <w:p w:rsidR="00B070BF" w:rsidRPr="00827314" w:rsidRDefault="00B070BF" w:rsidP="00C33D4A">
            <w:pPr>
              <w:widowControl w:val="0"/>
              <w:rPr>
                <w:sz w:val="16"/>
                <w:szCs w:val="16"/>
                <w:lang w:bidi="th-TH"/>
              </w:rPr>
            </w:pPr>
          </w:p>
        </w:tc>
        <w:tc>
          <w:tcPr>
            <w:tcW w:w="1841" w:type="pct"/>
            <w:shd w:val="clear" w:color="auto" w:fill="FFFFFF"/>
            <w:tcMar>
              <w:top w:w="110" w:type="dxa"/>
            </w:tcMar>
          </w:tcPr>
          <w:p w:rsidR="00B070BF" w:rsidRPr="00827314" w:rsidRDefault="00B070BF" w:rsidP="00C33D4A">
            <w:pPr>
              <w:widowControl w:val="0"/>
              <w:rPr>
                <w:sz w:val="16"/>
                <w:szCs w:val="16"/>
                <w:lang w:bidi="th-TH"/>
              </w:rPr>
            </w:pPr>
            <w:r w:rsidRPr="00827314">
              <w:rPr>
                <w:sz w:val="16"/>
                <w:szCs w:val="16"/>
                <w:lang w:bidi="th-TH"/>
              </w:rPr>
              <w:t>Los cuestionarios de evaluación revelan un índice de satisfacción de más del 90%.</w:t>
            </w:r>
          </w:p>
        </w:tc>
        <w:tc>
          <w:tcPr>
            <w:tcW w:w="551" w:type="pct"/>
            <w:shd w:val="clear" w:color="auto" w:fill="auto"/>
            <w:tcMar>
              <w:top w:w="110" w:type="dxa"/>
            </w:tcMar>
          </w:tcPr>
          <w:p w:rsidR="00B070BF" w:rsidRPr="00827314" w:rsidRDefault="00B070BF" w:rsidP="00C33D4A">
            <w:pPr>
              <w:widowControl w:val="0"/>
              <w:jc w:val="center"/>
              <w:rPr>
                <w:bCs/>
                <w:sz w:val="16"/>
                <w:szCs w:val="16"/>
              </w:rPr>
            </w:pPr>
            <w:r w:rsidRPr="009577DE">
              <w:rPr>
                <w:b/>
                <w:bCs/>
                <w:color w:val="008000"/>
                <w:sz w:val="16"/>
                <w:szCs w:val="16"/>
              </w:rPr>
              <w:t>Progresa con normalidad</w:t>
            </w:r>
          </w:p>
        </w:tc>
      </w:tr>
      <w:tr w:rsidR="00B070BF" w:rsidRPr="00827314" w:rsidTr="00C33D4A">
        <w:trPr>
          <w:cantSplit/>
        </w:trPr>
        <w:tc>
          <w:tcPr>
            <w:tcW w:w="902" w:type="pct"/>
            <w:shd w:val="clear" w:color="auto" w:fill="auto"/>
          </w:tcPr>
          <w:p w:rsidR="00B070BF" w:rsidRPr="00827314" w:rsidRDefault="00B070BF" w:rsidP="00C33D4A">
            <w:pPr>
              <w:widowControl w:val="0"/>
              <w:rPr>
                <w:sz w:val="16"/>
                <w:szCs w:val="16"/>
              </w:rPr>
            </w:pPr>
            <w:r w:rsidRPr="00827314">
              <w:rPr>
                <w:sz w:val="16"/>
                <w:szCs w:val="16"/>
              </w:rPr>
              <w:t>Porcentaje de participantes en reuniones relacionadas con el sistema de Lisboa que están satisfechos y manifiestan haber mejorado sus conocimientos tras haber participado en seminarios/talleres.</w:t>
            </w:r>
          </w:p>
        </w:tc>
        <w:tc>
          <w:tcPr>
            <w:tcW w:w="798" w:type="pct"/>
            <w:shd w:val="clear" w:color="auto" w:fill="B3B3B3"/>
          </w:tcPr>
          <w:p w:rsidR="00B070BF" w:rsidRPr="00827314" w:rsidRDefault="00B070BF" w:rsidP="00C33D4A">
            <w:pPr>
              <w:widowControl w:val="0"/>
              <w:rPr>
                <w:sz w:val="16"/>
                <w:szCs w:val="16"/>
              </w:rPr>
            </w:pPr>
            <w:r w:rsidRPr="00827314">
              <w:rPr>
                <w:sz w:val="16"/>
                <w:szCs w:val="16"/>
              </w:rPr>
              <w:t>No se dispone de datos.</w:t>
            </w:r>
          </w:p>
        </w:tc>
        <w:tc>
          <w:tcPr>
            <w:tcW w:w="909" w:type="pct"/>
            <w:shd w:val="clear" w:color="auto" w:fill="auto"/>
            <w:tcMar>
              <w:top w:w="110" w:type="dxa"/>
            </w:tcMar>
          </w:tcPr>
          <w:p w:rsidR="00B070BF" w:rsidRPr="00827314" w:rsidRDefault="00B070BF" w:rsidP="00C33D4A">
            <w:pPr>
              <w:widowControl w:val="0"/>
              <w:rPr>
                <w:sz w:val="16"/>
                <w:szCs w:val="16"/>
                <w:lang w:bidi="th-TH"/>
              </w:rPr>
            </w:pPr>
          </w:p>
        </w:tc>
        <w:tc>
          <w:tcPr>
            <w:tcW w:w="1841" w:type="pct"/>
            <w:shd w:val="clear" w:color="auto" w:fill="FFFFFF"/>
            <w:tcMar>
              <w:top w:w="110" w:type="dxa"/>
            </w:tcMar>
          </w:tcPr>
          <w:p w:rsidR="00B070BF" w:rsidRPr="00827314" w:rsidRDefault="00B070BF" w:rsidP="00C33D4A">
            <w:pPr>
              <w:widowControl w:val="0"/>
              <w:rPr>
                <w:sz w:val="16"/>
                <w:szCs w:val="16"/>
                <w:lang w:bidi="th-TH"/>
              </w:rPr>
            </w:pPr>
            <w:r w:rsidRPr="00827314">
              <w:rPr>
                <w:sz w:val="16"/>
                <w:szCs w:val="16"/>
                <w:lang w:bidi="th-TH"/>
              </w:rPr>
              <w:t>Los cuestionarios de evaluación utilizados revelan un índice de satisfacción de más del 90%.</w:t>
            </w:r>
          </w:p>
        </w:tc>
        <w:tc>
          <w:tcPr>
            <w:tcW w:w="551" w:type="pct"/>
            <w:shd w:val="clear" w:color="auto" w:fill="auto"/>
          </w:tcPr>
          <w:p w:rsidR="00B070BF" w:rsidRPr="00827314" w:rsidRDefault="00B070BF" w:rsidP="00C33D4A">
            <w:pPr>
              <w:widowControl w:val="0"/>
              <w:jc w:val="center"/>
              <w:rPr>
                <w:bCs/>
                <w:sz w:val="16"/>
                <w:szCs w:val="16"/>
              </w:rPr>
            </w:pPr>
            <w:r w:rsidRPr="009577DE">
              <w:rPr>
                <w:b/>
                <w:bCs/>
                <w:color w:val="008000"/>
                <w:sz w:val="16"/>
                <w:szCs w:val="16"/>
              </w:rPr>
              <w:t>Progresa con normalidad</w:t>
            </w:r>
          </w:p>
        </w:tc>
      </w:tr>
    </w:tbl>
    <w:p w:rsidR="00B070BF" w:rsidRDefault="00B070BF" w:rsidP="00B070BF">
      <w:pPr>
        <w:widowControl w:val="0"/>
        <w:rPr>
          <w:b/>
          <w:sz w:val="20"/>
          <w:lang w:val="es-ES_tradnl"/>
        </w:rPr>
      </w:pPr>
    </w:p>
    <w:p w:rsidR="00B070BF" w:rsidRPr="00827314" w:rsidRDefault="00B070BF" w:rsidP="00B070BF">
      <w:pPr>
        <w:widowControl w:val="0"/>
        <w:rPr>
          <w:sz w:val="20"/>
        </w:rPr>
      </w:pPr>
    </w:p>
    <w:p w:rsidR="00B070BF" w:rsidRPr="00827314" w:rsidRDefault="00B070BF" w:rsidP="00B070BF">
      <w:pPr>
        <w:widowControl w:val="0"/>
        <w:rPr>
          <w:sz w:val="20"/>
        </w:rPr>
      </w:pPr>
      <w:r w:rsidRPr="00827314">
        <w:rPr>
          <w:sz w:val="20"/>
        </w:rPr>
        <w:t>PRESUPUESTO Y GASTOS REALES</w:t>
      </w:r>
    </w:p>
    <w:p w:rsidR="00B070BF" w:rsidRPr="0028075A" w:rsidRDefault="00B070BF" w:rsidP="00B070BF">
      <w:pPr>
        <w:widowControl w:val="0"/>
        <w:rPr>
          <w:sz w:val="20"/>
        </w:rPr>
      </w:pPr>
    </w:p>
    <w:p w:rsidR="00B070BF" w:rsidRPr="0028075A" w:rsidRDefault="00B070BF" w:rsidP="00B070BF">
      <w:pPr>
        <w:widowControl w:val="0"/>
        <w:jc w:val="center"/>
        <w:rPr>
          <w:sz w:val="20"/>
        </w:rPr>
      </w:pPr>
      <w:r w:rsidRPr="0028075A">
        <w:rPr>
          <w:sz w:val="20"/>
        </w:rPr>
        <w:t>Presupuesto y gastos reales (por resultado)</w:t>
      </w:r>
    </w:p>
    <w:p w:rsidR="00B070BF" w:rsidRPr="00827314" w:rsidRDefault="00B070BF" w:rsidP="00B070BF">
      <w:pPr>
        <w:widowControl w:val="0"/>
        <w:jc w:val="center"/>
      </w:pPr>
      <w:r w:rsidRPr="0028075A">
        <w:rPr>
          <w:i/>
          <w:iCs/>
          <w:sz w:val="20"/>
        </w:rPr>
        <w:t>(en miles de francos suizos)</w:t>
      </w:r>
      <w:r w:rsidRPr="0028075A">
        <w:rPr>
          <w:i/>
          <w:iCs/>
          <w:sz w:val="20"/>
        </w:rPr>
        <w:br/>
      </w:r>
      <w:r w:rsidRPr="0028075A">
        <w:rPr>
          <w:i/>
          <w:iCs/>
          <w:sz w:val="20"/>
        </w:rPr>
        <w:lastRenderedPageBreak/>
        <w:br/>
      </w:r>
      <w:r>
        <w:rPr>
          <w:noProof/>
          <w:lang w:val="en-US" w:eastAsia="en-US"/>
        </w:rPr>
        <w:drawing>
          <wp:inline distT="0" distB="0" distL="0" distR="0" wp14:anchorId="4272230D" wp14:editId="2FB78729">
            <wp:extent cx="5902325" cy="1591310"/>
            <wp:effectExtent l="0" t="0" r="3175" b="8890"/>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902325" cy="1591310"/>
                    </a:xfrm>
                    <a:prstGeom prst="rect">
                      <a:avLst/>
                    </a:prstGeom>
                    <a:noFill/>
                    <a:ln>
                      <a:noFill/>
                    </a:ln>
                  </pic:spPr>
                </pic:pic>
              </a:graphicData>
            </a:graphic>
          </wp:inline>
        </w:drawing>
      </w:r>
    </w:p>
    <w:p w:rsidR="00B070BF" w:rsidRPr="0028075A" w:rsidRDefault="00B070BF" w:rsidP="00B070BF">
      <w:pPr>
        <w:widowControl w:val="0"/>
        <w:rPr>
          <w:sz w:val="20"/>
        </w:rPr>
      </w:pPr>
    </w:p>
    <w:p w:rsidR="00B070BF" w:rsidRPr="0028075A" w:rsidRDefault="00B070BF" w:rsidP="00B070BF">
      <w:pPr>
        <w:widowControl w:val="0"/>
        <w:jc w:val="center"/>
        <w:rPr>
          <w:sz w:val="20"/>
        </w:rPr>
      </w:pPr>
      <w:r w:rsidRPr="0028075A">
        <w:rPr>
          <w:sz w:val="20"/>
        </w:rPr>
        <w:t>Presupuesto y gastos reales (de personal y no relativos al personal)</w:t>
      </w:r>
    </w:p>
    <w:p w:rsidR="00B070BF" w:rsidRPr="00827314" w:rsidRDefault="00B070BF" w:rsidP="00B070BF">
      <w:pPr>
        <w:widowControl w:val="0"/>
        <w:jc w:val="center"/>
      </w:pPr>
      <w:r w:rsidRPr="0028075A">
        <w:rPr>
          <w:sz w:val="20"/>
        </w:rPr>
        <w:t>(</w:t>
      </w:r>
      <w:r w:rsidRPr="0028075A">
        <w:rPr>
          <w:i/>
          <w:sz w:val="20"/>
        </w:rPr>
        <w:t>en miles de francos suizos</w:t>
      </w:r>
      <w:r w:rsidRPr="0028075A">
        <w:rPr>
          <w:sz w:val="20"/>
        </w:rPr>
        <w:t>)</w:t>
      </w:r>
      <w:r w:rsidRPr="0028075A">
        <w:rPr>
          <w:sz w:val="20"/>
        </w:rPr>
        <w:br/>
      </w:r>
      <w:r w:rsidRPr="0028075A">
        <w:rPr>
          <w:sz w:val="20"/>
        </w:rPr>
        <w:br/>
      </w:r>
      <w:r>
        <w:rPr>
          <w:noProof/>
          <w:lang w:val="en-US" w:eastAsia="en-US"/>
        </w:rPr>
        <w:drawing>
          <wp:inline distT="0" distB="0" distL="0" distR="0" wp14:anchorId="2EC8F6C7" wp14:editId="6EB003B0">
            <wp:extent cx="5902325" cy="1235075"/>
            <wp:effectExtent l="0" t="0" r="3175" b="3175"/>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902325" cy="1235075"/>
                    </a:xfrm>
                    <a:prstGeom prst="rect">
                      <a:avLst/>
                    </a:prstGeom>
                    <a:noFill/>
                    <a:ln>
                      <a:noFill/>
                    </a:ln>
                  </pic:spPr>
                </pic:pic>
              </a:graphicData>
            </a:graphic>
          </wp:inline>
        </w:drawing>
      </w:r>
    </w:p>
    <w:p w:rsidR="00B070BF" w:rsidRPr="00827314" w:rsidRDefault="00B070BF" w:rsidP="00B070BF">
      <w:pPr>
        <w:widowControl w:val="0"/>
        <w:autoSpaceDE w:val="0"/>
        <w:autoSpaceDN w:val="0"/>
        <w:adjustRightInd w:val="0"/>
      </w:pPr>
    </w:p>
    <w:p w:rsidR="00B070BF" w:rsidRPr="00827314" w:rsidRDefault="00B070BF" w:rsidP="00B070BF">
      <w:pPr>
        <w:widowControl w:val="0"/>
        <w:autoSpaceDE w:val="0"/>
        <w:autoSpaceDN w:val="0"/>
        <w:adjustRightInd w:val="0"/>
        <w:rPr>
          <w:sz w:val="16"/>
          <w:szCs w:val="16"/>
        </w:rPr>
      </w:pPr>
      <w:r w:rsidRPr="007C3E0F">
        <w:rPr>
          <w:sz w:val="16"/>
          <w:szCs w:val="16"/>
        </w:rPr>
        <w:t>NOTAS:</w:t>
      </w:r>
    </w:p>
    <w:p w:rsidR="00B070BF" w:rsidRPr="00827314" w:rsidRDefault="00B070BF" w:rsidP="00B070BF">
      <w:pPr>
        <w:widowControl w:val="0"/>
        <w:autoSpaceDE w:val="0"/>
        <w:autoSpaceDN w:val="0"/>
        <w:adjustRightInd w:val="0"/>
        <w:rPr>
          <w:sz w:val="16"/>
          <w:szCs w:val="16"/>
        </w:rPr>
      </w:pPr>
    </w:p>
    <w:p w:rsidR="00B070BF" w:rsidRPr="00827314" w:rsidRDefault="00B070BF" w:rsidP="00B070BF">
      <w:pPr>
        <w:widowControl w:val="0"/>
        <w:autoSpaceDE w:val="0"/>
        <w:autoSpaceDN w:val="0"/>
        <w:adjustRightInd w:val="0"/>
        <w:rPr>
          <w:sz w:val="16"/>
          <w:szCs w:val="16"/>
        </w:rPr>
      </w:pPr>
      <w:r w:rsidRPr="00827314">
        <w:rPr>
          <w:sz w:val="16"/>
          <w:szCs w:val="16"/>
        </w:rPr>
        <w:t>1) El presupuesto después de las transferencias refleja el presupuesto de los programas ajustado después de las transferencias efectuadas en 2012/13 en virtud del artículo 5.5 del Reglamento Financiero.</w:t>
      </w:r>
    </w:p>
    <w:p w:rsidR="00B070BF" w:rsidRPr="00827314" w:rsidRDefault="00B070BF" w:rsidP="00B070BF">
      <w:pPr>
        <w:widowControl w:val="0"/>
        <w:autoSpaceDE w:val="0"/>
        <w:autoSpaceDN w:val="0"/>
        <w:adjustRightInd w:val="0"/>
        <w:rPr>
          <w:sz w:val="16"/>
          <w:szCs w:val="16"/>
        </w:rPr>
      </w:pPr>
    </w:p>
    <w:p w:rsidR="00B070BF" w:rsidRPr="00827314" w:rsidRDefault="00B070BF" w:rsidP="00B070BF">
      <w:pPr>
        <w:widowControl w:val="0"/>
        <w:autoSpaceDE w:val="0"/>
        <w:autoSpaceDN w:val="0"/>
        <w:adjustRightInd w:val="0"/>
        <w:rPr>
          <w:sz w:val="16"/>
          <w:szCs w:val="16"/>
        </w:rPr>
      </w:pPr>
      <w:r w:rsidRPr="00827314">
        <w:rPr>
          <w:sz w:val="16"/>
          <w:szCs w:val="16"/>
        </w:rPr>
        <w:t xml:space="preserve">2) La asignación para el personal del presupuesto de 2012/13 después de las transferencias representa los gastos reales efectuados hasta el 31 de marzo de 2013 y los importes presupuestados para los nueve meses restantes de 2013, sobre la base de costos estándar. </w:t>
      </w:r>
    </w:p>
    <w:p w:rsidR="00B070BF" w:rsidRPr="00827314" w:rsidRDefault="00B070BF" w:rsidP="00B070BF">
      <w:pPr>
        <w:widowControl w:val="0"/>
        <w:autoSpaceDE w:val="0"/>
        <w:autoSpaceDN w:val="0"/>
        <w:adjustRightInd w:val="0"/>
        <w:rPr>
          <w:sz w:val="16"/>
          <w:szCs w:val="16"/>
        </w:rPr>
      </w:pPr>
    </w:p>
    <w:p w:rsidR="00B070BF" w:rsidRPr="00827314" w:rsidRDefault="00B070BF" w:rsidP="00B070BF">
      <w:pPr>
        <w:widowControl w:val="0"/>
        <w:autoSpaceDE w:val="0"/>
        <w:autoSpaceDN w:val="0"/>
        <w:adjustRightInd w:val="0"/>
        <w:rPr>
          <w:sz w:val="16"/>
          <w:szCs w:val="16"/>
        </w:rPr>
      </w:pPr>
      <w:r w:rsidRPr="00827314">
        <w:rPr>
          <w:sz w:val="16"/>
          <w:szCs w:val="16"/>
        </w:rPr>
        <w:t>3) La asignación no relativa al personal del presupuesto de 2012/13 después de las transferencias refleja los ajustes a la baja efectuados para aumentar la eficacia en función de los costos, de conformidad con el compromiso de la Organización de reducir gastos por un importe de 10,2 millones de francos suizos en el bienio 2012/13.</w:t>
      </w:r>
    </w:p>
    <w:p w:rsidR="00B070BF" w:rsidRPr="0028075A" w:rsidRDefault="00B070BF" w:rsidP="00B070BF">
      <w:pPr>
        <w:widowControl w:val="0"/>
        <w:rPr>
          <w:b/>
          <w:bCs/>
          <w:sz w:val="16"/>
          <w:szCs w:val="16"/>
        </w:rPr>
      </w:pPr>
    </w:p>
    <w:p w:rsidR="00B070BF" w:rsidRPr="00827314" w:rsidRDefault="00B070BF" w:rsidP="00B070BF">
      <w:pPr>
        <w:widowControl w:val="0"/>
        <w:rPr>
          <w:b/>
          <w:bCs/>
          <w:sz w:val="20"/>
        </w:rPr>
      </w:pPr>
    </w:p>
    <w:p w:rsidR="00B070BF" w:rsidRPr="00827314" w:rsidRDefault="00B070BF" w:rsidP="00B070BF">
      <w:pPr>
        <w:widowControl w:val="0"/>
        <w:rPr>
          <w:sz w:val="20"/>
          <w:u w:val="single"/>
        </w:rPr>
      </w:pPr>
      <w:r>
        <w:rPr>
          <w:sz w:val="20"/>
        </w:rPr>
        <w:t xml:space="preserve">A.  </w:t>
      </w:r>
      <w:r w:rsidRPr="00827314">
        <w:rPr>
          <w:sz w:val="20"/>
          <w:u w:val="single"/>
        </w:rPr>
        <w:t>Presupuesto 2012/13 después de las transferencias</w:t>
      </w:r>
    </w:p>
    <w:p w:rsidR="00B070BF" w:rsidRPr="00827314" w:rsidRDefault="00B070BF" w:rsidP="00B070BF">
      <w:pPr>
        <w:widowControl w:val="0"/>
        <w:rPr>
          <w:sz w:val="20"/>
        </w:rPr>
      </w:pPr>
    </w:p>
    <w:p w:rsidR="00B070BF" w:rsidRPr="00827314" w:rsidRDefault="00B070BF" w:rsidP="00B070BF">
      <w:pPr>
        <w:widowControl w:val="0"/>
        <w:numPr>
          <w:ilvl w:val="0"/>
          <w:numId w:val="7"/>
        </w:numPr>
        <w:jc w:val="both"/>
        <w:rPr>
          <w:sz w:val="20"/>
        </w:rPr>
      </w:pPr>
      <w:r w:rsidRPr="00827314">
        <w:rPr>
          <w:rFonts w:eastAsia="Batang"/>
          <w:sz w:val="20"/>
          <w:lang w:eastAsia="ko-KR"/>
        </w:rPr>
        <w:t>El presupuesto de 2012/13 después de las transferencias refleja los ajustes que se detallan en las notas precedentes.</w:t>
      </w:r>
    </w:p>
    <w:p w:rsidR="00B070BF" w:rsidRPr="00827314" w:rsidRDefault="00B070BF" w:rsidP="00B070BF">
      <w:pPr>
        <w:widowControl w:val="0"/>
        <w:jc w:val="both"/>
        <w:rPr>
          <w:rFonts w:eastAsia="Batang"/>
          <w:sz w:val="20"/>
          <w:lang w:eastAsia="ko-KR"/>
        </w:rPr>
      </w:pPr>
    </w:p>
    <w:p w:rsidR="00B070BF" w:rsidRPr="00827314" w:rsidRDefault="00B070BF" w:rsidP="00B070BF">
      <w:pPr>
        <w:widowControl w:val="0"/>
        <w:jc w:val="both"/>
        <w:rPr>
          <w:rFonts w:eastAsia="Batang"/>
          <w:sz w:val="20"/>
          <w:u w:val="single"/>
          <w:lang w:eastAsia="ko-KR"/>
        </w:rPr>
      </w:pPr>
      <w:r w:rsidRPr="00827314">
        <w:rPr>
          <w:rFonts w:eastAsia="Batang"/>
          <w:sz w:val="20"/>
          <w:lang w:eastAsia="ko-KR"/>
        </w:rPr>
        <w:t>B.</w:t>
      </w:r>
      <w:r>
        <w:rPr>
          <w:rFonts w:eastAsia="Batang"/>
          <w:sz w:val="20"/>
          <w:lang w:eastAsia="ko-KR"/>
        </w:rPr>
        <w:t xml:space="preserve"> </w:t>
      </w:r>
      <w:r w:rsidRPr="00827314">
        <w:rPr>
          <w:rFonts w:eastAsia="Batang"/>
          <w:sz w:val="20"/>
          <w:lang w:eastAsia="ko-KR"/>
        </w:rPr>
        <w:t xml:space="preserve"> </w:t>
      </w:r>
      <w:r w:rsidRPr="00827314">
        <w:rPr>
          <w:rFonts w:eastAsia="Batang"/>
          <w:sz w:val="20"/>
          <w:u w:val="single"/>
          <w:lang w:eastAsia="ko-KR"/>
        </w:rPr>
        <w:t>Utilización del presupuesto 2012</w:t>
      </w:r>
    </w:p>
    <w:p w:rsidR="00B070BF" w:rsidRPr="00827314" w:rsidRDefault="00B070BF" w:rsidP="00B070BF">
      <w:pPr>
        <w:widowControl w:val="0"/>
        <w:jc w:val="both"/>
        <w:rPr>
          <w:rFonts w:eastAsia="Batang"/>
          <w:sz w:val="20"/>
          <w:lang w:eastAsia="ko-KR"/>
        </w:rPr>
      </w:pPr>
    </w:p>
    <w:p w:rsidR="00B070BF" w:rsidRPr="00B25458" w:rsidRDefault="00B070BF" w:rsidP="00B070BF">
      <w:pPr>
        <w:widowControl w:val="0"/>
        <w:numPr>
          <w:ilvl w:val="0"/>
          <w:numId w:val="7"/>
        </w:numPr>
        <w:rPr>
          <w:sz w:val="20"/>
        </w:rPr>
      </w:pPr>
      <w:r w:rsidRPr="00B25458">
        <w:rPr>
          <w:rFonts w:eastAsia="Batang"/>
          <w:sz w:val="20"/>
          <w:lang w:eastAsia="ko-KR"/>
        </w:rPr>
        <w:t>La utilización del presupuesto se mantiene entre el 40% y el 60% en el primer año del bienio y progresa con normalidad.</w:t>
      </w:r>
    </w:p>
    <w:p w:rsidR="00B070BF" w:rsidRPr="009577DE" w:rsidRDefault="00B070BF" w:rsidP="00B070BF">
      <w:pPr>
        <w:widowControl w:val="0"/>
        <w:spacing w:before="240" w:after="60"/>
        <w:ind w:left="2835" w:hanging="2835"/>
        <w:outlineLvl w:val="1"/>
        <w:rPr>
          <w:b/>
          <w:iCs/>
          <w:caps/>
          <w:szCs w:val="22"/>
        </w:rPr>
      </w:pPr>
      <w:r w:rsidRPr="00AB16BB">
        <w:rPr>
          <w:bCs/>
          <w:iCs/>
          <w:caps/>
          <w:sz w:val="12"/>
          <w:szCs w:val="12"/>
        </w:rPr>
        <w:br w:type="page"/>
      </w:r>
      <w:bookmarkStart w:id="22" w:name="_Toc359846791"/>
      <w:bookmarkStart w:id="23" w:name="_Toc359949315"/>
      <w:r w:rsidRPr="009577DE">
        <w:rPr>
          <w:b/>
          <w:iCs/>
          <w:szCs w:val="22"/>
        </w:rPr>
        <w:lastRenderedPageBreak/>
        <w:t>PROGRAMA 31</w:t>
      </w:r>
      <w:r w:rsidRPr="009577DE">
        <w:rPr>
          <w:b/>
          <w:iCs/>
          <w:szCs w:val="22"/>
        </w:rPr>
        <w:tab/>
        <w:t>SISTEMA DE LA HAYA</w:t>
      </w:r>
      <w:bookmarkEnd w:id="22"/>
      <w:bookmarkEnd w:id="23"/>
    </w:p>
    <w:p w:rsidR="00B070BF" w:rsidRPr="009577DE" w:rsidRDefault="00B070BF" w:rsidP="00B070BF">
      <w:pPr>
        <w:widowControl w:val="0"/>
        <w:rPr>
          <w:sz w:val="20"/>
          <w:lang w:val="es-ES_tradnl"/>
        </w:rPr>
      </w:pPr>
    </w:p>
    <w:p w:rsidR="00B070BF" w:rsidRPr="009577DE" w:rsidRDefault="00B070BF" w:rsidP="00B070BF">
      <w:pPr>
        <w:widowControl w:val="0"/>
        <w:rPr>
          <w:sz w:val="20"/>
          <w:lang w:val="es-ES_tradnl"/>
        </w:rPr>
      </w:pPr>
    </w:p>
    <w:p w:rsidR="00B070BF" w:rsidRPr="009577DE" w:rsidRDefault="00B070BF" w:rsidP="00B070BF">
      <w:pPr>
        <w:widowControl w:val="0"/>
        <w:tabs>
          <w:tab w:val="left" w:pos="2268"/>
        </w:tabs>
        <w:rPr>
          <w:b/>
          <w:szCs w:val="22"/>
          <w:lang w:val="es-ES_tradnl"/>
        </w:rPr>
      </w:pPr>
      <w:r w:rsidRPr="009577DE">
        <w:rPr>
          <w:b/>
          <w:szCs w:val="22"/>
          <w:lang w:val="es-ES_tradnl"/>
        </w:rPr>
        <w:t>Directora del Programa</w:t>
      </w:r>
      <w:r w:rsidRPr="009577DE">
        <w:rPr>
          <w:b/>
          <w:szCs w:val="22"/>
          <w:lang w:val="es-ES_tradnl"/>
        </w:rPr>
        <w:tab/>
        <w:t>Sra.</w:t>
      </w:r>
      <w:r>
        <w:rPr>
          <w:b/>
          <w:szCs w:val="22"/>
          <w:lang w:val="es-ES_tradnl"/>
        </w:rPr>
        <w:t xml:space="preserve"> </w:t>
      </w:r>
      <w:r w:rsidRPr="009577DE">
        <w:rPr>
          <w:b/>
          <w:szCs w:val="22"/>
          <w:lang w:val="es-ES_tradnl"/>
        </w:rPr>
        <w:t>Binying Wang</w:t>
      </w:r>
    </w:p>
    <w:p w:rsidR="00B070BF" w:rsidRPr="009577DE" w:rsidRDefault="00B070BF" w:rsidP="00B070BF">
      <w:pPr>
        <w:widowControl w:val="0"/>
        <w:rPr>
          <w:sz w:val="20"/>
          <w:lang w:val="es-ES_tradnl"/>
        </w:rPr>
      </w:pPr>
    </w:p>
    <w:p w:rsidR="00B070BF" w:rsidRPr="009577DE" w:rsidRDefault="00B070BF" w:rsidP="00B070BF">
      <w:pPr>
        <w:widowControl w:val="0"/>
        <w:rPr>
          <w:bCs/>
          <w:sz w:val="20"/>
          <w:lang w:val="es-ES_tradnl"/>
        </w:rPr>
      </w:pPr>
    </w:p>
    <w:p w:rsidR="00B070BF" w:rsidRPr="009577DE" w:rsidRDefault="00B070BF" w:rsidP="00B070BF">
      <w:pPr>
        <w:widowControl w:val="0"/>
        <w:spacing w:line="260" w:lineRule="atLeast"/>
        <w:rPr>
          <w:bCs/>
          <w:szCs w:val="22"/>
          <w:lang w:val="es-ES_tradnl"/>
        </w:rPr>
      </w:pPr>
      <w:r w:rsidRPr="009577DE">
        <w:rPr>
          <w:bCs/>
          <w:sz w:val="20"/>
          <w:szCs w:val="22"/>
          <w:lang w:val="es-ES_tradnl"/>
        </w:rPr>
        <w:t>RESEÑA DE LOS AVANCES LOGRADOS EN 2012</w:t>
      </w:r>
    </w:p>
    <w:p w:rsidR="00B070BF" w:rsidRPr="009577DE" w:rsidRDefault="00B070BF" w:rsidP="00B070BF">
      <w:pPr>
        <w:widowControl w:val="0"/>
        <w:jc w:val="both"/>
        <w:rPr>
          <w:szCs w:val="22"/>
          <w:lang w:val="es-ES_tradnl"/>
        </w:rPr>
      </w:pPr>
    </w:p>
    <w:p w:rsidR="00B070BF" w:rsidRPr="009577DE" w:rsidRDefault="00B070BF" w:rsidP="00B070BF">
      <w:pPr>
        <w:widowControl w:val="0"/>
        <w:numPr>
          <w:ilvl w:val="0"/>
          <w:numId w:val="12"/>
        </w:numPr>
        <w:jc w:val="both"/>
        <w:rPr>
          <w:sz w:val="20"/>
        </w:rPr>
      </w:pPr>
      <w:r w:rsidRPr="009577DE">
        <w:rPr>
          <w:sz w:val="20"/>
        </w:rPr>
        <w:t>En 2012, Montenegro y Túnez pasaron a ser parte en el Acta de Ginebra (1999) del Arreglo de La Haya relativo al registro internacional de dibujos y modelos industriales (denominados en lo sucesivo "el Acta de 1999" y el "Arreglo de La Haya", respectivamente).  La adhesión de Túnez supone un importante paso hacia el objetivo de establecer el predominio del Acta de Ginebra (1999) en el sistema de La Haya puesto que gracias a esta adhesión ya no quedan Estados Contratantes vinculados únicamente por el Acta de 1934.</w:t>
      </w:r>
    </w:p>
    <w:p w:rsidR="00B070BF" w:rsidRPr="009577DE" w:rsidRDefault="00B070BF" w:rsidP="00B070BF">
      <w:pPr>
        <w:widowControl w:val="0"/>
        <w:autoSpaceDE w:val="0"/>
        <w:autoSpaceDN w:val="0"/>
        <w:adjustRightInd w:val="0"/>
        <w:jc w:val="both"/>
        <w:rPr>
          <w:sz w:val="20"/>
        </w:rPr>
      </w:pPr>
    </w:p>
    <w:p w:rsidR="00B070BF" w:rsidRPr="009577DE" w:rsidRDefault="00B070BF" w:rsidP="00B070BF">
      <w:pPr>
        <w:widowControl w:val="0"/>
        <w:numPr>
          <w:ilvl w:val="0"/>
          <w:numId w:val="12"/>
        </w:numPr>
        <w:jc w:val="both"/>
        <w:rPr>
          <w:sz w:val="20"/>
        </w:rPr>
      </w:pPr>
      <w:r w:rsidRPr="009577DE">
        <w:rPr>
          <w:sz w:val="20"/>
        </w:rPr>
        <w:t>Desde enero de 2012, el Boletín de Dibujos y Modelos Internacionales se publica una vez por semana, lo que ha permitido reducir de nueve a cuatro semanas el promedio del tiempo de tramitación entre la presentación y la publicación de una solicitud regular de publicación no diferida.  Asimismo, aproximadamente el 80% de las nuevas solicitudes y el 60% de las renovaciones fueron presentadas mediante la respectiva interfaz para la presentación o renovación electrónica, lo que dio lugar a una tramitación totalmente automatizada.  Por último, una encuesta realizada de forma independiente reveló que el 95% de los usuarios del sistema de la Haya se sienten satisfechos.</w:t>
      </w:r>
    </w:p>
    <w:p w:rsidR="00B070BF" w:rsidRPr="009577DE" w:rsidRDefault="00B070BF" w:rsidP="00B070BF">
      <w:pPr>
        <w:widowControl w:val="0"/>
        <w:autoSpaceDE w:val="0"/>
        <w:autoSpaceDN w:val="0"/>
        <w:adjustRightInd w:val="0"/>
        <w:jc w:val="both"/>
        <w:rPr>
          <w:sz w:val="20"/>
        </w:rPr>
      </w:pPr>
    </w:p>
    <w:p w:rsidR="00B070BF" w:rsidRPr="009577DE" w:rsidRDefault="00B070BF" w:rsidP="00B070BF">
      <w:pPr>
        <w:widowControl w:val="0"/>
        <w:numPr>
          <w:ilvl w:val="0"/>
          <w:numId w:val="12"/>
        </w:numPr>
        <w:jc w:val="both"/>
        <w:rPr>
          <w:sz w:val="20"/>
        </w:rPr>
      </w:pPr>
      <w:r w:rsidRPr="009577DE">
        <w:rPr>
          <w:sz w:val="20"/>
        </w:rPr>
        <w:t xml:space="preserve">La entrada en vigor de una serie de modificaciones al Reglamento Común y a las Instrucciones el 1 de enero de 2012, generó una actualización general del marco jurídico y mejoró la administración del sistema de La Haya.  Se esperan nuevas modificaciones en un futuro próximo como consecuencia de la aprobación por parte del Grupo de Trabajo de las implicaciones legislativas de la introducción de algunas innovaciones basadas en las tecnologías de la información, tales como el </w:t>
      </w:r>
      <w:proofErr w:type="spellStart"/>
      <w:r w:rsidRPr="009577DE">
        <w:rPr>
          <w:i/>
          <w:sz w:val="20"/>
        </w:rPr>
        <w:t>Hague</w:t>
      </w:r>
      <w:proofErr w:type="spellEnd"/>
      <w:r w:rsidRPr="009577DE">
        <w:rPr>
          <w:i/>
          <w:sz w:val="20"/>
        </w:rPr>
        <w:t xml:space="preserve"> Portfolio</w:t>
      </w:r>
      <w:r w:rsidRPr="009577DE">
        <w:rPr>
          <w:sz w:val="20"/>
        </w:rPr>
        <w:t xml:space="preserve"> </w:t>
      </w:r>
      <w:r w:rsidRPr="009577DE">
        <w:rPr>
          <w:i/>
          <w:sz w:val="20"/>
        </w:rPr>
        <w:t>Manager</w:t>
      </w:r>
      <w:r w:rsidRPr="009577DE">
        <w:rPr>
          <w:sz w:val="20"/>
        </w:rPr>
        <w:t>, durante su segunda sesión celebrada en Ginebra del 5 al 7 de noviembre de 2012.</w:t>
      </w:r>
    </w:p>
    <w:p w:rsidR="00B070BF" w:rsidRPr="009577DE" w:rsidRDefault="00B070BF" w:rsidP="00B070BF">
      <w:pPr>
        <w:widowControl w:val="0"/>
        <w:autoSpaceDE w:val="0"/>
        <w:autoSpaceDN w:val="0"/>
        <w:adjustRightInd w:val="0"/>
        <w:jc w:val="both"/>
        <w:rPr>
          <w:sz w:val="20"/>
        </w:rPr>
      </w:pPr>
    </w:p>
    <w:p w:rsidR="00B070BF" w:rsidRPr="009577DE" w:rsidRDefault="00B070BF" w:rsidP="00B070BF">
      <w:pPr>
        <w:widowControl w:val="0"/>
        <w:numPr>
          <w:ilvl w:val="0"/>
          <w:numId w:val="12"/>
        </w:numPr>
        <w:jc w:val="both"/>
        <w:rPr>
          <w:sz w:val="20"/>
        </w:rPr>
      </w:pPr>
      <w:r w:rsidRPr="009577DE">
        <w:rPr>
          <w:sz w:val="20"/>
        </w:rPr>
        <w:t>Durante 2012, el sistema de la Haya continuó creciendo gracias a un aumento del número de solicitantes que presentan solicitudes por primera vez.  Asimismo, aumentó el número de publicaciones disponibles en otros idiomas aparte de los tres idiomas de trabajo del Sistema.  El número de oficinas que ofrecen información adecuada al público acerca del sistema de la Haya también aumentó.</w:t>
      </w:r>
    </w:p>
    <w:p w:rsidR="00B070BF" w:rsidRPr="009577DE" w:rsidRDefault="00B070BF" w:rsidP="00B070BF">
      <w:pPr>
        <w:widowControl w:val="0"/>
        <w:autoSpaceDE w:val="0"/>
        <w:autoSpaceDN w:val="0"/>
        <w:adjustRightInd w:val="0"/>
        <w:jc w:val="both"/>
        <w:rPr>
          <w:sz w:val="20"/>
        </w:rPr>
      </w:pPr>
    </w:p>
    <w:p w:rsidR="00B070BF" w:rsidRPr="009577DE" w:rsidRDefault="00B070BF" w:rsidP="00B070BF">
      <w:pPr>
        <w:widowControl w:val="0"/>
        <w:numPr>
          <w:ilvl w:val="0"/>
          <w:numId w:val="12"/>
        </w:numPr>
        <w:jc w:val="both"/>
        <w:rPr>
          <w:sz w:val="20"/>
        </w:rPr>
      </w:pPr>
      <w:r w:rsidRPr="009577DE">
        <w:rPr>
          <w:sz w:val="20"/>
        </w:rPr>
        <w:t>A pesar de un aumento general de las actividades de presentación y de publicación que ha sido marcado por un mayor número de designaciones de países en desarrollo y PMA; y pese a que se esté progresando con normalidad en materia de renovaciones, los volúmenes del sistema de la Haya se han ubicado muy por debajo de lo previsto inicialmente.  Esto se debe a que los resultados fueron inferiores a lo esperado en el bienio 2010/11; aunque éstos se hayan tomado como base para las previsiones del año 2012.  Estos resultados inferiores a lo esperado en el bienio 2010/11 se deben a dos factores externos:  i) la persistente crisis económica mundial; y ii) al hecho de que el número de partes en el Acta de 1999 no aumentó como se esperaba.  Además, el desarrollo de una nueva interfaz de presentación electrónica de solicitudes, que debía reducir el número de errores de forma en las solicitudes, se retrasó y no finalizó en 2012, lo que dio como resultado que el porcentaje de solicitudes irregulares no haya disminuido como se esperaba.</w:t>
      </w:r>
    </w:p>
    <w:p w:rsidR="00B070BF" w:rsidRPr="009577DE" w:rsidRDefault="00B070BF" w:rsidP="00B070BF">
      <w:pPr>
        <w:widowControl w:val="0"/>
        <w:jc w:val="both"/>
        <w:rPr>
          <w:sz w:val="20"/>
        </w:rPr>
      </w:pPr>
    </w:p>
    <w:p w:rsidR="00B070BF" w:rsidRPr="009577DE" w:rsidRDefault="00B070BF" w:rsidP="00B070BF">
      <w:pPr>
        <w:widowControl w:val="0"/>
        <w:jc w:val="both"/>
        <w:rPr>
          <w:szCs w:val="22"/>
        </w:rPr>
      </w:pPr>
    </w:p>
    <w:p w:rsidR="00B070BF" w:rsidRPr="00EC1FF8" w:rsidRDefault="00B070BF" w:rsidP="00B070BF">
      <w:pPr>
        <w:widowControl w:val="0"/>
        <w:jc w:val="both"/>
        <w:rPr>
          <w:rFonts w:eastAsia="MS Mincho"/>
          <w:sz w:val="20"/>
          <w:lang w:val="es-ES_tradnl" w:eastAsia="ja-JP"/>
        </w:rPr>
      </w:pPr>
      <w:r w:rsidRPr="00EC1FF8">
        <w:rPr>
          <w:sz w:val="20"/>
          <w:lang w:val="es-ES_tradnl"/>
        </w:rPr>
        <w:t>AGENDA PARA EL DESARROLLO</w:t>
      </w:r>
    </w:p>
    <w:p w:rsidR="00B070BF" w:rsidRPr="00EC1FF8" w:rsidRDefault="00B070BF" w:rsidP="00B070BF">
      <w:pPr>
        <w:widowControl w:val="0"/>
        <w:autoSpaceDE w:val="0"/>
        <w:autoSpaceDN w:val="0"/>
        <w:adjustRightInd w:val="0"/>
        <w:jc w:val="both"/>
        <w:rPr>
          <w:sz w:val="20"/>
          <w:lang w:val="es-ES_tradnl"/>
        </w:rPr>
      </w:pPr>
    </w:p>
    <w:p w:rsidR="00B070BF" w:rsidRPr="009577DE" w:rsidRDefault="00B070BF" w:rsidP="00B070BF">
      <w:pPr>
        <w:widowControl w:val="0"/>
        <w:numPr>
          <w:ilvl w:val="0"/>
          <w:numId w:val="12"/>
        </w:numPr>
        <w:jc w:val="both"/>
        <w:rPr>
          <w:bCs/>
          <w:szCs w:val="22"/>
          <w:lang w:val="es-ES_tradnl"/>
        </w:rPr>
      </w:pPr>
      <w:r w:rsidRPr="009577DE">
        <w:rPr>
          <w:rFonts w:eastAsia="MS Mincho"/>
          <w:sz w:val="20"/>
          <w:lang w:val="es-ES_tradnl" w:eastAsia="ja-JP"/>
        </w:rPr>
        <w:t>El diseño, la planificación y la ejecución de las actividades del programa 31 se basaron y se guiaron por las recomendaciones pertinentes de la Agenda para el Desarrollo, en particular por las recomendaciones 1 y 6.</w:t>
      </w:r>
    </w:p>
    <w:p w:rsidR="00B070BF" w:rsidRPr="009577DE" w:rsidRDefault="00B070BF" w:rsidP="00B070BF">
      <w:pPr>
        <w:widowControl w:val="0"/>
        <w:jc w:val="both"/>
        <w:rPr>
          <w:bCs/>
          <w:szCs w:val="22"/>
          <w:lang w:val="es-ES_tradnl"/>
        </w:rPr>
      </w:pPr>
    </w:p>
    <w:p w:rsidR="00B070BF" w:rsidRDefault="00B070BF" w:rsidP="00B070BF">
      <w:pPr>
        <w:rPr>
          <w:rFonts w:eastAsia="MS Mincho"/>
          <w:szCs w:val="22"/>
          <w:lang w:val="es-ES_tradnl" w:eastAsia="ja-JP" w:bidi="th-TH"/>
        </w:rPr>
      </w:pPr>
      <w:r>
        <w:rPr>
          <w:rFonts w:eastAsia="MS Mincho"/>
          <w:szCs w:val="22"/>
          <w:lang w:val="es-ES_tradnl" w:eastAsia="ja-JP" w:bidi="th-TH"/>
        </w:rPr>
        <w:br w:type="page"/>
      </w:r>
    </w:p>
    <w:p w:rsidR="00B070BF" w:rsidRPr="009577DE" w:rsidRDefault="00B070BF" w:rsidP="00B070BF">
      <w:pPr>
        <w:widowControl w:val="0"/>
        <w:jc w:val="both"/>
        <w:rPr>
          <w:rFonts w:eastAsia="MS Mincho"/>
          <w:szCs w:val="22"/>
          <w:lang w:val="es-ES_tradnl" w:eastAsia="ja-JP" w:bidi="th-TH"/>
        </w:rPr>
      </w:pPr>
    </w:p>
    <w:p w:rsidR="00B070BF" w:rsidRPr="00EC1FF8" w:rsidRDefault="00B070BF" w:rsidP="00B070BF">
      <w:pPr>
        <w:keepNext/>
        <w:widowControl w:val="0"/>
        <w:jc w:val="both"/>
        <w:rPr>
          <w:bCs/>
          <w:sz w:val="20"/>
          <w:lang w:val="es-ES_tradnl"/>
        </w:rPr>
      </w:pPr>
      <w:r w:rsidRPr="00EC1FF8">
        <w:rPr>
          <w:bCs/>
          <w:sz w:val="20"/>
          <w:lang w:val="es-ES_tradnl"/>
        </w:rPr>
        <w:t>DATOS SOBRE EL RENDIMIENTO</w:t>
      </w:r>
    </w:p>
    <w:p w:rsidR="00B070BF" w:rsidRPr="00EC1FF8" w:rsidRDefault="00B070BF" w:rsidP="00B070BF">
      <w:pPr>
        <w:keepNext/>
        <w:widowControl w:val="0"/>
        <w:jc w:val="both"/>
        <w:rPr>
          <w:sz w:val="20"/>
          <w:lang w:val="es-ES_tradnl"/>
        </w:rPr>
      </w:pPr>
    </w:p>
    <w:tbl>
      <w:tblPr>
        <w:tblW w:w="5000" w:type="pct"/>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608"/>
        <w:gridCol w:w="1696"/>
        <w:gridCol w:w="1472"/>
        <w:gridCol w:w="80"/>
        <w:gridCol w:w="3476"/>
        <w:gridCol w:w="1239"/>
      </w:tblGrid>
      <w:tr w:rsidR="00B070BF" w:rsidRPr="009577DE" w:rsidTr="00C33D4A">
        <w:trPr>
          <w:cantSplit/>
        </w:trPr>
        <w:tc>
          <w:tcPr>
            <w:tcW w:w="5000" w:type="pct"/>
            <w:gridSpan w:val="6"/>
            <w:tcBorders>
              <w:top w:val="single" w:sz="4" w:space="0" w:color="auto"/>
              <w:bottom w:val="single" w:sz="4" w:space="0" w:color="auto"/>
            </w:tcBorders>
            <w:shd w:val="clear" w:color="auto" w:fill="CCFFFF"/>
            <w:vAlign w:val="center"/>
          </w:tcPr>
          <w:p w:rsidR="00B070BF" w:rsidRPr="009577DE" w:rsidRDefault="00B070BF" w:rsidP="00C33D4A">
            <w:pPr>
              <w:widowControl w:val="0"/>
              <w:tabs>
                <w:tab w:val="left" w:pos="1735"/>
              </w:tabs>
              <w:spacing w:before="120" w:after="120"/>
              <w:ind w:left="1735" w:hanging="1735"/>
              <w:rPr>
                <w:b/>
                <w:bCs/>
                <w:sz w:val="16"/>
                <w:szCs w:val="16"/>
              </w:rPr>
            </w:pPr>
            <w:r w:rsidRPr="009577DE">
              <w:rPr>
                <w:b/>
                <w:bCs/>
                <w:sz w:val="16"/>
                <w:szCs w:val="16"/>
              </w:rPr>
              <w:t>Resultado previsto:</w:t>
            </w:r>
            <w:r w:rsidRPr="009577DE">
              <w:rPr>
                <w:b/>
                <w:bCs/>
                <w:sz w:val="16"/>
                <w:szCs w:val="16"/>
              </w:rPr>
              <w:tab/>
            </w:r>
            <w:r w:rsidRPr="009577DE">
              <w:rPr>
                <w:bCs/>
                <w:sz w:val="16"/>
                <w:szCs w:val="16"/>
              </w:rPr>
              <w:t xml:space="preserve"> Mayor sensibilización acerca del sistema de La Haya.</w:t>
            </w:r>
          </w:p>
        </w:tc>
      </w:tr>
      <w:tr w:rsidR="00B070BF" w:rsidRPr="009577DE" w:rsidTr="00C33D4A">
        <w:trPr>
          <w:cantSplit/>
        </w:trPr>
        <w:tc>
          <w:tcPr>
            <w:tcW w:w="855" w:type="pct"/>
            <w:tcBorders>
              <w:top w:val="single" w:sz="4" w:space="0" w:color="auto"/>
            </w:tcBorders>
            <w:shd w:val="clear" w:color="auto" w:fill="auto"/>
            <w:vAlign w:val="center"/>
          </w:tcPr>
          <w:p w:rsidR="00B070BF" w:rsidRPr="009577DE" w:rsidRDefault="00B070BF" w:rsidP="00C33D4A">
            <w:pPr>
              <w:widowControl w:val="0"/>
              <w:spacing w:after="120"/>
              <w:rPr>
                <w:sz w:val="16"/>
                <w:szCs w:val="16"/>
              </w:rPr>
            </w:pPr>
            <w:r w:rsidRPr="009577DE">
              <w:rPr>
                <w:b/>
                <w:bCs/>
                <w:sz w:val="16"/>
                <w:szCs w:val="16"/>
              </w:rPr>
              <w:t>Indicadores de rendimiento</w:t>
            </w:r>
          </w:p>
        </w:tc>
        <w:tc>
          <w:tcPr>
            <w:tcW w:w="901" w:type="pct"/>
            <w:tcBorders>
              <w:top w:val="single" w:sz="4" w:space="0" w:color="auto"/>
            </w:tcBorders>
            <w:shd w:val="clear" w:color="auto" w:fill="C0C0C0"/>
          </w:tcPr>
          <w:p w:rsidR="00B070BF" w:rsidRPr="009577DE" w:rsidRDefault="00B070BF" w:rsidP="00C33D4A">
            <w:pPr>
              <w:widowControl w:val="0"/>
              <w:spacing w:after="120"/>
              <w:rPr>
                <w:b/>
                <w:bCs/>
                <w:sz w:val="16"/>
                <w:szCs w:val="16"/>
              </w:rPr>
            </w:pPr>
            <w:r w:rsidRPr="009577DE">
              <w:rPr>
                <w:b/>
                <w:bCs/>
                <w:sz w:val="16"/>
                <w:szCs w:val="16"/>
              </w:rPr>
              <w:t>Referencia (</w:t>
            </w:r>
            <w:proofErr w:type="spellStart"/>
            <w:r w:rsidRPr="009577DE">
              <w:rPr>
                <w:b/>
                <w:bCs/>
                <w:sz w:val="16"/>
                <w:szCs w:val="16"/>
              </w:rPr>
              <w:t>Presup</w:t>
            </w:r>
            <w:proofErr w:type="spellEnd"/>
            <w:r w:rsidRPr="009577DE">
              <w:rPr>
                <w:b/>
                <w:bCs/>
                <w:sz w:val="16"/>
                <w:szCs w:val="16"/>
              </w:rPr>
              <w:t xml:space="preserve">. por </w:t>
            </w:r>
            <w:proofErr w:type="spellStart"/>
            <w:r w:rsidRPr="009577DE">
              <w:rPr>
                <w:b/>
                <w:bCs/>
                <w:sz w:val="16"/>
                <w:szCs w:val="16"/>
              </w:rPr>
              <w:t>prog</w:t>
            </w:r>
            <w:proofErr w:type="spellEnd"/>
            <w:r w:rsidRPr="009577DE">
              <w:rPr>
                <w:b/>
                <w:bCs/>
                <w:sz w:val="16"/>
                <w:szCs w:val="16"/>
              </w:rPr>
              <w:t>. 2012/13)</w:t>
            </w:r>
          </w:p>
        </w:tc>
        <w:tc>
          <w:tcPr>
            <w:tcW w:w="839" w:type="pct"/>
            <w:gridSpan w:val="2"/>
            <w:tcBorders>
              <w:top w:val="single" w:sz="4" w:space="0" w:color="auto"/>
            </w:tcBorders>
            <w:shd w:val="clear" w:color="auto" w:fill="auto"/>
            <w:tcMar>
              <w:top w:w="110" w:type="dxa"/>
            </w:tcMar>
            <w:vAlign w:val="center"/>
          </w:tcPr>
          <w:p w:rsidR="00B070BF" w:rsidRPr="009577DE" w:rsidRDefault="00B070BF" w:rsidP="00C33D4A">
            <w:pPr>
              <w:widowControl w:val="0"/>
              <w:spacing w:after="120"/>
              <w:rPr>
                <w:b/>
                <w:sz w:val="16"/>
                <w:szCs w:val="16"/>
              </w:rPr>
            </w:pPr>
            <w:r w:rsidRPr="00BF138D">
              <w:rPr>
                <w:b/>
                <w:color w:val="993300"/>
                <w:sz w:val="16"/>
                <w:szCs w:val="16"/>
              </w:rPr>
              <w:t>Referencia actualizada a finales de 2011</w:t>
            </w:r>
          </w:p>
        </w:tc>
        <w:tc>
          <w:tcPr>
            <w:tcW w:w="1832" w:type="pct"/>
            <w:tcBorders>
              <w:top w:val="single" w:sz="4" w:space="0" w:color="auto"/>
            </w:tcBorders>
            <w:shd w:val="clear" w:color="auto" w:fill="FFFFFF"/>
            <w:tcMar>
              <w:top w:w="110" w:type="dxa"/>
            </w:tcMar>
            <w:vAlign w:val="center"/>
          </w:tcPr>
          <w:p w:rsidR="00B070BF" w:rsidRPr="009577DE" w:rsidRDefault="00B070BF" w:rsidP="00C33D4A">
            <w:pPr>
              <w:widowControl w:val="0"/>
              <w:spacing w:after="120"/>
              <w:rPr>
                <w:sz w:val="16"/>
                <w:szCs w:val="16"/>
              </w:rPr>
            </w:pPr>
            <w:r w:rsidRPr="009577DE">
              <w:rPr>
                <w:b/>
                <w:bCs/>
                <w:sz w:val="16"/>
                <w:szCs w:val="16"/>
              </w:rPr>
              <w:t>Datos sobre el rendimiento</w:t>
            </w:r>
          </w:p>
        </w:tc>
        <w:tc>
          <w:tcPr>
            <w:tcW w:w="573" w:type="pct"/>
            <w:tcBorders>
              <w:top w:val="single" w:sz="4" w:space="0" w:color="auto"/>
            </w:tcBorders>
            <w:shd w:val="clear" w:color="auto" w:fill="auto"/>
            <w:tcMar>
              <w:top w:w="110" w:type="dxa"/>
            </w:tcMar>
            <w:vAlign w:val="center"/>
          </w:tcPr>
          <w:p w:rsidR="00B070BF" w:rsidRPr="009577DE" w:rsidRDefault="00B070BF" w:rsidP="00C33D4A">
            <w:pPr>
              <w:widowControl w:val="0"/>
              <w:spacing w:after="120"/>
              <w:jc w:val="center"/>
              <w:rPr>
                <w:b/>
                <w:bCs/>
                <w:sz w:val="16"/>
                <w:szCs w:val="16"/>
              </w:rPr>
            </w:pPr>
            <w:r w:rsidRPr="009577DE">
              <w:rPr>
                <w:b/>
                <w:bCs/>
                <w:sz w:val="16"/>
                <w:szCs w:val="16"/>
              </w:rPr>
              <w:t>Clave de colores</w:t>
            </w:r>
          </w:p>
        </w:tc>
      </w:tr>
      <w:tr w:rsidR="00B070BF" w:rsidRPr="009577DE" w:rsidTr="00C33D4A">
        <w:trPr>
          <w:cantSplit/>
        </w:trPr>
        <w:tc>
          <w:tcPr>
            <w:tcW w:w="855" w:type="pct"/>
            <w:shd w:val="clear" w:color="auto" w:fill="auto"/>
          </w:tcPr>
          <w:p w:rsidR="00B070BF" w:rsidRPr="009577DE" w:rsidRDefault="00B070BF" w:rsidP="00C33D4A">
            <w:pPr>
              <w:widowControl w:val="0"/>
              <w:rPr>
                <w:sz w:val="16"/>
                <w:szCs w:val="16"/>
              </w:rPr>
            </w:pPr>
            <w:r w:rsidRPr="009577DE">
              <w:rPr>
                <w:sz w:val="16"/>
                <w:szCs w:val="16"/>
              </w:rPr>
              <w:t>Número de solicitantes que presentan solicitudes por primera vez.</w:t>
            </w:r>
          </w:p>
        </w:tc>
        <w:tc>
          <w:tcPr>
            <w:tcW w:w="901" w:type="pct"/>
            <w:shd w:val="clear" w:color="auto" w:fill="C0C0C0"/>
          </w:tcPr>
          <w:p w:rsidR="00B070BF" w:rsidRPr="009577DE" w:rsidRDefault="00B070BF" w:rsidP="00C33D4A">
            <w:pPr>
              <w:widowControl w:val="0"/>
              <w:rPr>
                <w:sz w:val="16"/>
                <w:szCs w:val="16"/>
              </w:rPr>
            </w:pPr>
            <w:r w:rsidRPr="009577DE">
              <w:rPr>
                <w:sz w:val="16"/>
                <w:szCs w:val="16"/>
              </w:rPr>
              <w:t>No se dispone de datos.</w:t>
            </w:r>
          </w:p>
        </w:tc>
        <w:tc>
          <w:tcPr>
            <w:tcW w:w="839" w:type="pct"/>
            <w:gridSpan w:val="2"/>
            <w:shd w:val="clear" w:color="auto" w:fill="auto"/>
            <w:tcMar>
              <w:top w:w="110" w:type="dxa"/>
            </w:tcMar>
          </w:tcPr>
          <w:p w:rsidR="00B070BF" w:rsidRPr="009577DE" w:rsidRDefault="00B070BF" w:rsidP="00C33D4A">
            <w:pPr>
              <w:widowControl w:val="0"/>
              <w:rPr>
                <w:sz w:val="16"/>
                <w:szCs w:val="16"/>
                <w:lang w:bidi="th-TH"/>
              </w:rPr>
            </w:pPr>
          </w:p>
        </w:tc>
        <w:tc>
          <w:tcPr>
            <w:tcW w:w="1832" w:type="pct"/>
            <w:shd w:val="clear" w:color="auto" w:fill="FFFFFF"/>
            <w:tcMar>
              <w:top w:w="110" w:type="dxa"/>
            </w:tcMar>
          </w:tcPr>
          <w:p w:rsidR="00B070BF" w:rsidRPr="009577DE" w:rsidRDefault="00B070BF" w:rsidP="00C33D4A">
            <w:pPr>
              <w:widowControl w:val="0"/>
              <w:rPr>
                <w:sz w:val="16"/>
                <w:szCs w:val="16"/>
                <w:lang w:bidi="th-TH"/>
              </w:rPr>
            </w:pPr>
            <w:r w:rsidRPr="009577DE">
              <w:rPr>
                <w:sz w:val="16"/>
                <w:szCs w:val="16"/>
                <w:lang w:bidi="th-TH"/>
              </w:rPr>
              <w:t>No se dispone de datos.</w:t>
            </w:r>
          </w:p>
          <w:p w:rsidR="00B070BF" w:rsidRPr="009577DE" w:rsidRDefault="00B070BF" w:rsidP="00C33D4A">
            <w:pPr>
              <w:widowControl w:val="0"/>
              <w:rPr>
                <w:sz w:val="16"/>
                <w:szCs w:val="16"/>
                <w:lang w:bidi="th-TH"/>
              </w:rPr>
            </w:pPr>
          </w:p>
          <w:p w:rsidR="00B070BF" w:rsidRPr="009577DE" w:rsidRDefault="00B070BF" w:rsidP="00C33D4A">
            <w:pPr>
              <w:widowControl w:val="0"/>
              <w:rPr>
                <w:sz w:val="16"/>
                <w:szCs w:val="16"/>
              </w:rPr>
            </w:pPr>
          </w:p>
        </w:tc>
        <w:tc>
          <w:tcPr>
            <w:tcW w:w="573" w:type="pct"/>
            <w:shd w:val="clear" w:color="auto" w:fill="auto"/>
            <w:tcMar>
              <w:top w:w="110" w:type="dxa"/>
            </w:tcMar>
          </w:tcPr>
          <w:p w:rsidR="00B070BF" w:rsidRPr="009577DE" w:rsidRDefault="00B070BF" w:rsidP="00C33D4A">
            <w:pPr>
              <w:widowControl w:val="0"/>
              <w:jc w:val="center"/>
              <w:rPr>
                <w:b/>
                <w:bCs/>
                <w:sz w:val="16"/>
                <w:szCs w:val="16"/>
              </w:rPr>
            </w:pPr>
            <w:r w:rsidRPr="009577DE">
              <w:rPr>
                <w:b/>
                <w:bCs/>
                <w:color w:val="008000"/>
                <w:sz w:val="16"/>
                <w:szCs w:val="16"/>
              </w:rPr>
              <w:t>Interrumpido</w:t>
            </w:r>
          </w:p>
        </w:tc>
      </w:tr>
      <w:tr w:rsidR="00B070BF" w:rsidRPr="009577DE" w:rsidTr="00C33D4A">
        <w:trPr>
          <w:cantSplit/>
        </w:trPr>
        <w:tc>
          <w:tcPr>
            <w:tcW w:w="855" w:type="pct"/>
            <w:shd w:val="clear" w:color="auto" w:fill="auto"/>
          </w:tcPr>
          <w:p w:rsidR="00B070BF" w:rsidRPr="009577DE" w:rsidRDefault="00B070BF" w:rsidP="00C33D4A">
            <w:pPr>
              <w:widowControl w:val="0"/>
              <w:rPr>
                <w:sz w:val="16"/>
                <w:szCs w:val="16"/>
              </w:rPr>
            </w:pPr>
            <w:r w:rsidRPr="009577DE">
              <w:rPr>
                <w:sz w:val="16"/>
                <w:szCs w:val="16"/>
              </w:rPr>
              <w:t>Número de idiomas en los que está disponible la información general.</w:t>
            </w:r>
          </w:p>
        </w:tc>
        <w:tc>
          <w:tcPr>
            <w:tcW w:w="901" w:type="pct"/>
            <w:shd w:val="clear" w:color="auto" w:fill="C0C0C0"/>
          </w:tcPr>
          <w:p w:rsidR="00B070BF" w:rsidRPr="009577DE" w:rsidRDefault="00B070BF" w:rsidP="00C33D4A">
            <w:pPr>
              <w:widowControl w:val="0"/>
              <w:rPr>
                <w:sz w:val="16"/>
                <w:szCs w:val="16"/>
              </w:rPr>
            </w:pPr>
            <w:r w:rsidRPr="009577DE">
              <w:rPr>
                <w:sz w:val="16"/>
                <w:szCs w:val="16"/>
              </w:rPr>
              <w:t>Los tres idiomas de trabajo del sistema.</w:t>
            </w:r>
          </w:p>
        </w:tc>
        <w:tc>
          <w:tcPr>
            <w:tcW w:w="839" w:type="pct"/>
            <w:gridSpan w:val="2"/>
            <w:shd w:val="clear" w:color="auto" w:fill="auto"/>
            <w:tcMar>
              <w:top w:w="110" w:type="dxa"/>
            </w:tcMar>
          </w:tcPr>
          <w:p w:rsidR="00B070BF" w:rsidRPr="009577DE" w:rsidRDefault="00B070BF" w:rsidP="00C33D4A">
            <w:pPr>
              <w:widowControl w:val="0"/>
              <w:rPr>
                <w:sz w:val="16"/>
                <w:szCs w:val="16"/>
                <w:lang w:bidi="th-TH"/>
              </w:rPr>
            </w:pPr>
          </w:p>
        </w:tc>
        <w:tc>
          <w:tcPr>
            <w:tcW w:w="1832" w:type="pct"/>
            <w:shd w:val="clear" w:color="auto" w:fill="FFFFFF"/>
            <w:tcMar>
              <w:top w:w="110" w:type="dxa"/>
            </w:tcMar>
          </w:tcPr>
          <w:p w:rsidR="00B070BF" w:rsidRPr="009577DE" w:rsidRDefault="00B070BF" w:rsidP="00C33D4A">
            <w:pPr>
              <w:widowControl w:val="0"/>
              <w:rPr>
                <w:sz w:val="16"/>
                <w:szCs w:val="16"/>
                <w:lang w:bidi="th-TH"/>
              </w:rPr>
            </w:pPr>
            <w:r w:rsidRPr="009577DE">
              <w:rPr>
                <w:sz w:val="16"/>
                <w:szCs w:val="16"/>
                <w:lang w:bidi="th-TH"/>
              </w:rPr>
              <w:t>El 60% de la información general está disponible en los seis idiomas oficiales de las Naciones Unidas.</w:t>
            </w:r>
          </w:p>
          <w:p w:rsidR="00B070BF" w:rsidRPr="009577DE" w:rsidRDefault="00B070BF" w:rsidP="00C33D4A">
            <w:pPr>
              <w:widowControl w:val="0"/>
              <w:rPr>
                <w:sz w:val="16"/>
                <w:szCs w:val="16"/>
                <w:lang w:bidi="th-TH"/>
              </w:rPr>
            </w:pPr>
          </w:p>
          <w:p w:rsidR="00B070BF" w:rsidRPr="009577DE" w:rsidRDefault="00B070BF" w:rsidP="00C33D4A">
            <w:pPr>
              <w:widowControl w:val="0"/>
              <w:rPr>
                <w:sz w:val="16"/>
                <w:szCs w:val="16"/>
                <w:lang w:bidi="th-TH"/>
              </w:rPr>
            </w:pPr>
          </w:p>
          <w:p w:rsidR="00B070BF" w:rsidRPr="009577DE" w:rsidRDefault="00B070BF" w:rsidP="00C33D4A">
            <w:pPr>
              <w:widowControl w:val="0"/>
              <w:rPr>
                <w:sz w:val="16"/>
                <w:szCs w:val="16"/>
              </w:rPr>
            </w:pPr>
          </w:p>
        </w:tc>
        <w:tc>
          <w:tcPr>
            <w:tcW w:w="573" w:type="pct"/>
            <w:shd w:val="clear" w:color="auto" w:fill="auto"/>
            <w:tcMar>
              <w:top w:w="110" w:type="dxa"/>
            </w:tcMar>
          </w:tcPr>
          <w:p w:rsidR="00B070BF" w:rsidRPr="009577DE" w:rsidRDefault="00B070BF" w:rsidP="00C33D4A">
            <w:pPr>
              <w:widowControl w:val="0"/>
              <w:jc w:val="center"/>
              <w:rPr>
                <w:b/>
                <w:bCs/>
                <w:sz w:val="16"/>
                <w:szCs w:val="16"/>
              </w:rPr>
            </w:pPr>
            <w:r w:rsidRPr="009577DE">
              <w:rPr>
                <w:b/>
                <w:bCs/>
                <w:color w:val="008000"/>
                <w:sz w:val="16"/>
                <w:szCs w:val="16"/>
              </w:rPr>
              <w:t>Progresa con normalidad</w:t>
            </w:r>
          </w:p>
          <w:p w:rsidR="00B070BF" w:rsidRPr="009577DE" w:rsidRDefault="00B070BF" w:rsidP="00C33D4A">
            <w:pPr>
              <w:widowControl w:val="0"/>
              <w:jc w:val="center"/>
              <w:rPr>
                <w:bCs/>
                <w:sz w:val="16"/>
                <w:szCs w:val="16"/>
              </w:rPr>
            </w:pPr>
          </w:p>
          <w:p w:rsidR="00B070BF" w:rsidRPr="009577DE" w:rsidRDefault="00B070BF" w:rsidP="00C33D4A">
            <w:pPr>
              <w:widowControl w:val="0"/>
              <w:jc w:val="center"/>
              <w:rPr>
                <w:bCs/>
                <w:sz w:val="16"/>
                <w:szCs w:val="16"/>
              </w:rPr>
            </w:pPr>
          </w:p>
        </w:tc>
      </w:tr>
      <w:tr w:rsidR="00B070BF" w:rsidRPr="009577DE" w:rsidTr="00C33D4A">
        <w:trPr>
          <w:cantSplit/>
        </w:trPr>
        <w:tc>
          <w:tcPr>
            <w:tcW w:w="855" w:type="pct"/>
            <w:tcBorders>
              <w:bottom w:val="single" w:sz="4" w:space="0" w:color="auto"/>
            </w:tcBorders>
            <w:shd w:val="clear" w:color="auto" w:fill="auto"/>
          </w:tcPr>
          <w:p w:rsidR="00B070BF" w:rsidRPr="009577DE" w:rsidRDefault="00B070BF" w:rsidP="00C33D4A">
            <w:pPr>
              <w:widowControl w:val="0"/>
              <w:rPr>
                <w:sz w:val="16"/>
                <w:szCs w:val="16"/>
              </w:rPr>
            </w:pPr>
            <w:r w:rsidRPr="009577DE">
              <w:rPr>
                <w:sz w:val="16"/>
                <w:szCs w:val="16"/>
              </w:rPr>
              <w:t>Número de oficinas nacionales o regionales que ofrecen información adecuada sobre el sistema de La Haya.</w:t>
            </w:r>
          </w:p>
          <w:p w:rsidR="00B070BF" w:rsidRPr="009577DE" w:rsidRDefault="00B070BF" w:rsidP="00C33D4A">
            <w:pPr>
              <w:widowControl w:val="0"/>
              <w:rPr>
                <w:sz w:val="16"/>
                <w:szCs w:val="16"/>
              </w:rPr>
            </w:pPr>
          </w:p>
        </w:tc>
        <w:tc>
          <w:tcPr>
            <w:tcW w:w="901" w:type="pct"/>
            <w:tcBorders>
              <w:bottom w:val="single" w:sz="4" w:space="0" w:color="auto"/>
            </w:tcBorders>
            <w:shd w:val="clear" w:color="auto" w:fill="C0C0C0"/>
          </w:tcPr>
          <w:p w:rsidR="00B070BF" w:rsidRPr="009577DE" w:rsidRDefault="00B070BF" w:rsidP="00C33D4A">
            <w:pPr>
              <w:widowControl w:val="0"/>
              <w:rPr>
                <w:sz w:val="16"/>
                <w:szCs w:val="16"/>
              </w:rPr>
            </w:pPr>
            <w:r w:rsidRPr="009577DE">
              <w:rPr>
                <w:sz w:val="16"/>
                <w:szCs w:val="16"/>
              </w:rPr>
              <w:t>Aproximadamente 2/3 de las oficinas en cuestión.</w:t>
            </w:r>
          </w:p>
        </w:tc>
        <w:tc>
          <w:tcPr>
            <w:tcW w:w="839" w:type="pct"/>
            <w:gridSpan w:val="2"/>
            <w:tcBorders>
              <w:bottom w:val="single" w:sz="4" w:space="0" w:color="auto"/>
            </w:tcBorders>
            <w:shd w:val="clear" w:color="auto" w:fill="auto"/>
            <w:tcMar>
              <w:top w:w="110" w:type="dxa"/>
            </w:tcMar>
          </w:tcPr>
          <w:p w:rsidR="00B070BF" w:rsidRPr="009577DE" w:rsidRDefault="00B070BF" w:rsidP="00C33D4A">
            <w:pPr>
              <w:widowControl w:val="0"/>
              <w:rPr>
                <w:sz w:val="16"/>
                <w:szCs w:val="16"/>
                <w:lang w:bidi="th-TH"/>
              </w:rPr>
            </w:pPr>
          </w:p>
        </w:tc>
        <w:tc>
          <w:tcPr>
            <w:tcW w:w="1832" w:type="pct"/>
            <w:tcBorders>
              <w:bottom w:val="single" w:sz="4" w:space="0" w:color="auto"/>
            </w:tcBorders>
            <w:shd w:val="clear" w:color="auto" w:fill="FFFFFF"/>
            <w:tcMar>
              <w:top w:w="110" w:type="dxa"/>
            </w:tcMar>
          </w:tcPr>
          <w:p w:rsidR="00B070BF" w:rsidRPr="009577DE" w:rsidRDefault="00B070BF" w:rsidP="00C33D4A">
            <w:pPr>
              <w:widowControl w:val="0"/>
              <w:rPr>
                <w:sz w:val="16"/>
                <w:szCs w:val="16"/>
                <w:lang w:bidi="th-TH"/>
              </w:rPr>
            </w:pPr>
            <w:r w:rsidRPr="009577DE">
              <w:rPr>
                <w:sz w:val="16"/>
                <w:szCs w:val="16"/>
                <w:lang w:bidi="th-TH"/>
              </w:rPr>
              <w:t xml:space="preserve">42 oficinas nacionales o regionales proporcionan información adecuada sobre el </w:t>
            </w:r>
            <w:r w:rsidRPr="009577DE">
              <w:rPr>
                <w:sz w:val="16"/>
                <w:szCs w:val="22"/>
                <w:lang w:bidi="th-TH"/>
              </w:rPr>
              <w:t>sistema de La Haya</w:t>
            </w:r>
            <w:r w:rsidRPr="009577DE">
              <w:rPr>
                <w:sz w:val="16"/>
                <w:szCs w:val="16"/>
                <w:lang w:bidi="th-TH"/>
              </w:rPr>
              <w:t>.</w:t>
            </w:r>
          </w:p>
          <w:p w:rsidR="00B070BF" w:rsidRPr="009577DE" w:rsidRDefault="00B070BF" w:rsidP="00C33D4A">
            <w:pPr>
              <w:widowControl w:val="0"/>
              <w:rPr>
                <w:sz w:val="16"/>
                <w:szCs w:val="16"/>
                <w:lang w:bidi="th-TH"/>
              </w:rPr>
            </w:pPr>
          </w:p>
          <w:p w:rsidR="00B070BF" w:rsidRPr="009577DE" w:rsidRDefault="00B070BF" w:rsidP="00C33D4A">
            <w:pPr>
              <w:widowControl w:val="0"/>
              <w:rPr>
                <w:sz w:val="16"/>
                <w:szCs w:val="16"/>
                <w:lang w:bidi="th-TH"/>
              </w:rPr>
            </w:pPr>
          </w:p>
          <w:p w:rsidR="00B070BF" w:rsidRPr="009577DE" w:rsidRDefault="00B070BF" w:rsidP="00C33D4A">
            <w:pPr>
              <w:widowControl w:val="0"/>
              <w:rPr>
                <w:sz w:val="16"/>
                <w:szCs w:val="16"/>
              </w:rPr>
            </w:pPr>
          </w:p>
        </w:tc>
        <w:tc>
          <w:tcPr>
            <w:tcW w:w="573" w:type="pct"/>
            <w:tcBorders>
              <w:bottom w:val="single" w:sz="4" w:space="0" w:color="auto"/>
            </w:tcBorders>
            <w:shd w:val="clear" w:color="auto" w:fill="auto"/>
            <w:tcMar>
              <w:top w:w="110" w:type="dxa"/>
            </w:tcMar>
          </w:tcPr>
          <w:p w:rsidR="00B070BF" w:rsidRPr="009577DE" w:rsidRDefault="00B070BF" w:rsidP="00C33D4A">
            <w:pPr>
              <w:widowControl w:val="0"/>
              <w:jc w:val="center"/>
              <w:rPr>
                <w:b/>
                <w:bCs/>
                <w:sz w:val="16"/>
                <w:szCs w:val="16"/>
              </w:rPr>
            </w:pPr>
            <w:r w:rsidRPr="009577DE">
              <w:rPr>
                <w:b/>
                <w:bCs/>
                <w:color w:val="008000"/>
                <w:sz w:val="16"/>
                <w:szCs w:val="16"/>
              </w:rPr>
              <w:t>Progresa con normalidad</w:t>
            </w:r>
          </w:p>
          <w:p w:rsidR="00B070BF" w:rsidRPr="009577DE" w:rsidRDefault="00B070BF" w:rsidP="00C33D4A">
            <w:pPr>
              <w:widowControl w:val="0"/>
              <w:jc w:val="center"/>
              <w:rPr>
                <w:b/>
                <w:bCs/>
                <w:sz w:val="16"/>
                <w:szCs w:val="16"/>
              </w:rPr>
            </w:pPr>
          </w:p>
        </w:tc>
      </w:tr>
      <w:tr w:rsidR="00B070BF" w:rsidRPr="009577DE" w:rsidTr="00C33D4A">
        <w:trPr>
          <w:cantSplit/>
        </w:trPr>
        <w:tc>
          <w:tcPr>
            <w:tcW w:w="5000" w:type="pct"/>
            <w:gridSpan w:val="6"/>
            <w:tcBorders>
              <w:top w:val="single" w:sz="4" w:space="0" w:color="auto"/>
              <w:bottom w:val="single" w:sz="4" w:space="0" w:color="auto"/>
            </w:tcBorders>
            <w:shd w:val="clear" w:color="auto" w:fill="CCFFFF"/>
            <w:vAlign w:val="center"/>
          </w:tcPr>
          <w:p w:rsidR="00B070BF" w:rsidRPr="009577DE" w:rsidRDefault="00B070BF" w:rsidP="00C33D4A">
            <w:pPr>
              <w:widowControl w:val="0"/>
              <w:tabs>
                <w:tab w:val="left" w:pos="1735"/>
              </w:tabs>
              <w:spacing w:before="120" w:after="120"/>
              <w:ind w:left="1735" w:hanging="1735"/>
              <w:rPr>
                <w:b/>
                <w:bCs/>
                <w:sz w:val="16"/>
                <w:szCs w:val="16"/>
              </w:rPr>
            </w:pPr>
            <w:r w:rsidRPr="009577DE">
              <w:rPr>
                <w:b/>
                <w:bCs/>
                <w:sz w:val="16"/>
                <w:szCs w:val="16"/>
              </w:rPr>
              <w:t>Resultado previsto:</w:t>
            </w:r>
            <w:r w:rsidRPr="009577DE">
              <w:rPr>
                <w:b/>
                <w:bCs/>
                <w:sz w:val="16"/>
                <w:szCs w:val="16"/>
              </w:rPr>
              <w:tab/>
            </w:r>
            <w:r w:rsidRPr="009577DE">
              <w:rPr>
                <w:bCs/>
                <w:sz w:val="16"/>
                <w:szCs w:val="16"/>
              </w:rPr>
              <w:t xml:space="preserve"> Utilización más amplia y mejor del sistema de La Haya.</w:t>
            </w:r>
          </w:p>
        </w:tc>
      </w:tr>
      <w:tr w:rsidR="00B070BF" w:rsidRPr="009577DE" w:rsidTr="00C33D4A">
        <w:trPr>
          <w:cantSplit/>
        </w:trPr>
        <w:tc>
          <w:tcPr>
            <w:tcW w:w="855" w:type="pct"/>
            <w:tcBorders>
              <w:top w:val="single" w:sz="4" w:space="0" w:color="auto"/>
            </w:tcBorders>
            <w:shd w:val="clear" w:color="auto" w:fill="auto"/>
            <w:vAlign w:val="center"/>
          </w:tcPr>
          <w:p w:rsidR="00B070BF" w:rsidRPr="009577DE" w:rsidRDefault="00B070BF" w:rsidP="00C33D4A">
            <w:pPr>
              <w:widowControl w:val="0"/>
              <w:spacing w:after="120"/>
              <w:rPr>
                <w:sz w:val="16"/>
                <w:szCs w:val="16"/>
              </w:rPr>
            </w:pPr>
            <w:r w:rsidRPr="009577DE">
              <w:rPr>
                <w:b/>
                <w:bCs/>
                <w:sz w:val="16"/>
                <w:szCs w:val="16"/>
              </w:rPr>
              <w:t>Indicadores de rendimiento</w:t>
            </w:r>
          </w:p>
        </w:tc>
        <w:tc>
          <w:tcPr>
            <w:tcW w:w="901" w:type="pct"/>
            <w:tcBorders>
              <w:top w:val="single" w:sz="4" w:space="0" w:color="auto"/>
            </w:tcBorders>
            <w:shd w:val="clear" w:color="auto" w:fill="C0C0C0"/>
          </w:tcPr>
          <w:p w:rsidR="00B070BF" w:rsidRPr="009577DE" w:rsidRDefault="00B070BF" w:rsidP="00C33D4A">
            <w:pPr>
              <w:widowControl w:val="0"/>
              <w:spacing w:after="120"/>
              <w:rPr>
                <w:b/>
                <w:bCs/>
                <w:sz w:val="16"/>
                <w:szCs w:val="16"/>
              </w:rPr>
            </w:pPr>
            <w:r w:rsidRPr="009577DE">
              <w:rPr>
                <w:b/>
                <w:bCs/>
                <w:sz w:val="16"/>
                <w:szCs w:val="16"/>
              </w:rPr>
              <w:t>Referencia (</w:t>
            </w:r>
            <w:proofErr w:type="spellStart"/>
            <w:r w:rsidRPr="009577DE">
              <w:rPr>
                <w:b/>
                <w:bCs/>
                <w:sz w:val="16"/>
                <w:szCs w:val="16"/>
              </w:rPr>
              <w:t>Presup</w:t>
            </w:r>
            <w:proofErr w:type="spellEnd"/>
            <w:r w:rsidRPr="009577DE">
              <w:rPr>
                <w:b/>
                <w:bCs/>
                <w:sz w:val="16"/>
                <w:szCs w:val="16"/>
              </w:rPr>
              <w:t xml:space="preserve">. por </w:t>
            </w:r>
            <w:proofErr w:type="spellStart"/>
            <w:r w:rsidRPr="009577DE">
              <w:rPr>
                <w:b/>
                <w:bCs/>
                <w:sz w:val="16"/>
                <w:szCs w:val="16"/>
              </w:rPr>
              <w:t>prog</w:t>
            </w:r>
            <w:proofErr w:type="spellEnd"/>
            <w:r w:rsidRPr="009577DE">
              <w:rPr>
                <w:b/>
                <w:bCs/>
                <w:sz w:val="16"/>
                <w:szCs w:val="16"/>
              </w:rPr>
              <w:t>. 2012/13)</w:t>
            </w:r>
          </w:p>
        </w:tc>
        <w:tc>
          <w:tcPr>
            <w:tcW w:w="839" w:type="pct"/>
            <w:gridSpan w:val="2"/>
            <w:tcBorders>
              <w:top w:val="single" w:sz="4" w:space="0" w:color="auto"/>
            </w:tcBorders>
            <w:shd w:val="clear" w:color="auto" w:fill="auto"/>
            <w:tcMar>
              <w:top w:w="110" w:type="dxa"/>
            </w:tcMar>
            <w:vAlign w:val="center"/>
          </w:tcPr>
          <w:p w:rsidR="00B070BF" w:rsidRPr="009577DE" w:rsidRDefault="00B070BF" w:rsidP="00C33D4A">
            <w:pPr>
              <w:widowControl w:val="0"/>
              <w:spacing w:after="120"/>
              <w:rPr>
                <w:b/>
                <w:sz w:val="16"/>
                <w:szCs w:val="16"/>
              </w:rPr>
            </w:pPr>
            <w:r w:rsidRPr="00BF138D">
              <w:rPr>
                <w:b/>
                <w:color w:val="993300"/>
                <w:sz w:val="16"/>
                <w:szCs w:val="16"/>
              </w:rPr>
              <w:t>Referencia actualizada a finales de 2011</w:t>
            </w:r>
          </w:p>
        </w:tc>
        <w:tc>
          <w:tcPr>
            <w:tcW w:w="1832" w:type="pct"/>
            <w:tcBorders>
              <w:top w:val="single" w:sz="4" w:space="0" w:color="auto"/>
            </w:tcBorders>
            <w:shd w:val="clear" w:color="auto" w:fill="FFFFFF"/>
            <w:tcMar>
              <w:top w:w="110" w:type="dxa"/>
            </w:tcMar>
            <w:vAlign w:val="center"/>
          </w:tcPr>
          <w:p w:rsidR="00B070BF" w:rsidRPr="009577DE" w:rsidRDefault="00B070BF" w:rsidP="00C33D4A">
            <w:pPr>
              <w:widowControl w:val="0"/>
              <w:spacing w:after="120"/>
              <w:rPr>
                <w:sz w:val="16"/>
                <w:szCs w:val="16"/>
              </w:rPr>
            </w:pPr>
            <w:r w:rsidRPr="009577DE">
              <w:rPr>
                <w:b/>
                <w:bCs/>
                <w:sz w:val="16"/>
                <w:szCs w:val="16"/>
              </w:rPr>
              <w:t>Datos sobre el rendimiento</w:t>
            </w:r>
          </w:p>
        </w:tc>
        <w:tc>
          <w:tcPr>
            <w:tcW w:w="573" w:type="pct"/>
            <w:tcBorders>
              <w:top w:val="single" w:sz="4" w:space="0" w:color="auto"/>
            </w:tcBorders>
            <w:shd w:val="clear" w:color="auto" w:fill="auto"/>
            <w:tcMar>
              <w:top w:w="110" w:type="dxa"/>
            </w:tcMar>
            <w:vAlign w:val="center"/>
          </w:tcPr>
          <w:p w:rsidR="00B070BF" w:rsidRPr="009577DE" w:rsidRDefault="00B070BF" w:rsidP="00C33D4A">
            <w:pPr>
              <w:widowControl w:val="0"/>
              <w:spacing w:after="120"/>
              <w:jc w:val="center"/>
              <w:rPr>
                <w:b/>
                <w:bCs/>
                <w:sz w:val="16"/>
                <w:szCs w:val="16"/>
              </w:rPr>
            </w:pPr>
            <w:r w:rsidRPr="009577DE">
              <w:rPr>
                <w:b/>
                <w:bCs/>
                <w:sz w:val="16"/>
                <w:szCs w:val="16"/>
              </w:rPr>
              <w:t>Clave de colores</w:t>
            </w:r>
          </w:p>
        </w:tc>
      </w:tr>
      <w:tr w:rsidR="00B070BF" w:rsidRPr="009577DE" w:rsidTr="00C33D4A">
        <w:trPr>
          <w:cantSplit/>
        </w:trPr>
        <w:tc>
          <w:tcPr>
            <w:tcW w:w="855" w:type="pct"/>
            <w:shd w:val="clear" w:color="auto" w:fill="auto"/>
          </w:tcPr>
          <w:p w:rsidR="00B070BF" w:rsidRPr="009577DE" w:rsidRDefault="00B070BF" w:rsidP="00C33D4A">
            <w:pPr>
              <w:widowControl w:val="0"/>
              <w:rPr>
                <w:sz w:val="16"/>
                <w:szCs w:val="16"/>
              </w:rPr>
            </w:pPr>
            <w:r w:rsidRPr="009577DE">
              <w:rPr>
                <w:sz w:val="16"/>
                <w:szCs w:val="16"/>
              </w:rPr>
              <w:t>Número de registros, dibujos y modelos contenidos en los registros, renovaciones y otras inscripciones.</w:t>
            </w:r>
          </w:p>
          <w:p w:rsidR="00B070BF" w:rsidRPr="009577DE" w:rsidRDefault="00B070BF" w:rsidP="00C33D4A">
            <w:pPr>
              <w:widowControl w:val="0"/>
              <w:rPr>
                <w:sz w:val="16"/>
                <w:szCs w:val="16"/>
              </w:rPr>
            </w:pPr>
          </w:p>
        </w:tc>
        <w:tc>
          <w:tcPr>
            <w:tcW w:w="901" w:type="pct"/>
            <w:shd w:val="clear" w:color="auto" w:fill="C0C0C0"/>
          </w:tcPr>
          <w:p w:rsidR="00B070BF" w:rsidRPr="009577DE" w:rsidRDefault="00B070BF" w:rsidP="00C33D4A">
            <w:pPr>
              <w:widowControl w:val="0"/>
              <w:rPr>
                <w:sz w:val="16"/>
                <w:szCs w:val="16"/>
              </w:rPr>
            </w:pPr>
            <w:r w:rsidRPr="009577DE">
              <w:rPr>
                <w:sz w:val="16"/>
                <w:szCs w:val="16"/>
                <w:u w:val="single"/>
              </w:rPr>
              <w:t>2010</w:t>
            </w:r>
            <w:r w:rsidRPr="009577DE">
              <w:rPr>
                <w:sz w:val="16"/>
                <w:szCs w:val="16"/>
              </w:rPr>
              <w:t xml:space="preserve">            </w:t>
            </w:r>
            <w:r w:rsidRPr="009577DE">
              <w:rPr>
                <w:sz w:val="16"/>
                <w:szCs w:val="16"/>
                <w:u w:val="single"/>
              </w:rPr>
              <w:t>2011</w:t>
            </w:r>
            <w:r w:rsidRPr="009577DE">
              <w:rPr>
                <w:sz w:val="16"/>
                <w:szCs w:val="16"/>
              </w:rPr>
              <w:br/>
            </w:r>
          </w:p>
          <w:p w:rsidR="00B070BF" w:rsidRPr="009577DE" w:rsidRDefault="00B070BF" w:rsidP="00C33D4A">
            <w:pPr>
              <w:widowControl w:val="0"/>
              <w:rPr>
                <w:sz w:val="16"/>
                <w:szCs w:val="16"/>
              </w:rPr>
            </w:pPr>
            <w:r w:rsidRPr="009577DE">
              <w:rPr>
                <w:sz w:val="16"/>
                <w:szCs w:val="16"/>
              </w:rPr>
              <w:t>Nuevos registros</w:t>
            </w:r>
          </w:p>
          <w:p w:rsidR="00B070BF" w:rsidRPr="009577DE" w:rsidRDefault="00B070BF" w:rsidP="00C33D4A">
            <w:pPr>
              <w:widowControl w:val="0"/>
              <w:rPr>
                <w:sz w:val="16"/>
                <w:szCs w:val="16"/>
              </w:rPr>
            </w:pPr>
            <w:r w:rsidRPr="009577DE">
              <w:rPr>
                <w:sz w:val="16"/>
                <w:szCs w:val="16"/>
              </w:rPr>
              <w:br/>
              <w:t xml:space="preserve">2.216          2.900  </w:t>
            </w:r>
          </w:p>
        </w:tc>
        <w:tc>
          <w:tcPr>
            <w:tcW w:w="839" w:type="pct"/>
            <w:gridSpan w:val="2"/>
            <w:shd w:val="clear" w:color="auto" w:fill="auto"/>
            <w:tcMar>
              <w:top w:w="110" w:type="dxa"/>
            </w:tcMar>
          </w:tcPr>
          <w:p w:rsidR="00B070BF" w:rsidRPr="00D44D8F" w:rsidRDefault="00B070BF" w:rsidP="00C33D4A">
            <w:pPr>
              <w:widowControl w:val="0"/>
              <w:rPr>
                <w:color w:val="993300"/>
                <w:sz w:val="16"/>
                <w:szCs w:val="16"/>
                <w:lang w:bidi="th-TH"/>
              </w:rPr>
            </w:pPr>
            <w:r w:rsidRPr="00D44D8F">
              <w:rPr>
                <w:color w:val="993300"/>
                <w:sz w:val="16"/>
                <w:szCs w:val="16"/>
                <w:lang w:bidi="th-TH"/>
              </w:rPr>
              <w:t>A finales de 2011</w:t>
            </w:r>
          </w:p>
          <w:p w:rsidR="00B070BF" w:rsidRPr="00D44D8F" w:rsidRDefault="00B070BF" w:rsidP="00C33D4A">
            <w:pPr>
              <w:widowControl w:val="0"/>
              <w:rPr>
                <w:color w:val="993300"/>
                <w:sz w:val="16"/>
                <w:szCs w:val="16"/>
                <w:lang w:bidi="th-TH"/>
              </w:rPr>
            </w:pPr>
          </w:p>
          <w:p w:rsidR="00B070BF" w:rsidRPr="00D44D8F" w:rsidRDefault="00B070BF" w:rsidP="00C33D4A">
            <w:pPr>
              <w:widowControl w:val="0"/>
              <w:rPr>
                <w:color w:val="993300"/>
                <w:sz w:val="16"/>
                <w:szCs w:val="16"/>
              </w:rPr>
            </w:pPr>
            <w:r w:rsidRPr="00D44D8F">
              <w:rPr>
                <w:color w:val="993300"/>
                <w:sz w:val="16"/>
                <w:szCs w:val="16"/>
              </w:rPr>
              <w:t>Nuevos registros</w:t>
            </w:r>
          </w:p>
          <w:p w:rsidR="00B070BF" w:rsidRPr="00D44D8F" w:rsidRDefault="00B070BF" w:rsidP="00C33D4A">
            <w:pPr>
              <w:widowControl w:val="0"/>
              <w:rPr>
                <w:color w:val="993300"/>
                <w:sz w:val="16"/>
                <w:szCs w:val="16"/>
                <w:lang w:bidi="th-TH"/>
              </w:rPr>
            </w:pPr>
          </w:p>
          <w:p w:rsidR="00B070BF" w:rsidRPr="00D44D8F" w:rsidRDefault="00B070BF" w:rsidP="00C33D4A">
            <w:pPr>
              <w:widowControl w:val="0"/>
              <w:rPr>
                <w:color w:val="993300"/>
                <w:sz w:val="16"/>
                <w:szCs w:val="16"/>
                <w:lang w:bidi="th-TH"/>
              </w:rPr>
            </w:pPr>
            <w:r w:rsidRPr="00D44D8F">
              <w:rPr>
                <w:color w:val="993300"/>
                <w:sz w:val="16"/>
                <w:szCs w:val="16"/>
                <w:lang w:bidi="th-TH"/>
              </w:rPr>
              <w:t>2.363</w:t>
            </w:r>
          </w:p>
        </w:tc>
        <w:tc>
          <w:tcPr>
            <w:tcW w:w="1832" w:type="pct"/>
            <w:shd w:val="clear" w:color="auto" w:fill="FFFFFF"/>
            <w:tcMar>
              <w:top w:w="110" w:type="dxa"/>
            </w:tcMar>
          </w:tcPr>
          <w:p w:rsidR="00B070BF" w:rsidRPr="009577DE" w:rsidRDefault="00B070BF" w:rsidP="00C33D4A">
            <w:pPr>
              <w:widowControl w:val="0"/>
              <w:rPr>
                <w:sz w:val="16"/>
                <w:szCs w:val="16"/>
              </w:rPr>
            </w:pPr>
          </w:p>
          <w:p w:rsidR="00B070BF" w:rsidRPr="009577DE" w:rsidRDefault="00B070BF" w:rsidP="00C33D4A">
            <w:pPr>
              <w:widowControl w:val="0"/>
              <w:rPr>
                <w:sz w:val="16"/>
                <w:szCs w:val="16"/>
              </w:rPr>
            </w:pPr>
          </w:p>
          <w:p w:rsidR="00B070BF" w:rsidRPr="009577DE" w:rsidRDefault="00B070BF" w:rsidP="00C33D4A">
            <w:pPr>
              <w:widowControl w:val="0"/>
              <w:rPr>
                <w:sz w:val="16"/>
                <w:szCs w:val="16"/>
              </w:rPr>
            </w:pPr>
            <w:r w:rsidRPr="009577DE">
              <w:rPr>
                <w:sz w:val="16"/>
                <w:szCs w:val="16"/>
              </w:rPr>
              <w:t>Nuevos registros</w:t>
            </w:r>
          </w:p>
          <w:p w:rsidR="00B070BF" w:rsidRPr="009577DE" w:rsidRDefault="00B070BF" w:rsidP="00C33D4A">
            <w:pPr>
              <w:widowControl w:val="0"/>
              <w:rPr>
                <w:sz w:val="16"/>
                <w:szCs w:val="16"/>
              </w:rPr>
            </w:pPr>
            <w:r w:rsidRPr="009577DE">
              <w:rPr>
                <w:sz w:val="16"/>
                <w:szCs w:val="16"/>
              </w:rPr>
              <w:br/>
              <w:t xml:space="preserve">2.440          </w:t>
            </w:r>
          </w:p>
        </w:tc>
        <w:tc>
          <w:tcPr>
            <w:tcW w:w="573" w:type="pct"/>
            <w:shd w:val="clear" w:color="auto" w:fill="auto"/>
            <w:tcMar>
              <w:top w:w="110" w:type="dxa"/>
            </w:tcMar>
          </w:tcPr>
          <w:p w:rsidR="00B070BF" w:rsidRPr="009577DE" w:rsidRDefault="00B070BF" w:rsidP="00C33D4A">
            <w:pPr>
              <w:widowControl w:val="0"/>
              <w:jc w:val="center"/>
              <w:rPr>
                <w:b/>
                <w:bCs/>
                <w:sz w:val="16"/>
                <w:szCs w:val="16"/>
              </w:rPr>
            </w:pPr>
          </w:p>
          <w:p w:rsidR="00B070BF" w:rsidRPr="009577DE" w:rsidRDefault="00B070BF" w:rsidP="00C33D4A">
            <w:pPr>
              <w:widowControl w:val="0"/>
              <w:jc w:val="center"/>
              <w:rPr>
                <w:b/>
                <w:bCs/>
                <w:sz w:val="16"/>
                <w:szCs w:val="16"/>
              </w:rPr>
            </w:pPr>
          </w:p>
          <w:p w:rsidR="00B070BF" w:rsidRPr="009577DE" w:rsidRDefault="00B070BF" w:rsidP="00C33D4A">
            <w:pPr>
              <w:widowControl w:val="0"/>
              <w:jc w:val="center"/>
              <w:rPr>
                <w:b/>
                <w:bCs/>
                <w:sz w:val="16"/>
                <w:szCs w:val="16"/>
              </w:rPr>
            </w:pPr>
            <w:r w:rsidRPr="009577DE">
              <w:rPr>
                <w:b/>
                <w:bCs/>
                <w:color w:val="FF0000"/>
                <w:sz w:val="16"/>
                <w:szCs w:val="16"/>
              </w:rPr>
              <w:t>Sin avances significativos</w:t>
            </w:r>
          </w:p>
          <w:p w:rsidR="00B070BF" w:rsidRPr="009577DE" w:rsidRDefault="00B070BF" w:rsidP="00C33D4A">
            <w:pPr>
              <w:widowControl w:val="0"/>
              <w:jc w:val="center"/>
              <w:rPr>
                <w:bCs/>
                <w:sz w:val="16"/>
                <w:szCs w:val="16"/>
              </w:rPr>
            </w:pPr>
          </w:p>
        </w:tc>
      </w:tr>
      <w:tr w:rsidR="00B070BF" w:rsidRPr="009577DE" w:rsidTr="00C33D4A">
        <w:trPr>
          <w:cantSplit/>
        </w:trPr>
        <w:tc>
          <w:tcPr>
            <w:tcW w:w="855" w:type="pct"/>
            <w:shd w:val="clear" w:color="auto" w:fill="auto"/>
          </w:tcPr>
          <w:p w:rsidR="00B070BF" w:rsidRPr="009577DE" w:rsidRDefault="00B070BF" w:rsidP="00C33D4A">
            <w:pPr>
              <w:widowControl w:val="0"/>
              <w:ind w:firstLineChars="100" w:firstLine="160"/>
              <w:rPr>
                <w:sz w:val="16"/>
                <w:szCs w:val="16"/>
              </w:rPr>
            </w:pPr>
          </w:p>
        </w:tc>
        <w:tc>
          <w:tcPr>
            <w:tcW w:w="901" w:type="pct"/>
            <w:shd w:val="clear" w:color="auto" w:fill="C0C0C0"/>
          </w:tcPr>
          <w:p w:rsidR="00B070BF" w:rsidRPr="009577DE" w:rsidRDefault="00B070BF" w:rsidP="00C33D4A">
            <w:pPr>
              <w:widowControl w:val="0"/>
              <w:rPr>
                <w:sz w:val="16"/>
                <w:szCs w:val="16"/>
              </w:rPr>
            </w:pPr>
            <w:r w:rsidRPr="009577DE">
              <w:rPr>
                <w:sz w:val="16"/>
                <w:szCs w:val="16"/>
              </w:rPr>
              <w:t xml:space="preserve">Dibujos y modelos contenidos </w:t>
            </w:r>
          </w:p>
          <w:p w:rsidR="00B070BF" w:rsidRPr="009577DE" w:rsidRDefault="00B070BF" w:rsidP="00C33D4A">
            <w:pPr>
              <w:widowControl w:val="0"/>
              <w:rPr>
                <w:sz w:val="16"/>
                <w:szCs w:val="16"/>
              </w:rPr>
            </w:pPr>
          </w:p>
          <w:p w:rsidR="00B070BF" w:rsidRPr="009577DE" w:rsidRDefault="00B070BF" w:rsidP="00C33D4A">
            <w:pPr>
              <w:widowControl w:val="0"/>
              <w:rPr>
                <w:sz w:val="16"/>
                <w:szCs w:val="16"/>
              </w:rPr>
            </w:pPr>
            <w:r w:rsidRPr="009577DE">
              <w:rPr>
                <w:sz w:val="16"/>
                <w:szCs w:val="16"/>
              </w:rPr>
              <w:t>11.238      15.000</w:t>
            </w:r>
          </w:p>
        </w:tc>
        <w:tc>
          <w:tcPr>
            <w:tcW w:w="839" w:type="pct"/>
            <w:gridSpan w:val="2"/>
            <w:shd w:val="clear" w:color="auto" w:fill="auto"/>
            <w:tcMar>
              <w:top w:w="110" w:type="dxa"/>
            </w:tcMar>
          </w:tcPr>
          <w:p w:rsidR="00B070BF" w:rsidRPr="00D44D8F" w:rsidRDefault="00B070BF" w:rsidP="00C33D4A">
            <w:pPr>
              <w:widowControl w:val="0"/>
              <w:rPr>
                <w:color w:val="993300"/>
                <w:sz w:val="16"/>
                <w:szCs w:val="16"/>
              </w:rPr>
            </w:pPr>
            <w:r w:rsidRPr="00D44D8F">
              <w:rPr>
                <w:color w:val="993300"/>
                <w:sz w:val="16"/>
                <w:szCs w:val="16"/>
              </w:rPr>
              <w:t xml:space="preserve">Dibujos y modelos contenidos </w:t>
            </w:r>
          </w:p>
          <w:p w:rsidR="00B070BF" w:rsidRPr="00D44D8F" w:rsidRDefault="00B070BF" w:rsidP="00C33D4A">
            <w:pPr>
              <w:widowControl w:val="0"/>
              <w:rPr>
                <w:color w:val="993300"/>
                <w:sz w:val="16"/>
                <w:szCs w:val="16"/>
              </w:rPr>
            </w:pPr>
          </w:p>
          <w:p w:rsidR="00B070BF" w:rsidRPr="00D44D8F" w:rsidRDefault="00B070BF" w:rsidP="00C33D4A">
            <w:pPr>
              <w:widowControl w:val="0"/>
              <w:rPr>
                <w:color w:val="993300"/>
                <w:sz w:val="16"/>
                <w:szCs w:val="16"/>
                <w:lang w:bidi="th-TH"/>
              </w:rPr>
            </w:pPr>
            <w:r w:rsidRPr="00D44D8F">
              <w:rPr>
                <w:color w:val="993300"/>
                <w:sz w:val="16"/>
                <w:szCs w:val="16"/>
              </w:rPr>
              <w:t>11.077</w:t>
            </w:r>
          </w:p>
        </w:tc>
        <w:tc>
          <w:tcPr>
            <w:tcW w:w="1832" w:type="pct"/>
            <w:shd w:val="clear" w:color="auto" w:fill="FFFFFF"/>
            <w:tcMar>
              <w:top w:w="110" w:type="dxa"/>
            </w:tcMar>
          </w:tcPr>
          <w:p w:rsidR="00B070BF" w:rsidRPr="009577DE" w:rsidRDefault="00B070BF" w:rsidP="00C33D4A">
            <w:pPr>
              <w:widowControl w:val="0"/>
              <w:rPr>
                <w:sz w:val="16"/>
                <w:szCs w:val="16"/>
              </w:rPr>
            </w:pPr>
            <w:r w:rsidRPr="009577DE">
              <w:rPr>
                <w:sz w:val="16"/>
                <w:szCs w:val="16"/>
              </w:rPr>
              <w:t xml:space="preserve">Dibujos y modelos contenidos </w:t>
            </w:r>
          </w:p>
          <w:p w:rsidR="00B070BF" w:rsidRPr="009577DE" w:rsidRDefault="00B070BF" w:rsidP="00C33D4A">
            <w:pPr>
              <w:widowControl w:val="0"/>
              <w:rPr>
                <w:sz w:val="16"/>
                <w:szCs w:val="16"/>
              </w:rPr>
            </w:pPr>
          </w:p>
          <w:p w:rsidR="00B070BF" w:rsidRPr="009577DE" w:rsidRDefault="00B070BF" w:rsidP="00C33D4A">
            <w:pPr>
              <w:widowControl w:val="0"/>
              <w:rPr>
                <w:sz w:val="16"/>
                <w:szCs w:val="16"/>
              </w:rPr>
            </w:pPr>
            <w:r w:rsidRPr="009577DE">
              <w:rPr>
                <w:sz w:val="16"/>
                <w:szCs w:val="16"/>
              </w:rPr>
              <w:t>11.971</w:t>
            </w:r>
          </w:p>
          <w:p w:rsidR="00B070BF" w:rsidRPr="009577DE" w:rsidRDefault="00B070BF" w:rsidP="00C33D4A">
            <w:pPr>
              <w:widowControl w:val="0"/>
              <w:rPr>
                <w:sz w:val="16"/>
                <w:szCs w:val="16"/>
              </w:rPr>
            </w:pPr>
          </w:p>
        </w:tc>
        <w:tc>
          <w:tcPr>
            <w:tcW w:w="573" w:type="pct"/>
            <w:shd w:val="clear" w:color="auto" w:fill="auto"/>
            <w:tcMar>
              <w:top w:w="110" w:type="dxa"/>
            </w:tcMar>
          </w:tcPr>
          <w:p w:rsidR="00B070BF" w:rsidRPr="009577DE" w:rsidRDefault="00B070BF" w:rsidP="00C33D4A">
            <w:pPr>
              <w:widowControl w:val="0"/>
              <w:jc w:val="center"/>
              <w:rPr>
                <w:b/>
                <w:bCs/>
                <w:color w:val="FF0000"/>
                <w:sz w:val="16"/>
                <w:szCs w:val="16"/>
              </w:rPr>
            </w:pPr>
            <w:r w:rsidRPr="009577DE">
              <w:rPr>
                <w:b/>
                <w:bCs/>
                <w:color w:val="FF0000"/>
                <w:sz w:val="16"/>
                <w:szCs w:val="16"/>
              </w:rPr>
              <w:t>Sin avances significativos</w:t>
            </w:r>
          </w:p>
          <w:p w:rsidR="00B070BF" w:rsidRPr="009577DE" w:rsidRDefault="00B070BF" w:rsidP="00C33D4A">
            <w:pPr>
              <w:widowControl w:val="0"/>
              <w:jc w:val="center"/>
              <w:rPr>
                <w:bCs/>
                <w:sz w:val="16"/>
                <w:szCs w:val="16"/>
              </w:rPr>
            </w:pPr>
          </w:p>
        </w:tc>
      </w:tr>
      <w:tr w:rsidR="00B070BF" w:rsidRPr="009577DE" w:rsidTr="00C33D4A">
        <w:trPr>
          <w:cantSplit/>
        </w:trPr>
        <w:tc>
          <w:tcPr>
            <w:tcW w:w="855" w:type="pct"/>
            <w:shd w:val="clear" w:color="auto" w:fill="auto"/>
          </w:tcPr>
          <w:p w:rsidR="00B070BF" w:rsidRPr="009577DE" w:rsidRDefault="00B070BF" w:rsidP="00C33D4A">
            <w:pPr>
              <w:widowControl w:val="0"/>
              <w:ind w:firstLineChars="100" w:firstLine="160"/>
              <w:rPr>
                <w:sz w:val="16"/>
                <w:szCs w:val="16"/>
              </w:rPr>
            </w:pPr>
          </w:p>
        </w:tc>
        <w:tc>
          <w:tcPr>
            <w:tcW w:w="901" w:type="pct"/>
            <w:shd w:val="clear" w:color="auto" w:fill="C0C0C0"/>
          </w:tcPr>
          <w:p w:rsidR="00B070BF" w:rsidRPr="009577DE" w:rsidRDefault="00B070BF" w:rsidP="00C33D4A">
            <w:pPr>
              <w:widowControl w:val="0"/>
              <w:rPr>
                <w:sz w:val="16"/>
                <w:szCs w:val="16"/>
              </w:rPr>
            </w:pPr>
            <w:r w:rsidRPr="009577DE">
              <w:rPr>
                <w:sz w:val="16"/>
                <w:szCs w:val="16"/>
              </w:rPr>
              <w:t>Renovaciones</w:t>
            </w:r>
          </w:p>
          <w:p w:rsidR="00B070BF" w:rsidRPr="009577DE" w:rsidRDefault="00B070BF" w:rsidP="00C33D4A">
            <w:pPr>
              <w:widowControl w:val="0"/>
              <w:rPr>
                <w:sz w:val="16"/>
                <w:szCs w:val="16"/>
              </w:rPr>
            </w:pPr>
          </w:p>
          <w:p w:rsidR="00B070BF" w:rsidRPr="009577DE" w:rsidRDefault="00B070BF" w:rsidP="00C33D4A">
            <w:pPr>
              <w:widowControl w:val="0"/>
              <w:rPr>
                <w:sz w:val="16"/>
                <w:szCs w:val="16"/>
              </w:rPr>
            </w:pPr>
            <w:r w:rsidRPr="009577DE">
              <w:rPr>
                <w:sz w:val="16"/>
                <w:szCs w:val="16"/>
              </w:rPr>
              <w:t>2.793          2.700</w:t>
            </w:r>
          </w:p>
        </w:tc>
        <w:tc>
          <w:tcPr>
            <w:tcW w:w="839" w:type="pct"/>
            <w:gridSpan w:val="2"/>
            <w:shd w:val="clear" w:color="auto" w:fill="auto"/>
            <w:tcMar>
              <w:top w:w="110" w:type="dxa"/>
            </w:tcMar>
          </w:tcPr>
          <w:p w:rsidR="00B070BF" w:rsidRPr="00D44D8F" w:rsidRDefault="00B070BF" w:rsidP="00C33D4A">
            <w:pPr>
              <w:widowControl w:val="0"/>
              <w:rPr>
                <w:color w:val="993300"/>
                <w:sz w:val="16"/>
                <w:szCs w:val="16"/>
              </w:rPr>
            </w:pPr>
            <w:r w:rsidRPr="00D44D8F">
              <w:rPr>
                <w:color w:val="993300"/>
                <w:sz w:val="16"/>
                <w:szCs w:val="16"/>
              </w:rPr>
              <w:t>Renovaciones</w:t>
            </w:r>
          </w:p>
          <w:p w:rsidR="00B070BF" w:rsidRPr="00D44D8F" w:rsidRDefault="00B070BF" w:rsidP="00C33D4A">
            <w:pPr>
              <w:widowControl w:val="0"/>
              <w:rPr>
                <w:color w:val="993300"/>
                <w:sz w:val="16"/>
                <w:szCs w:val="16"/>
              </w:rPr>
            </w:pPr>
          </w:p>
          <w:p w:rsidR="00B070BF" w:rsidRPr="00D44D8F" w:rsidRDefault="00B070BF" w:rsidP="00C33D4A">
            <w:pPr>
              <w:widowControl w:val="0"/>
              <w:rPr>
                <w:color w:val="993300"/>
                <w:sz w:val="16"/>
                <w:szCs w:val="16"/>
                <w:u w:val="single"/>
                <w:lang w:bidi="th-TH"/>
              </w:rPr>
            </w:pPr>
            <w:r w:rsidRPr="00D44D8F">
              <w:rPr>
                <w:color w:val="993300"/>
                <w:sz w:val="16"/>
                <w:szCs w:val="16"/>
              </w:rPr>
              <w:t>2.821</w:t>
            </w:r>
          </w:p>
        </w:tc>
        <w:tc>
          <w:tcPr>
            <w:tcW w:w="1832" w:type="pct"/>
            <w:shd w:val="clear" w:color="auto" w:fill="FFFFFF"/>
            <w:tcMar>
              <w:top w:w="110" w:type="dxa"/>
            </w:tcMar>
          </w:tcPr>
          <w:p w:rsidR="00B070BF" w:rsidRPr="009577DE" w:rsidRDefault="00B070BF" w:rsidP="00C33D4A">
            <w:pPr>
              <w:widowControl w:val="0"/>
              <w:rPr>
                <w:sz w:val="16"/>
                <w:szCs w:val="16"/>
              </w:rPr>
            </w:pPr>
            <w:r w:rsidRPr="009577DE">
              <w:rPr>
                <w:sz w:val="16"/>
                <w:szCs w:val="16"/>
              </w:rPr>
              <w:t>Renovaciones</w:t>
            </w:r>
          </w:p>
          <w:p w:rsidR="00B070BF" w:rsidRPr="009577DE" w:rsidRDefault="00B070BF" w:rsidP="00C33D4A">
            <w:pPr>
              <w:widowControl w:val="0"/>
              <w:rPr>
                <w:sz w:val="16"/>
                <w:szCs w:val="16"/>
              </w:rPr>
            </w:pPr>
          </w:p>
          <w:p w:rsidR="00B070BF" w:rsidRPr="009577DE" w:rsidRDefault="00B070BF" w:rsidP="00C33D4A">
            <w:pPr>
              <w:widowControl w:val="0"/>
              <w:rPr>
                <w:sz w:val="16"/>
                <w:szCs w:val="16"/>
              </w:rPr>
            </w:pPr>
            <w:r w:rsidRPr="009577DE">
              <w:rPr>
                <w:sz w:val="16"/>
                <w:szCs w:val="16"/>
              </w:rPr>
              <w:t>3.120</w:t>
            </w:r>
          </w:p>
          <w:p w:rsidR="00B070BF" w:rsidRPr="009577DE" w:rsidRDefault="00B070BF" w:rsidP="00C33D4A">
            <w:pPr>
              <w:widowControl w:val="0"/>
              <w:rPr>
                <w:sz w:val="16"/>
                <w:szCs w:val="16"/>
              </w:rPr>
            </w:pPr>
          </w:p>
        </w:tc>
        <w:tc>
          <w:tcPr>
            <w:tcW w:w="573" w:type="pct"/>
            <w:shd w:val="clear" w:color="auto" w:fill="auto"/>
            <w:tcMar>
              <w:top w:w="110" w:type="dxa"/>
            </w:tcMar>
          </w:tcPr>
          <w:p w:rsidR="00B070BF" w:rsidRPr="009577DE" w:rsidRDefault="00B070BF" w:rsidP="00C33D4A">
            <w:pPr>
              <w:widowControl w:val="0"/>
              <w:jc w:val="center"/>
              <w:rPr>
                <w:b/>
                <w:bCs/>
                <w:sz w:val="16"/>
                <w:szCs w:val="16"/>
              </w:rPr>
            </w:pPr>
            <w:r w:rsidRPr="009577DE">
              <w:rPr>
                <w:b/>
                <w:bCs/>
                <w:color w:val="008000"/>
                <w:sz w:val="16"/>
                <w:szCs w:val="16"/>
              </w:rPr>
              <w:t>Progresa con normalidad</w:t>
            </w:r>
          </w:p>
          <w:p w:rsidR="00B070BF" w:rsidRPr="009577DE" w:rsidRDefault="00B070BF" w:rsidP="00C33D4A">
            <w:pPr>
              <w:widowControl w:val="0"/>
              <w:jc w:val="center"/>
              <w:rPr>
                <w:b/>
                <w:bCs/>
                <w:sz w:val="16"/>
                <w:szCs w:val="16"/>
              </w:rPr>
            </w:pPr>
          </w:p>
        </w:tc>
      </w:tr>
      <w:tr w:rsidR="00B070BF" w:rsidRPr="009577DE" w:rsidTr="00C33D4A">
        <w:trPr>
          <w:cantSplit/>
        </w:trPr>
        <w:tc>
          <w:tcPr>
            <w:tcW w:w="855" w:type="pct"/>
            <w:shd w:val="clear" w:color="auto" w:fill="auto"/>
          </w:tcPr>
          <w:p w:rsidR="00B070BF" w:rsidRPr="009577DE" w:rsidRDefault="00B070BF" w:rsidP="00C33D4A">
            <w:pPr>
              <w:widowControl w:val="0"/>
              <w:ind w:firstLineChars="100" w:firstLine="160"/>
              <w:rPr>
                <w:sz w:val="16"/>
                <w:szCs w:val="16"/>
              </w:rPr>
            </w:pPr>
          </w:p>
        </w:tc>
        <w:tc>
          <w:tcPr>
            <w:tcW w:w="901" w:type="pct"/>
            <w:shd w:val="clear" w:color="auto" w:fill="C0C0C0"/>
          </w:tcPr>
          <w:p w:rsidR="00B070BF" w:rsidRPr="009577DE" w:rsidRDefault="00B070BF" w:rsidP="00C33D4A">
            <w:pPr>
              <w:widowControl w:val="0"/>
              <w:rPr>
                <w:sz w:val="16"/>
                <w:szCs w:val="16"/>
              </w:rPr>
            </w:pPr>
            <w:r w:rsidRPr="009577DE">
              <w:rPr>
                <w:sz w:val="16"/>
                <w:szCs w:val="16"/>
              </w:rPr>
              <w:t>Otras inscripciones</w:t>
            </w:r>
          </w:p>
          <w:p w:rsidR="00B070BF" w:rsidRPr="009577DE" w:rsidRDefault="00B070BF" w:rsidP="00C33D4A">
            <w:pPr>
              <w:widowControl w:val="0"/>
              <w:rPr>
                <w:sz w:val="16"/>
                <w:szCs w:val="16"/>
              </w:rPr>
            </w:pPr>
          </w:p>
          <w:p w:rsidR="00B070BF" w:rsidRPr="009577DE" w:rsidRDefault="00B070BF" w:rsidP="00C33D4A">
            <w:pPr>
              <w:widowControl w:val="0"/>
              <w:rPr>
                <w:sz w:val="16"/>
                <w:szCs w:val="16"/>
              </w:rPr>
            </w:pPr>
            <w:r w:rsidRPr="009577DE">
              <w:rPr>
                <w:sz w:val="16"/>
                <w:szCs w:val="16"/>
              </w:rPr>
              <w:t>4.244          5.100</w:t>
            </w:r>
          </w:p>
        </w:tc>
        <w:tc>
          <w:tcPr>
            <w:tcW w:w="839" w:type="pct"/>
            <w:gridSpan w:val="2"/>
            <w:shd w:val="clear" w:color="auto" w:fill="auto"/>
            <w:tcMar>
              <w:top w:w="110" w:type="dxa"/>
            </w:tcMar>
          </w:tcPr>
          <w:p w:rsidR="00B070BF" w:rsidRPr="00D44D8F" w:rsidRDefault="00B070BF" w:rsidP="00C33D4A">
            <w:pPr>
              <w:widowControl w:val="0"/>
              <w:rPr>
                <w:color w:val="993300"/>
                <w:sz w:val="16"/>
                <w:szCs w:val="16"/>
              </w:rPr>
            </w:pPr>
            <w:r w:rsidRPr="00D44D8F">
              <w:rPr>
                <w:color w:val="993300"/>
                <w:sz w:val="16"/>
                <w:szCs w:val="16"/>
              </w:rPr>
              <w:t>Otras inscripciones</w:t>
            </w:r>
          </w:p>
          <w:p w:rsidR="00B070BF" w:rsidRPr="00D44D8F" w:rsidRDefault="00B070BF" w:rsidP="00C33D4A">
            <w:pPr>
              <w:widowControl w:val="0"/>
              <w:rPr>
                <w:color w:val="993300"/>
                <w:sz w:val="16"/>
                <w:szCs w:val="16"/>
              </w:rPr>
            </w:pPr>
          </w:p>
          <w:p w:rsidR="00B070BF" w:rsidRPr="00D44D8F" w:rsidRDefault="00B070BF" w:rsidP="00C33D4A">
            <w:pPr>
              <w:widowControl w:val="0"/>
              <w:rPr>
                <w:color w:val="993300"/>
                <w:sz w:val="16"/>
                <w:szCs w:val="16"/>
              </w:rPr>
            </w:pPr>
            <w:r w:rsidRPr="00D44D8F">
              <w:rPr>
                <w:color w:val="993300"/>
                <w:sz w:val="16"/>
                <w:szCs w:val="16"/>
              </w:rPr>
              <w:t>4.326</w:t>
            </w:r>
          </w:p>
        </w:tc>
        <w:tc>
          <w:tcPr>
            <w:tcW w:w="1832" w:type="pct"/>
            <w:shd w:val="clear" w:color="auto" w:fill="FFFFFF"/>
            <w:tcMar>
              <w:top w:w="110" w:type="dxa"/>
            </w:tcMar>
          </w:tcPr>
          <w:p w:rsidR="00B070BF" w:rsidRPr="009577DE" w:rsidRDefault="00B070BF" w:rsidP="00C33D4A">
            <w:pPr>
              <w:widowControl w:val="0"/>
              <w:rPr>
                <w:sz w:val="16"/>
                <w:szCs w:val="16"/>
              </w:rPr>
            </w:pPr>
            <w:r w:rsidRPr="009577DE">
              <w:rPr>
                <w:sz w:val="16"/>
                <w:szCs w:val="16"/>
              </w:rPr>
              <w:t>Otras inscripciones</w:t>
            </w:r>
          </w:p>
          <w:p w:rsidR="00B070BF" w:rsidRPr="009577DE" w:rsidRDefault="00B070BF" w:rsidP="00C33D4A">
            <w:pPr>
              <w:widowControl w:val="0"/>
              <w:rPr>
                <w:sz w:val="16"/>
                <w:szCs w:val="16"/>
              </w:rPr>
            </w:pPr>
          </w:p>
          <w:p w:rsidR="00B070BF" w:rsidRPr="009577DE" w:rsidRDefault="00B070BF" w:rsidP="00C33D4A">
            <w:pPr>
              <w:widowControl w:val="0"/>
              <w:rPr>
                <w:sz w:val="16"/>
                <w:szCs w:val="16"/>
              </w:rPr>
            </w:pPr>
            <w:r w:rsidRPr="009577DE">
              <w:rPr>
                <w:sz w:val="16"/>
                <w:szCs w:val="16"/>
              </w:rPr>
              <w:t xml:space="preserve">3.643 </w:t>
            </w:r>
          </w:p>
          <w:p w:rsidR="00B070BF" w:rsidRPr="009577DE" w:rsidRDefault="00B070BF" w:rsidP="00C33D4A">
            <w:pPr>
              <w:widowControl w:val="0"/>
              <w:rPr>
                <w:sz w:val="16"/>
                <w:szCs w:val="16"/>
              </w:rPr>
            </w:pPr>
          </w:p>
        </w:tc>
        <w:tc>
          <w:tcPr>
            <w:tcW w:w="573" w:type="pct"/>
            <w:shd w:val="clear" w:color="auto" w:fill="auto"/>
            <w:tcMar>
              <w:top w:w="110" w:type="dxa"/>
            </w:tcMar>
          </w:tcPr>
          <w:p w:rsidR="00B070BF" w:rsidRPr="009577DE" w:rsidRDefault="00B070BF" w:rsidP="00C33D4A">
            <w:pPr>
              <w:widowControl w:val="0"/>
              <w:jc w:val="center"/>
              <w:rPr>
                <w:b/>
                <w:bCs/>
                <w:sz w:val="16"/>
                <w:szCs w:val="16"/>
              </w:rPr>
            </w:pPr>
            <w:r w:rsidRPr="009577DE">
              <w:rPr>
                <w:b/>
                <w:bCs/>
                <w:color w:val="FF0000"/>
                <w:sz w:val="16"/>
                <w:szCs w:val="16"/>
              </w:rPr>
              <w:t>Sin avances significativos</w:t>
            </w:r>
          </w:p>
          <w:p w:rsidR="00B070BF" w:rsidRPr="009577DE" w:rsidRDefault="00B070BF" w:rsidP="00C33D4A">
            <w:pPr>
              <w:widowControl w:val="0"/>
              <w:jc w:val="center"/>
              <w:rPr>
                <w:b/>
                <w:bCs/>
                <w:sz w:val="16"/>
                <w:szCs w:val="16"/>
              </w:rPr>
            </w:pPr>
          </w:p>
          <w:p w:rsidR="00B070BF" w:rsidRPr="009577DE" w:rsidRDefault="00B070BF" w:rsidP="00C33D4A">
            <w:pPr>
              <w:widowControl w:val="0"/>
              <w:jc w:val="center"/>
              <w:rPr>
                <w:b/>
                <w:bCs/>
                <w:sz w:val="16"/>
                <w:szCs w:val="16"/>
              </w:rPr>
            </w:pPr>
          </w:p>
        </w:tc>
      </w:tr>
      <w:tr w:rsidR="00B070BF" w:rsidRPr="009577DE" w:rsidTr="00C33D4A">
        <w:trPr>
          <w:cantSplit/>
          <w:trHeight w:val="1203"/>
        </w:trPr>
        <w:tc>
          <w:tcPr>
            <w:tcW w:w="855" w:type="pct"/>
            <w:shd w:val="clear" w:color="auto" w:fill="auto"/>
          </w:tcPr>
          <w:p w:rsidR="00B070BF" w:rsidRPr="009577DE" w:rsidRDefault="00B070BF" w:rsidP="00C33D4A">
            <w:pPr>
              <w:widowControl w:val="0"/>
              <w:rPr>
                <w:sz w:val="16"/>
                <w:szCs w:val="16"/>
              </w:rPr>
            </w:pPr>
            <w:r w:rsidRPr="009577DE">
              <w:rPr>
                <w:sz w:val="16"/>
                <w:szCs w:val="16"/>
              </w:rPr>
              <w:t>Número de solicitudes de países en desarrollo y PMA y designaciones de esos países.</w:t>
            </w:r>
          </w:p>
        </w:tc>
        <w:tc>
          <w:tcPr>
            <w:tcW w:w="901" w:type="pct"/>
            <w:shd w:val="clear" w:color="auto" w:fill="C0C0C0"/>
          </w:tcPr>
          <w:p w:rsidR="00B070BF" w:rsidRPr="009577DE" w:rsidRDefault="00B070BF" w:rsidP="00C33D4A">
            <w:pPr>
              <w:widowControl w:val="0"/>
              <w:rPr>
                <w:sz w:val="16"/>
                <w:szCs w:val="16"/>
              </w:rPr>
            </w:pPr>
            <w:r w:rsidRPr="009577DE">
              <w:rPr>
                <w:sz w:val="16"/>
                <w:szCs w:val="16"/>
              </w:rPr>
              <w:t>12 solicitudes de países en desarrollo y PMA y 2.065 designaciones de esos países (2010).</w:t>
            </w:r>
          </w:p>
        </w:tc>
        <w:tc>
          <w:tcPr>
            <w:tcW w:w="839" w:type="pct"/>
            <w:gridSpan w:val="2"/>
            <w:shd w:val="clear" w:color="auto" w:fill="auto"/>
            <w:tcMar>
              <w:top w:w="110" w:type="dxa"/>
            </w:tcMar>
          </w:tcPr>
          <w:p w:rsidR="00B070BF" w:rsidRPr="00D44D8F" w:rsidRDefault="00B070BF" w:rsidP="00C33D4A">
            <w:pPr>
              <w:widowControl w:val="0"/>
              <w:rPr>
                <w:color w:val="993300"/>
                <w:sz w:val="16"/>
                <w:szCs w:val="16"/>
              </w:rPr>
            </w:pPr>
            <w:r w:rsidRPr="00D44D8F">
              <w:rPr>
                <w:color w:val="993300"/>
                <w:sz w:val="16"/>
                <w:szCs w:val="16"/>
              </w:rPr>
              <w:t>20 solicitudes procedentes de países en desarrollo y PMA y 2.059</w:t>
            </w:r>
          </w:p>
          <w:p w:rsidR="00B070BF" w:rsidRPr="00D44D8F" w:rsidRDefault="00B070BF" w:rsidP="00C33D4A">
            <w:pPr>
              <w:widowControl w:val="0"/>
              <w:rPr>
                <w:color w:val="993300"/>
                <w:sz w:val="16"/>
                <w:szCs w:val="16"/>
              </w:rPr>
            </w:pPr>
            <w:r w:rsidRPr="00D44D8F">
              <w:rPr>
                <w:color w:val="993300"/>
                <w:sz w:val="16"/>
                <w:szCs w:val="16"/>
              </w:rPr>
              <w:t>designaciones de tales países</w:t>
            </w:r>
          </w:p>
        </w:tc>
        <w:tc>
          <w:tcPr>
            <w:tcW w:w="1832" w:type="pct"/>
            <w:shd w:val="clear" w:color="auto" w:fill="FFFFFF"/>
            <w:tcMar>
              <w:top w:w="110" w:type="dxa"/>
            </w:tcMar>
          </w:tcPr>
          <w:p w:rsidR="00B070BF" w:rsidRPr="009577DE" w:rsidRDefault="00B070BF" w:rsidP="00C33D4A">
            <w:pPr>
              <w:widowControl w:val="0"/>
              <w:rPr>
                <w:sz w:val="16"/>
                <w:szCs w:val="16"/>
              </w:rPr>
            </w:pPr>
            <w:r w:rsidRPr="009577DE">
              <w:rPr>
                <w:sz w:val="16"/>
                <w:szCs w:val="16"/>
              </w:rPr>
              <w:t xml:space="preserve">16 solicitudes procedentes de PMA y países en desarrollo </w:t>
            </w:r>
          </w:p>
          <w:p w:rsidR="00B070BF" w:rsidRPr="009577DE" w:rsidRDefault="00B070BF" w:rsidP="00C33D4A">
            <w:pPr>
              <w:widowControl w:val="0"/>
              <w:rPr>
                <w:sz w:val="16"/>
                <w:szCs w:val="16"/>
              </w:rPr>
            </w:pPr>
          </w:p>
          <w:p w:rsidR="00B070BF" w:rsidRPr="009577DE" w:rsidRDefault="00B070BF" w:rsidP="00C33D4A">
            <w:pPr>
              <w:widowControl w:val="0"/>
              <w:rPr>
                <w:sz w:val="16"/>
                <w:szCs w:val="16"/>
              </w:rPr>
            </w:pPr>
            <w:r w:rsidRPr="009577DE">
              <w:rPr>
                <w:sz w:val="16"/>
                <w:szCs w:val="16"/>
              </w:rPr>
              <w:t>2.211 designaciones de PMA y países en desarrollo</w:t>
            </w:r>
          </w:p>
        </w:tc>
        <w:tc>
          <w:tcPr>
            <w:tcW w:w="573" w:type="pct"/>
            <w:shd w:val="clear" w:color="auto" w:fill="auto"/>
            <w:tcMar>
              <w:top w:w="110" w:type="dxa"/>
            </w:tcMar>
          </w:tcPr>
          <w:p w:rsidR="00B070BF" w:rsidRPr="009577DE" w:rsidRDefault="00B070BF" w:rsidP="00C33D4A">
            <w:pPr>
              <w:widowControl w:val="0"/>
              <w:jc w:val="center"/>
              <w:rPr>
                <w:b/>
                <w:bCs/>
                <w:sz w:val="16"/>
                <w:szCs w:val="16"/>
              </w:rPr>
            </w:pPr>
            <w:r w:rsidRPr="009577DE">
              <w:rPr>
                <w:b/>
                <w:bCs/>
                <w:color w:val="FF0000"/>
                <w:sz w:val="16"/>
                <w:szCs w:val="16"/>
              </w:rPr>
              <w:t>Sin avances significativos</w:t>
            </w:r>
          </w:p>
          <w:p w:rsidR="00B070BF" w:rsidRPr="009577DE" w:rsidRDefault="00B070BF" w:rsidP="00C33D4A">
            <w:pPr>
              <w:widowControl w:val="0"/>
              <w:jc w:val="center"/>
              <w:rPr>
                <w:bCs/>
                <w:sz w:val="16"/>
                <w:szCs w:val="16"/>
              </w:rPr>
            </w:pPr>
          </w:p>
        </w:tc>
      </w:tr>
      <w:tr w:rsidR="00B070BF" w:rsidRPr="009577DE" w:rsidTr="00C33D4A">
        <w:trPr>
          <w:cantSplit/>
        </w:trPr>
        <w:tc>
          <w:tcPr>
            <w:tcW w:w="855" w:type="pct"/>
            <w:tcBorders>
              <w:bottom w:val="single" w:sz="4" w:space="0" w:color="auto"/>
            </w:tcBorders>
            <w:shd w:val="clear" w:color="auto" w:fill="auto"/>
          </w:tcPr>
          <w:p w:rsidR="00B070BF" w:rsidRPr="009577DE" w:rsidRDefault="00B070BF" w:rsidP="00C33D4A">
            <w:pPr>
              <w:widowControl w:val="0"/>
              <w:rPr>
                <w:sz w:val="16"/>
                <w:szCs w:val="16"/>
              </w:rPr>
            </w:pPr>
            <w:r w:rsidRPr="009577DE">
              <w:rPr>
                <w:sz w:val="16"/>
                <w:szCs w:val="16"/>
              </w:rPr>
              <w:t>Porcentaje de solicitudes irregulares.</w:t>
            </w:r>
          </w:p>
          <w:p w:rsidR="00B070BF" w:rsidRPr="009577DE" w:rsidRDefault="00B070BF" w:rsidP="00C33D4A">
            <w:pPr>
              <w:widowControl w:val="0"/>
              <w:rPr>
                <w:sz w:val="16"/>
                <w:szCs w:val="16"/>
              </w:rPr>
            </w:pPr>
          </w:p>
        </w:tc>
        <w:tc>
          <w:tcPr>
            <w:tcW w:w="901" w:type="pct"/>
            <w:tcBorders>
              <w:bottom w:val="single" w:sz="4" w:space="0" w:color="auto"/>
            </w:tcBorders>
            <w:shd w:val="clear" w:color="auto" w:fill="C0C0C0"/>
          </w:tcPr>
          <w:p w:rsidR="00B070BF" w:rsidRPr="009577DE" w:rsidRDefault="00B070BF" w:rsidP="00C33D4A">
            <w:pPr>
              <w:widowControl w:val="0"/>
              <w:rPr>
                <w:sz w:val="16"/>
                <w:szCs w:val="16"/>
              </w:rPr>
            </w:pPr>
            <w:r w:rsidRPr="009577DE">
              <w:rPr>
                <w:sz w:val="16"/>
                <w:szCs w:val="16"/>
              </w:rPr>
              <w:t>57% (en 2010)</w:t>
            </w:r>
          </w:p>
        </w:tc>
        <w:tc>
          <w:tcPr>
            <w:tcW w:w="839" w:type="pct"/>
            <w:gridSpan w:val="2"/>
            <w:tcBorders>
              <w:bottom w:val="single" w:sz="4" w:space="0" w:color="auto"/>
            </w:tcBorders>
            <w:shd w:val="clear" w:color="auto" w:fill="auto"/>
            <w:tcMar>
              <w:top w:w="110" w:type="dxa"/>
            </w:tcMar>
          </w:tcPr>
          <w:p w:rsidR="00B070BF" w:rsidRPr="00D44D8F" w:rsidRDefault="00B070BF" w:rsidP="00C33D4A">
            <w:pPr>
              <w:widowControl w:val="0"/>
              <w:rPr>
                <w:color w:val="993300"/>
                <w:sz w:val="16"/>
                <w:szCs w:val="16"/>
              </w:rPr>
            </w:pPr>
            <w:r w:rsidRPr="00D44D8F">
              <w:rPr>
                <w:color w:val="993300"/>
                <w:sz w:val="16"/>
                <w:szCs w:val="16"/>
              </w:rPr>
              <w:t>60%</w:t>
            </w:r>
          </w:p>
        </w:tc>
        <w:tc>
          <w:tcPr>
            <w:tcW w:w="1832" w:type="pct"/>
            <w:tcBorders>
              <w:bottom w:val="single" w:sz="4" w:space="0" w:color="auto"/>
            </w:tcBorders>
            <w:shd w:val="clear" w:color="auto" w:fill="FFFFFF"/>
            <w:tcMar>
              <w:top w:w="110" w:type="dxa"/>
            </w:tcMar>
          </w:tcPr>
          <w:p w:rsidR="00B070BF" w:rsidRPr="009577DE" w:rsidRDefault="00B070BF" w:rsidP="00C33D4A">
            <w:pPr>
              <w:widowControl w:val="0"/>
              <w:rPr>
                <w:sz w:val="16"/>
                <w:szCs w:val="16"/>
                <w:lang w:bidi="th-TH"/>
              </w:rPr>
            </w:pPr>
            <w:r w:rsidRPr="009577DE">
              <w:rPr>
                <w:sz w:val="16"/>
                <w:szCs w:val="16"/>
                <w:lang w:bidi="th-TH"/>
              </w:rPr>
              <w:t>62%</w:t>
            </w:r>
          </w:p>
          <w:p w:rsidR="00B070BF" w:rsidRPr="009577DE" w:rsidRDefault="00B070BF" w:rsidP="00C33D4A">
            <w:pPr>
              <w:widowControl w:val="0"/>
              <w:rPr>
                <w:sz w:val="16"/>
                <w:szCs w:val="16"/>
              </w:rPr>
            </w:pPr>
          </w:p>
        </w:tc>
        <w:tc>
          <w:tcPr>
            <w:tcW w:w="573" w:type="pct"/>
            <w:tcBorders>
              <w:bottom w:val="single" w:sz="4" w:space="0" w:color="auto"/>
            </w:tcBorders>
            <w:shd w:val="clear" w:color="auto" w:fill="auto"/>
            <w:tcMar>
              <w:top w:w="110" w:type="dxa"/>
            </w:tcMar>
          </w:tcPr>
          <w:p w:rsidR="00B070BF" w:rsidRPr="009577DE" w:rsidRDefault="00B070BF" w:rsidP="00C33D4A">
            <w:pPr>
              <w:widowControl w:val="0"/>
              <w:jc w:val="center"/>
              <w:rPr>
                <w:b/>
                <w:bCs/>
                <w:sz w:val="16"/>
                <w:szCs w:val="16"/>
              </w:rPr>
            </w:pPr>
            <w:r w:rsidRPr="009577DE">
              <w:rPr>
                <w:b/>
                <w:bCs/>
                <w:color w:val="FF0000"/>
                <w:sz w:val="16"/>
                <w:szCs w:val="16"/>
              </w:rPr>
              <w:t>Sin avances significativos</w:t>
            </w:r>
          </w:p>
          <w:p w:rsidR="00B070BF" w:rsidRPr="009577DE" w:rsidRDefault="00B070BF" w:rsidP="00C33D4A">
            <w:pPr>
              <w:widowControl w:val="0"/>
              <w:jc w:val="center"/>
              <w:rPr>
                <w:bCs/>
                <w:sz w:val="16"/>
                <w:szCs w:val="16"/>
              </w:rPr>
            </w:pPr>
          </w:p>
        </w:tc>
      </w:tr>
      <w:tr w:rsidR="00B070BF" w:rsidRPr="009577DE" w:rsidTr="00C33D4A">
        <w:trPr>
          <w:cantSplit/>
        </w:trPr>
        <w:tc>
          <w:tcPr>
            <w:tcW w:w="5000" w:type="pct"/>
            <w:gridSpan w:val="6"/>
            <w:tcBorders>
              <w:top w:val="single" w:sz="4" w:space="0" w:color="auto"/>
              <w:bottom w:val="single" w:sz="4" w:space="0" w:color="auto"/>
            </w:tcBorders>
            <w:shd w:val="clear" w:color="auto" w:fill="CCFFFF"/>
            <w:vAlign w:val="center"/>
          </w:tcPr>
          <w:p w:rsidR="00B070BF" w:rsidRPr="009577DE" w:rsidRDefault="00B070BF" w:rsidP="00C33D4A">
            <w:pPr>
              <w:keepNext/>
              <w:widowControl w:val="0"/>
              <w:tabs>
                <w:tab w:val="left" w:pos="1735"/>
              </w:tabs>
              <w:spacing w:before="120" w:after="120"/>
              <w:ind w:left="1735" w:hanging="1735"/>
              <w:rPr>
                <w:b/>
                <w:bCs/>
                <w:sz w:val="16"/>
                <w:szCs w:val="16"/>
              </w:rPr>
            </w:pPr>
            <w:r w:rsidRPr="009577DE">
              <w:rPr>
                <w:b/>
                <w:bCs/>
                <w:sz w:val="16"/>
                <w:szCs w:val="16"/>
              </w:rPr>
              <w:lastRenderedPageBreak/>
              <w:t>Resultado previsto:</w:t>
            </w:r>
            <w:r w:rsidRPr="009577DE">
              <w:rPr>
                <w:b/>
                <w:bCs/>
                <w:sz w:val="16"/>
                <w:szCs w:val="16"/>
              </w:rPr>
              <w:tab/>
            </w:r>
            <w:r w:rsidRPr="009577DE">
              <w:rPr>
                <w:bCs/>
                <w:sz w:val="16"/>
                <w:szCs w:val="16"/>
              </w:rPr>
              <w:t xml:space="preserve"> Mejor administración del sistema de La Haya.</w:t>
            </w:r>
          </w:p>
        </w:tc>
      </w:tr>
      <w:tr w:rsidR="00B070BF" w:rsidRPr="009577DE" w:rsidTr="00C33D4A">
        <w:trPr>
          <w:cantSplit/>
        </w:trPr>
        <w:tc>
          <w:tcPr>
            <w:tcW w:w="855" w:type="pct"/>
            <w:tcBorders>
              <w:top w:val="single" w:sz="4" w:space="0" w:color="auto"/>
            </w:tcBorders>
            <w:shd w:val="clear" w:color="auto" w:fill="auto"/>
            <w:vAlign w:val="center"/>
          </w:tcPr>
          <w:p w:rsidR="00B070BF" w:rsidRPr="009577DE" w:rsidRDefault="00B070BF" w:rsidP="00C33D4A">
            <w:pPr>
              <w:widowControl w:val="0"/>
              <w:spacing w:after="120"/>
              <w:rPr>
                <w:sz w:val="16"/>
                <w:szCs w:val="16"/>
              </w:rPr>
            </w:pPr>
            <w:r w:rsidRPr="009577DE">
              <w:rPr>
                <w:b/>
                <w:bCs/>
                <w:sz w:val="16"/>
                <w:szCs w:val="16"/>
              </w:rPr>
              <w:t>Indicadores de rendimiento</w:t>
            </w:r>
          </w:p>
        </w:tc>
        <w:tc>
          <w:tcPr>
            <w:tcW w:w="901" w:type="pct"/>
            <w:tcBorders>
              <w:top w:val="single" w:sz="4" w:space="0" w:color="auto"/>
            </w:tcBorders>
            <w:shd w:val="clear" w:color="auto" w:fill="C0C0C0"/>
          </w:tcPr>
          <w:p w:rsidR="00B070BF" w:rsidRPr="009577DE" w:rsidRDefault="00B070BF" w:rsidP="00C33D4A">
            <w:pPr>
              <w:widowControl w:val="0"/>
              <w:spacing w:after="120"/>
              <w:rPr>
                <w:b/>
                <w:bCs/>
                <w:sz w:val="16"/>
                <w:szCs w:val="16"/>
              </w:rPr>
            </w:pPr>
            <w:r w:rsidRPr="009577DE">
              <w:rPr>
                <w:b/>
                <w:bCs/>
                <w:sz w:val="16"/>
                <w:szCs w:val="16"/>
              </w:rPr>
              <w:t>Referencia (</w:t>
            </w:r>
            <w:proofErr w:type="spellStart"/>
            <w:r w:rsidRPr="009577DE">
              <w:rPr>
                <w:b/>
                <w:bCs/>
                <w:sz w:val="16"/>
                <w:szCs w:val="16"/>
              </w:rPr>
              <w:t>Presup</w:t>
            </w:r>
            <w:proofErr w:type="spellEnd"/>
            <w:r w:rsidRPr="009577DE">
              <w:rPr>
                <w:b/>
                <w:bCs/>
                <w:sz w:val="16"/>
                <w:szCs w:val="16"/>
              </w:rPr>
              <w:t xml:space="preserve">. por </w:t>
            </w:r>
            <w:proofErr w:type="spellStart"/>
            <w:r w:rsidRPr="009577DE">
              <w:rPr>
                <w:b/>
                <w:bCs/>
                <w:sz w:val="16"/>
                <w:szCs w:val="16"/>
              </w:rPr>
              <w:t>prog</w:t>
            </w:r>
            <w:proofErr w:type="spellEnd"/>
            <w:r w:rsidRPr="009577DE">
              <w:rPr>
                <w:b/>
                <w:bCs/>
                <w:sz w:val="16"/>
                <w:szCs w:val="16"/>
              </w:rPr>
              <w:t>. 2012/13)</w:t>
            </w:r>
          </w:p>
        </w:tc>
        <w:tc>
          <w:tcPr>
            <w:tcW w:w="784" w:type="pct"/>
            <w:tcBorders>
              <w:top w:val="single" w:sz="4" w:space="0" w:color="auto"/>
            </w:tcBorders>
            <w:shd w:val="clear" w:color="auto" w:fill="auto"/>
            <w:tcMar>
              <w:top w:w="110" w:type="dxa"/>
            </w:tcMar>
            <w:vAlign w:val="center"/>
          </w:tcPr>
          <w:p w:rsidR="00B070BF" w:rsidRPr="009577DE" w:rsidRDefault="00B070BF" w:rsidP="00C33D4A">
            <w:pPr>
              <w:widowControl w:val="0"/>
              <w:spacing w:after="120"/>
              <w:rPr>
                <w:b/>
                <w:sz w:val="16"/>
                <w:szCs w:val="16"/>
              </w:rPr>
            </w:pPr>
            <w:r w:rsidRPr="00BF138D">
              <w:rPr>
                <w:b/>
                <w:color w:val="993300"/>
                <w:sz w:val="16"/>
                <w:szCs w:val="16"/>
              </w:rPr>
              <w:t>Referencia actualizada a finales de 2011</w:t>
            </w:r>
          </w:p>
        </w:tc>
        <w:tc>
          <w:tcPr>
            <w:tcW w:w="1887" w:type="pct"/>
            <w:gridSpan w:val="2"/>
            <w:tcBorders>
              <w:top w:val="single" w:sz="4" w:space="0" w:color="auto"/>
            </w:tcBorders>
            <w:shd w:val="clear" w:color="auto" w:fill="FFFFFF"/>
            <w:tcMar>
              <w:top w:w="110" w:type="dxa"/>
            </w:tcMar>
            <w:vAlign w:val="center"/>
          </w:tcPr>
          <w:p w:rsidR="00B070BF" w:rsidRPr="009577DE" w:rsidRDefault="00B070BF" w:rsidP="00C33D4A">
            <w:pPr>
              <w:widowControl w:val="0"/>
              <w:spacing w:after="120"/>
              <w:rPr>
                <w:sz w:val="16"/>
                <w:szCs w:val="16"/>
              </w:rPr>
            </w:pPr>
            <w:r w:rsidRPr="009577DE">
              <w:rPr>
                <w:b/>
                <w:bCs/>
                <w:sz w:val="16"/>
                <w:szCs w:val="16"/>
              </w:rPr>
              <w:t>Datos sobre el rendimiento</w:t>
            </w:r>
          </w:p>
        </w:tc>
        <w:tc>
          <w:tcPr>
            <w:tcW w:w="573" w:type="pct"/>
            <w:tcBorders>
              <w:top w:val="single" w:sz="4" w:space="0" w:color="auto"/>
            </w:tcBorders>
            <w:shd w:val="clear" w:color="auto" w:fill="auto"/>
            <w:tcMar>
              <w:top w:w="110" w:type="dxa"/>
            </w:tcMar>
            <w:vAlign w:val="center"/>
          </w:tcPr>
          <w:p w:rsidR="00B070BF" w:rsidRPr="009577DE" w:rsidRDefault="00B070BF" w:rsidP="00C33D4A">
            <w:pPr>
              <w:widowControl w:val="0"/>
              <w:spacing w:after="120"/>
              <w:jc w:val="center"/>
              <w:rPr>
                <w:b/>
                <w:bCs/>
                <w:sz w:val="16"/>
                <w:szCs w:val="16"/>
              </w:rPr>
            </w:pPr>
            <w:r w:rsidRPr="009577DE">
              <w:rPr>
                <w:b/>
                <w:bCs/>
                <w:sz w:val="16"/>
                <w:szCs w:val="16"/>
              </w:rPr>
              <w:t>Clave de colores</w:t>
            </w:r>
          </w:p>
        </w:tc>
      </w:tr>
      <w:tr w:rsidR="00B070BF" w:rsidRPr="009577DE" w:rsidTr="00C33D4A">
        <w:trPr>
          <w:cantSplit/>
        </w:trPr>
        <w:tc>
          <w:tcPr>
            <w:tcW w:w="855" w:type="pct"/>
            <w:shd w:val="clear" w:color="auto" w:fill="auto"/>
          </w:tcPr>
          <w:p w:rsidR="00B070BF" w:rsidRPr="009577DE" w:rsidRDefault="00B070BF" w:rsidP="00C33D4A">
            <w:pPr>
              <w:widowControl w:val="0"/>
              <w:rPr>
                <w:sz w:val="16"/>
                <w:szCs w:val="16"/>
              </w:rPr>
            </w:pPr>
            <w:r w:rsidRPr="009577DE">
              <w:rPr>
                <w:sz w:val="16"/>
                <w:szCs w:val="16"/>
              </w:rPr>
              <w:t>Predominio del Acta de Ginebra en la totalidad del sistema.</w:t>
            </w:r>
          </w:p>
        </w:tc>
        <w:tc>
          <w:tcPr>
            <w:tcW w:w="901" w:type="pct"/>
            <w:shd w:val="clear" w:color="auto" w:fill="C0C0C0"/>
          </w:tcPr>
          <w:p w:rsidR="00B070BF" w:rsidRPr="009577DE" w:rsidRDefault="00B070BF" w:rsidP="00C33D4A">
            <w:pPr>
              <w:widowControl w:val="0"/>
              <w:rPr>
                <w:sz w:val="16"/>
                <w:szCs w:val="16"/>
              </w:rPr>
            </w:pPr>
            <w:r w:rsidRPr="009577DE">
              <w:rPr>
                <w:sz w:val="16"/>
                <w:szCs w:val="16"/>
              </w:rPr>
              <w:t>39 Partes Contratantes del Acta de Ginebra y 18 Partes Contratantes obligadas únicamente por otras Actas en 2010.</w:t>
            </w:r>
          </w:p>
        </w:tc>
        <w:tc>
          <w:tcPr>
            <w:tcW w:w="784" w:type="pct"/>
            <w:shd w:val="clear" w:color="auto" w:fill="auto"/>
            <w:tcMar>
              <w:top w:w="110" w:type="dxa"/>
            </w:tcMar>
          </w:tcPr>
          <w:p w:rsidR="00B070BF" w:rsidRPr="00D44D8F" w:rsidRDefault="00B070BF" w:rsidP="00C33D4A">
            <w:pPr>
              <w:widowControl w:val="0"/>
              <w:rPr>
                <w:color w:val="993300"/>
                <w:sz w:val="16"/>
                <w:szCs w:val="16"/>
              </w:rPr>
            </w:pPr>
            <w:r w:rsidRPr="00D44D8F">
              <w:rPr>
                <w:color w:val="993300"/>
                <w:sz w:val="16"/>
                <w:szCs w:val="16"/>
              </w:rPr>
              <w:t>43 Partes Contratantes del Acta de Ginebra y 17 Partes Contratantes obligadas únicamente por otras Actas en 2011.</w:t>
            </w:r>
          </w:p>
        </w:tc>
        <w:tc>
          <w:tcPr>
            <w:tcW w:w="1887" w:type="pct"/>
            <w:gridSpan w:val="2"/>
            <w:shd w:val="clear" w:color="auto" w:fill="FFFFFF"/>
            <w:tcMar>
              <w:top w:w="110" w:type="dxa"/>
            </w:tcMar>
          </w:tcPr>
          <w:p w:rsidR="00B070BF" w:rsidRPr="009577DE" w:rsidRDefault="00B070BF" w:rsidP="00C33D4A">
            <w:pPr>
              <w:widowControl w:val="0"/>
              <w:rPr>
                <w:sz w:val="16"/>
                <w:szCs w:val="16"/>
                <w:lang w:bidi="th-TH"/>
              </w:rPr>
            </w:pPr>
            <w:r w:rsidRPr="009577DE">
              <w:rPr>
                <w:sz w:val="16"/>
                <w:szCs w:val="16"/>
              </w:rPr>
              <w:t>45 Partes Contratantes en el Acta de Ginebra (Montenegro y Túnez pasan a ser parte en el Acta en 2012) y 15 Partes Contratantes están obligadas únicamente por las otras Actas al 31 de diciembre de 2012</w:t>
            </w:r>
          </w:p>
          <w:p w:rsidR="00B070BF" w:rsidRPr="009577DE" w:rsidRDefault="00B070BF" w:rsidP="00C33D4A">
            <w:pPr>
              <w:widowControl w:val="0"/>
              <w:rPr>
                <w:sz w:val="16"/>
                <w:szCs w:val="16"/>
                <w:lang w:bidi="th-TH"/>
              </w:rPr>
            </w:pPr>
          </w:p>
          <w:p w:rsidR="00B070BF" w:rsidRPr="009577DE" w:rsidRDefault="00B070BF" w:rsidP="00C33D4A">
            <w:pPr>
              <w:widowControl w:val="0"/>
              <w:rPr>
                <w:sz w:val="16"/>
                <w:szCs w:val="16"/>
                <w:lang w:bidi="th-TH"/>
              </w:rPr>
            </w:pPr>
          </w:p>
          <w:p w:rsidR="00B070BF" w:rsidRPr="009577DE" w:rsidRDefault="00B070BF" w:rsidP="00C33D4A">
            <w:pPr>
              <w:widowControl w:val="0"/>
              <w:rPr>
                <w:sz w:val="16"/>
                <w:szCs w:val="16"/>
                <w:lang w:bidi="th-TH"/>
              </w:rPr>
            </w:pPr>
          </w:p>
          <w:p w:rsidR="00B070BF" w:rsidRPr="009577DE" w:rsidRDefault="00B070BF" w:rsidP="00C33D4A">
            <w:pPr>
              <w:widowControl w:val="0"/>
              <w:rPr>
                <w:sz w:val="16"/>
                <w:szCs w:val="16"/>
              </w:rPr>
            </w:pPr>
          </w:p>
        </w:tc>
        <w:tc>
          <w:tcPr>
            <w:tcW w:w="573" w:type="pct"/>
            <w:shd w:val="clear" w:color="auto" w:fill="auto"/>
            <w:tcMar>
              <w:top w:w="110" w:type="dxa"/>
            </w:tcMar>
          </w:tcPr>
          <w:p w:rsidR="00B070BF" w:rsidRPr="009577DE" w:rsidRDefault="00B070BF" w:rsidP="00C33D4A">
            <w:pPr>
              <w:widowControl w:val="0"/>
              <w:jc w:val="center"/>
              <w:rPr>
                <w:b/>
                <w:bCs/>
                <w:sz w:val="16"/>
                <w:szCs w:val="16"/>
              </w:rPr>
            </w:pPr>
            <w:r w:rsidRPr="009577DE">
              <w:rPr>
                <w:b/>
                <w:bCs/>
                <w:color w:val="008000"/>
                <w:sz w:val="16"/>
                <w:szCs w:val="16"/>
              </w:rPr>
              <w:t>Progresa con normalidad</w:t>
            </w:r>
          </w:p>
          <w:p w:rsidR="00B070BF" w:rsidRPr="009577DE" w:rsidRDefault="00B070BF" w:rsidP="00C33D4A">
            <w:pPr>
              <w:widowControl w:val="0"/>
              <w:jc w:val="center"/>
              <w:rPr>
                <w:b/>
                <w:bCs/>
                <w:sz w:val="16"/>
                <w:szCs w:val="16"/>
              </w:rPr>
            </w:pPr>
          </w:p>
          <w:p w:rsidR="00B070BF" w:rsidRPr="009577DE" w:rsidRDefault="00B070BF" w:rsidP="00C33D4A">
            <w:pPr>
              <w:widowControl w:val="0"/>
              <w:jc w:val="center"/>
              <w:rPr>
                <w:b/>
                <w:bCs/>
                <w:sz w:val="16"/>
                <w:szCs w:val="16"/>
              </w:rPr>
            </w:pPr>
          </w:p>
        </w:tc>
      </w:tr>
      <w:tr w:rsidR="00B070BF" w:rsidRPr="009577DE" w:rsidTr="00C33D4A">
        <w:trPr>
          <w:cantSplit/>
        </w:trPr>
        <w:tc>
          <w:tcPr>
            <w:tcW w:w="855" w:type="pct"/>
            <w:shd w:val="clear" w:color="auto" w:fill="auto"/>
          </w:tcPr>
          <w:p w:rsidR="00B070BF" w:rsidRPr="009577DE" w:rsidRDefault="00B070BF" w:rsidP="00C33D4A">
            <w:pPr>
              <w:widowControl w:val="0"/>
              <w:rPr>
                <w:sz w:val="16"/>
                <w:szCs w:val="16"/>
              </w:rPr>
            </w:pPr>
            <w:r w:rsidRPr="009577DE">
              <w:rPr>
                <w:sz w:val="16"/>
                <w:szCs w:val="16"/>
              </w:rPr>
              <w:t xml:space="preserve">Tiempo transcurrido hasta la publicación para las solicitudes regulares de publicación no diferida. </w:t>
            </w:r>
          </w:p>
          <w:p w:rsidR="00B070BF" w:rsidRPr="009577DE" w:rsidRDefault="00B070BF" w:rsidP="00C33D4A">
            <w:pPr>
              <w:widowControl w:val="0"/>
              <w:rPr>
                <w:sz w:val="16"/>
                <w:szCs w:val="16"/>
              </w:rPr>
            </w:pPr>
          </w:p>
        </w:tc>
        <w:tc>
          <w:tcPr>
            <w:tcW w:w="901" w:type="pct"/>
            <w:shd w:val="clear" w:color="auto" w:fill="C0C0C0"/>
          </w:tcPr>
          <w:p w:rsidR="00B070BF" w:rsidRPr="009577DE" w:rsidRDefault="00B070BF" w:rsidP="00C33D4A">
            <w:pPr>
              <w:widowControl w:val="0"/>
              <w:rPr>
                <w:sz w:val="16"/>
                <w:szCs w:val="16"/>
              </w:rPr>
            </w:pPr>
            <w:r w:rsidRPr="009577DE">
              <w:rPr>
                <w:sz w:val="16"/>
                <w:szCs w:val="16"/>
              </w:rPr>
              <w:t>Nueve semanas.</w:t>
            </w:r>
          </w:p>
        </w:tc>
        <w:tc>
          <w:tcPr>
            <w:tcW w:w="784" w:type="pct"/>
            <w:shd w:val="clear" w:color="auto" w:fill="auto"/>
            <w:tcMar>
              <w:top w:w="110" w:type="dxa"/>
            </w:tcMar>
          </w:tcPr>
          <w:p w:rsidR="00B070BF" w:rsidRPr="00D44D8F" w:rsidRDefault="00B070BF" w:rsidP="00C33D4A">
            <w:pPr>
              <w:widowControl w:val="0"/>
              <w:rPr>
                <w:color w:val="993300"/>
                <w:sz w:val="16"/>
                <w:szCs w:val="16"/>
              </w:rPr>
            </w:pPr>
            <w:r w:rsidRPr="00D44D8F">
              <w:rPr>
                <w:color w:val="993300"/>
                <w:sz w:val="16"/>
                <w:szCs w:val="16"/>
              </w:rPr>
              <w:t>Cuatro semanas.</w:t>
            </w:r>
          </w:p>
        </w:tc>
        <w:tc>
          <w:tcPr>
            <w:tcW w:w="1887" w:type="pct"/>
            <w:gridSpan w:val="2"/>
            <w:shd w:val="clear" w:color="auto" w:fill="FFFFFF"/>
            <w:tcMar>
              <w:top w:w="110" w:type="dxa"/>
            </w:tcMar>
          </w:tcPr>
          <w:p w:rsidR="00B070BF" w:rsidRPr="009577DE" w:rsidRDefault="00B070BF" w:rsidP="00C33D4A">
            <w:pPr>
              <w:widowControl w:val="0"/>
              <w:rPr>
                <w:sz w:val="16"/>
                <w:szCs w:val="16"/>
                <w:lang w:bidi="th-TH"/>
              </w:rPr>
            </w:pPr>
            <w:r w:rsidRPr="009577DE">
              <w:rPr>
                <w:sz w:val="16"/>
                <w:szCs w:val="16"/>
                <w:lang w:bidi="th-TH"/>
              </w:rPr>
              <w:t>Cuatro semanas.</w:t>
            </w:r>
          </w:p>
          <w:p w:rsidR="00B070BF" w:rsidRPr="009577DE" w:rsidRDefault="00B070BF" w:rsidP="00C33D4A">
            <w:pPr>
              <w:widowControl w:val="0"/>
              <w:rPr>
                <w:sz w:val="16"/>
                <w:szCs w:val="16"/>
              </w:rPr>
            </w:pPr>
          </w:p>
        </w:tc>
        <w:tc>
          <w:tcPr>
            <w:tcW w:w="573" w:type="pct"/>
            <w:shd w:val="clear" w:color="auto" w:fill="auto"/>
            <w:tcMar>
              <w:top w:w="110" w:type="dxa"/>
            </w:tcMar>
          </w:tcPr>
          <w:p w:rsidR="00B070BF" w:rsidRPr="009577DE" w:rsidRDefault="00B070BF" w:rsidP="00C33D4A">
            <w:pPr>
              <w:widowControl w:val="0"/>
              <w:jc w:val="center"/>
              <w:rPr>
                <w:b/>
                <w:bCs/>
                <w:sz w:val="16"/>
                <w:szCs w:val="16"/>
              </w:rPr>
            </w:pPr>
            <w:r w:rsidRPr="009577DE">
              <w:rPr>
                <w:b/>
                <w:bCs/>
                <w:color w:val="008000"/>
                <w:sz w:val="16"/>
                <w:szCs w:val="16"/>
              </w:rPr>
              <w:t>Progresa con normalidad</w:t>
            </w:r>
          </w:p>
          <w:p w:rsidR="00B070BF" w:rsidRPr="009577DE" w:rsidRDefault="00B070BF" w:rsidP="00C33D4A">
            <w:pPr>
              <w:widowControl w:val="0"/>
              <w:jc w:val="center"/>
              <w:rPr>
                <w:b/>
                <w:bCs/>
                <w:sz w:val="16"/>
                <w:szCs w:val="16"/>
              </w:rPr>
            </w:pPr>
          </w:p>
        </w:tc>
      </w:tr>
      <w:tr w:rsidR="00B070BF" w:rsidRPr="009577DE" w:rsidTr="00C33D4A">
        <w:trPr>
          <w:cantSplit/>
        </w:trPr>
        <w:tc>
          <w:tcPr>
            <w:tcW w:w="855" w:type="pct"/>
            <w:shd w:val="clear" w:color="auto" w:fill="auto"/>
          </w:tcPr>
          <w:p w:rsidR="00B070BF" w:rsidRPr="009577DE" w:rsidRDefault="00B070BF" w:rsidP="00C33D4A">
            <w:pPr>
              <w:widowControl w:val="0"/>
              <w:rPr>
                <w:sz w:val="16"/>
                <w:szCs w:val="16"/>
              </w:rPr>
            </w:pPr>
            <w:r w:rsidRPr="009577DE">
              <w:rPr>
                <w:sz w:val="16"/>
                <w:szCs w:val="16"/>
              </w:rPr>
              <w:t>Número de procedimientos totalmente automatizados.</w:t>
            </w:r>
          </w:p>
          <w:p w:rsidR="00B070BF" w:rsidRPr="009577DE" w:rsidRDefault="00B070BF" w:rsidP="00C33D4A">
            <w:pPr>
              <w:widowControl w:val="0"/>
              <w:rPr>
                <w:sz w:val="16"/>
                <w:szCs w:val="16"/>
              </w:rPr>
            </w:pPr>
          </w:p>
        </w:tc>
        <w:tc>
          <w:tcPr>
            <w:tcW w:w="901" w:type="pct"/>
            <w:shd w:val="clear" w:color="auto" w:fill="C0C0C0"/>
          </w:tcPr>
          <w:p w:rsidR="00B070BF" w:rsidRPr="009577DE" w:rsidRDefault="00B070BF" w:rsidP="00C33D4A">
            <w:pPr>
              <w:widowControl w:val="0"/>
              <w:rPr>
                <w:sz w:val="16"/>
                <w:szCs w:val="16"/>
              </w:rPr>
            </w:pPr>
            <w:r w:rsidRPr="009577DE">
              <w:rPr>
                <w:sz w:val="16"/>
                <w:szCs w:val="16"/>
              </w:rPr>
              <w:t xml:space="preserve">Cero </w:t>
            </w:r>
          </w:p>
        </w:tc>
        <w:tc>
          <w:tcPr>
            <w:tcW w:w="784" w:type="pct"/>
            <w:shd w:val="clear" w:color="auto" w:fill="auto"/>
            <w:tcMar>
              <w:top w:w="110" w:type="dxa"/>
            </w:tcMar>
          </w:tcPr>
          <w:p w:rsidR="00B070BF" w:rsidRPr="00D44D8F" w:rsidRDefault="00B070BF" w:rsidP="00C33D4A">
            <w:pPr>
              <w:widowControl w:val="0"/>
              <w:rPr>
                <w:color w:val="993300"/>
                <w:sz w:val="16"/>
                <w:szCs w:val="16"/>
              </w:rPr>
            </w:pPr>
            <w:r w:rsidRPr="00D44D8F">
              <w:rPr>
                <w:color w:val="993300"/>
                <w:sz w:val="16"/>
                <w:szCs w:val="16"/>
              </w:rPr>
              <w:t>Uno</w:t>
            </w:r>
          </w:p>
        </w:tc>
        <w:tc>
          <w:tcPr>
            <w:tcW w:w="1887" w:type="pct"/>
            <w:gridSpan w:val="2"/>
            <w:shd w:val="clear" w:color="auto" w:fill="FFFFFF"/>
            <w:tcMar>
              <w:top w:w="110" w:type="dxa"/>
            </w:tcMar>
          </w:tcPr>
          <w:p w:rsidR="00B070BF" w:rsidRPr="009577DE" w:rsidRDefault="00B070BF" w:rsidP="00C33D4A">
            <w:pPr>
              <w:widowControl w:val="0"/>
              <w:rPr>
                <w:sz w:val="16"/>
                <w:szCs w:val="16"/>
                <w:lang w:bidi="th-TH"/>
              </w:rPr>
            </w:pPr>
            <w:r w:rsidRPr="009577DE">
              <w:rPr>
                <w:sz w:val="16"/>
                <w:szCs w:val="16"/>
                <w:lang w:bidi="th-TH"/>
              </w:rPr>
              <w:t>Dos (renovación y concesión de protección)</w:t>
            </w:r>
          </w:p>
          <w:p w:rsidR="00B070BF" w:rsidRPr="009577DE" w:rsidRDefault="00B070BF" w:rsidP="00C33D4A">
            <w:pPr>
              <w:widowControl w:val="0"/>
              <w:rPr>
                <w:sz w:val="16"/>
                <w:szCs w:val="16"/>
                <w:lang w:bidi="th-TH"/>
              </w:rPr>
            </w:pPr>
          </w:p>
          <w:p w:rsidR="00B070BF" w:rsidRPr="009577DE" w:rsidRDefault="00B070BF" w:rsidP="00C33D4A">
            <w:pPr>
              <w:widowControl w:val="0"/>
              <w:rPr>
                <w:sz w:val="16"/>
                <w:szCs w:val="16"/>
              </w:rPr>
            </w:pPr>
          </w:p>
        </w:tc>
        <w:tc>
          <w:tcPr>
            <w:tcW w:w="573" w:type="pct"/>
            <w:shd w:val="clear" w:color="auto" w:fill="auto"/>
            <w:tcMar>
              <w:top w:w="110" w:type="dxa"/>
            </w:tcMar>
          </w:tcPr>
          <w:p w:rsidR="00B070BF" w:rsidRPr="009577DE" w:rsidRDefault="00B070BF" w:rsidP="00C33D4A">
            <w:pPr>
              <w:widowControl w:val="0"/>
              <w:jc w:val="center"/>
              <w:rPr>
                <w:b/>
                <w:bCs/>
                <w:sz w:val="16"/>
                <w:szCs w:val="16"/>
              </w:rPr>
            </w:pPr>
            <w:r w:rsidRPr="009577DE">
              <w:rPr>
                <w:b/>
                <w:bCs/>
                <w:color w:val="008000"/>
                <w:sz w:val="16"/>
                <w:szCs w:val="16"/>
              </w:rPr>
              <w:t>Progresa con normalidad</w:t>
            </w:r>
          </w:p>
          <w:p w:rsidR="00B070BF" w:rsidRPr="009577DE" w:rsidRDefault="00B070BF" w:rsidP="00C33D4A">
            <w:pPr>
              <w:widowControl w:val="0"/>
              <w:jc w:val="center"/>
              <w:rPr>
                <w:b/>
                <w:bCs/>
                <w:sz w:val="16"/>
                <w:szCs w:val="16"/>
              </w:rPr>
            </w:pPr>
          </w:p>
        </w:tc>
      </w:tr>
      <w:tr w:rsidR="00B070BF" w:rsidRPr="009577DE" w:rsidTr="00C33D4A">
        <w:trPr>
          <w:cantSplit/>
        </w:trPr>
        <w:tc>
          <w:tcPr>
            <w:tcW w:w="855" w:type="pct"/>
            <w:shd w:val="clear" w:color="auto" w:fill="auto"/>
          </w:tcPr>
          <w:p w:rsidR="00B070BF" w:rsidRPr="009577DE" w:rsidRDefault="00B070BF" w:rsidP="00C33D4A">
            <w:pPr>
              <w:widowControl w:val="0"/>
              <w:rPr>
                <w:sz w:val="16"/>
                <w:szCs w:val="16"/>
              </w:rPr>
            </w:pPr>
            <w:r w:rsidRPr="009577DE">
              <w:rPr>
                <w:sz w:val="16"/>
                <w:szCs w:val="16"/>
              </w:rPr>
              <w:t>Porcentaje de peticiones presentadas mediante interfaces electrónicas.</w:t>
            </w:r>
          </w:p>
        </w:tc>
        <w:tc>
          <w:tcPr>
            <w:tcW w:w="901" w:type="pct"/>
            <w:shd w:val="clear" w:color="auto" w:fill="C0C0C0"/>
          </w:tcPr>
          <w:p w:rsidR="00B070BF" w:rsidRPr="009577DE" w:rsidRDefault="00B070BF" w:rsidP="00C33D4A">
            <w:pPr>
              <w:widowControl w:val="0"/>
              <w:rPr>
                <w:sz w:val="16"/>
                <w:szCs w:val="16"/>
              </w:rPr>
            </w:pPr>
            <w:r w:rsidRPr="009577DE">
              <w:rPr>
                <w:sz w:val="16"/>
                <w:szCs w:val="16"/>
              </w:rPr>
              <w:t>En 2010, el 64% de las solicitudes internacionales se presentó mediante interfaces electrónicas, ninguna otra petición se transmite por medios electrónicos.</w:t>
            </w:r>
          </w:p>
        </w:tc>
        <w:tc>
          <w:tcPr>
            <w:tcW w:w="784" w:type="pct"/>
            <w:shd w:val="clear" w:color="auto" w:fill="auto"/>
            <w:tcMar>
              <w:top w:w="110" w:type="dxa"/>
            </w:tcMar>
          </w:tcPr>
          <w:p w:rsidR="00B070BF" w:rsidRPr="00D44D8F" w:rsidRDefault="00B070BF" w:rsidP="00C33D4A">
            <w:pPr>
              <w:widowControl w:val="0"/>
              <w:rPr>
                <w:color w:val="993300"/>
                <w:sz w:val="16"/>
                <w:szCs w:val="16"/>
              </w:rPr>
            </w:pPr>
            <w:r w:rsidRPr="00D44D8F">
              <w:rPr>
                <w:color w:val="993300"/>
                <w:sz w:val="16"/>
                <w:szCs w:val="16"/>
              </w:rPr>
              <w:t>80% de solicitudes</w:t>
            </w:r>
          </w:p>
          <w:p w:rsidR="00B070BF" w:rsidRPr="00D44D8F" w:rsidRDefault="00B070BF" w:rsidP="00C33D4A">
            <w:pPr>
              <w:widowControl w:val="0"/>
              <w:rPr>
                <w:color w:val="993300"/>
                <w:sz w:val="16"/>
                <w:szCs w:val="16"/>
              </w:rPr>
            </w:pPr>
          </w:p>
          <w:p w:rsidR="00B070BF" w:rsidRPr="00D44D8F" w:rsidRDefault="00B070BF" w:rsidP="00C33D4A">
            <w:pPr>
              <w:widowControl w:val="0"/>
              <w:rPr>
                <w:color w:val="993300"/>
                <w:sz w:val="16"/>
                <w:szCs w:val="16"/>
              </w:rPr>
            </w:pPr>
            <w:r w:rsidRPr="00D44D8F">
              <w:rPr>
                <w:color w:val="993300"/>
                <w:sz w:val="16"/>
                <w:szCs w:val="16"/>
              </w:rPr>
              <w:t xml:space="preserve">60% de renovaciones </w:t>
            </w:r>
          </w:p>
        </w:tc>
        <w:tc>
          <w:tcPr>
            <w:tcW w:w="1887" w:type="pct"/>
            <w:gridSpan w:val="2"/>
            <w:shd w:val="clear" w:color="auto" w:fill="FFFFFF"/>
            <w:tcMar>
              <w:top w:w="110" w:type="dxa"/>
            </w:tcMar>
          </w:tcPr>
          <w:p w:rsidR="00B070BF" w:rsidRPr="009577DE" w:rsidRDefault="00B070BF" w:rsidP="00C33D4A">
            <w:pPr>
              <w:widowControl w:val="0"/>
              <w:rPr>
                <w:sz w:val="16"/>
                <w:szCs w:val="16"/>
              </w:rPr>
            </w:pPr>
            <w:r w:rsidRPr="009577DE">
              <w:rPr>
                <w:sz w:val="16"/>
                <w:szCs w:val="16"/>
              </w:rPr>
              <w:t>83% de solicitudes</w:t>
            </w:r>
          </w:p>
          <w:p w:rsidR="00B070BF" w:rsidRPr="009577DE" w:rsidRDefault="00B070BF" w:rsidP="00C33D4A">
            <w:pPr>
              <w:widowControl w:val="0"/>
              <w:rPr>
                <w:sz w:val="16"/>
                <w:szCs w:val="16"/>
              </w:rPr>
            </w:pPr>
          </w:p>
          <w:p w:rsidR="00B070BF" w:rsidRPr="009577DE" w:rsidRDefault="00B070BF" w:rsidP="00C33D4A">
            <w:pPr>
              <w:widowControl w:val="0"/>
              <w:rPr>
                <w:sz w:val="16"/>
                <w:szCs w:val="16"/>
              </w:rPr>
            </w:pPr>
          </w:p>
          <w:p w:rsidR="00B070BF" w:rsidRPr="009577DE" w:rsidRDefault="00B070BF" w:rsidP="00C33D4A">
            <w:pPr>
              <w:widowControl w:val="0"/>
              <w:rPr>
                <w:sz w:val="16"/>
                <w:szCs w:val="16"/>
                <w:lang w:bidi="th-TH"/>
              </w:rPr>
            </w:pPr>
            <w:r w:rsidRPr="009577DE">
              <w:rPr>
                <w:sz w:val="16"/>
                <w:szCs w:val="16"/>
              </w:rPr>
              <w:t xml:space="preserve">54% de renovaciones </w:t>
            </w:r>
          </w:p>
          <w:p w:rsidR="00B070BF" w:rsidRPr="009577DE" w:rsidRDefault="00B070BF" w:rsidP="00C33D4A">
            <w:pPr>
              <w:widowControl w:val="0"/>
              <w:rPr>
                <w:sz w:val="16"/>
                <w:szCs w:val="16"/>
                <w:lang w:bidi="th-TH"/>
              </w:rPr>
            </w:pPr>
          </w:p>
          <w:p w:rsidR="00B070BF" w:rsidRPr="009577DE" w:rsidRDefault="00B070BF" w:rsidP="00C33D4A">
            <w:pPr>
              <w:widowControl w:val="0"/>
              <w:rPr>
                <w:sz w:val="16"/>
                <w:szCs w:val="16"/>
              </w:rPr>
            </w:pPr>
          </w:p>
        </w:tc>
        <w:tc>
          <w:tcPr>
            <w:tcW w:w="573" w:type="pct"/>
            <w:shd w:val="clear" w:color="auto" w:fill="auto"/>
            <w:tcMar>
              <w:top w:w="110" w:type="dxa"/>
            </w:tcMar>
          </w:tcPr>
          <w:p w:rsidR="00B070BF" w:rsidRPr="009577DE" w:rsidRDefault="00B070BF" w:rsidP="00C33D4A">
            <w:pPr>
              <w:widowControl w:val="0"/>
              <w:jc w:val="center"/>
              <w:rPr>
                <w:b/>
                <w:bCs/>
                <w:sz w:val="16"/>
                <w:szCs w:val="16"/>
              </w:rPr>
            </w:pPr>
            <w:r w:rsidRPr="009577DE">
              <w:rPr>
                <w:b/>
                <w:bCs/>
                <w:color w:val="008000"/>
                <w:sz w:val="16"/>
                <w:szCs w:val="16"/>
              </w:rPr>
              <w:t>Progresa con normalidad</w:t>
            </w:r>
          </w:p>
          <w:p w:rsidR="00B070BF" w:rsidRPr="009577DE" w:rsidRDefault="00B070BF" w:rsidP="00C33D4A">
            <w:pPr>
              <w:widowControl w:val="0"/>
              <w:jc w:val="center"/>
              <w:rPr>
                <w:b/>
                <w:bCs/>
                <w:sz w:val="16"/>
                <w:szCs w:val="16"/>
              </w:rPr>
            </w:pPr>
          </w:p>
          <w:p w:rsidR="00B070BF" w:rsidRPr="009577DE" w:rsidRDefault="00B070BF" w:rsidP="00C33D4A">
            <w:pPr>
              <w:widowControl w:val="0"/>
              <w:jc w:val="center"/>
              <w:rPr>
                <w:b/>
                <w:bCs/>
                <w:sz w:val="16"/>
                <w:szCs w:val="16"/>
              </w:rPr>
            </w:pPr>
          </w:p>
          <w:p w:rsidR="00B070BF" w:rsidRPr="009577DE" w:rsidRDefault="00B070BF" w:rsidP="00C33D4A">
            <w:pPr>
              <w:widowControl w:val="0"/>
              <w:jc w:val="center"/>
              <w:rPr>
                <w:b/>
                <w:bCs/>
                <w:sz w:val="16"/>
                <w:szCs w:val="16"/>
              </w:rPr>
            </w:pPr>
            <w:r w:rsidRPr="009577DE">
              <w:rPr>
                <w:b/>
                <w:bCs/>
                <w:color w:val="FF0000"/>
                <w:sz w:val="16"/>
                <w:szCs w:val="16"/>
              </w:rPr>
              <w:t>Sin avances significativos</w:t>
            </w:r>
          </w:p>
          <w:p w:rsidR="00B070BF" w:rsidRPr="009577DE" w:rsidRDefault="00B070BF" w:rsidP="00C33D4A">
            <w:pPr>
              <w:widowControl w:val="0"/>
              <w:jc w:val="center"/>
              <w:rPr>
                <w:b/>
                <w:bCs/>
                <w:sz w:val="16"/>
                <w:szCs w:val="16"/>
              </w:rPr>
            </w:pPr>
          </w:p>
        </w:tc>
      </w:tr>
      <w:tr w:rsidR="00B070BF" w:rsidRPr="009577DE" w:rsidTr="00C33D4A">
        <w:trPr>
          <w:cantSplit/>
        </w:trPr>
        <w:tc>
          <w:tcPr>
            <w:tcW w:w="855" w:type="pct"/>
            <w:shd w:val="clear" w:color="auto" w:fill="auto"/>
          </w:tcPr>
          <w:p w:rsidR="00B070BF" w:rsidRPr="009577DE" w:rsidRDefault="00B070BF" w:rsidP="00C33D4A">
            <w:pPr>
              <w:widowControl w:val="0"/>
              <w:rPr>
                <w:sz w:val="16"/>
                <w:szCs w:val="16"/>
              </w:rPr>
            </w:pPr>
            <w:r w:rsidRPr="009577DE">
              <w:rPr>
                <w:sz w:val="16"/>
                <w:szCs w:val="16"/>
              </w:rPr>
              <w:t xml:space="preserve">Porcentaje de usuarios satisfechos con los servicios prestados por la Oficina Internacional. </w:t>
            </w:r>
          </w:p>
          <w:p w:rsidR="00B070BF" w:rsidRPr="009577DE" w:rsidRDefault="00B070BF" w:rsidP="00C33D4A">
            <w:pPr>
              <w:widowControl w:val="0"/>
              <w:rPr>
                <w:sz w:val="16"/>
                <w:szCs w:val="16"/>
              </w:rPr>
            </w:pPr>
          </w:p>
        </w:tc>
        <w:tc>
          <w:tcPr>
            <w:tcW w:w="901" w:type="pct"/>
            <w:shd w:val="clear" w:color="auto" w:fill="C0C0C0"/>
          </w:tcPr>
          <w:p w:rsidR="00B070BF" w:rsidRPr="009577DE" w:rsidRDefault="00B070BF" w:rsidP="00C33D4A">
            <w:pPr>
              <w:widowControl w:val="0"/>
              <w:rPr>
                <w:sz w:val="16"/>
                <w:szCs w:val="16"/>
              </w:rPr>
            </w:pPr>
            <w:r w:rsidRPr="009577DE">
              <w:rPr>
                <w:sz w:val="16"/>
                <w:szCs w:val="16"/>
              </w:rPr>
              <w:t>A determinar a fines de 2011.</w:t>
            </w:r>
          </w:p>
        </w:tc>
        <w:tc>
          <w:tcPr>
            <w:tcW w:w="784" w:type="pct"/>
            <w:shd w:val="clear" w:color="auto" w:fill="auto"/>
            <w:tcMar>
              <w:top w:w="110" w:type="dxa"/>
            </w:tcMar>
          </w:tcPr>
          <w:p w:rsidR="00B070BF" w:rsidRPr="009577DE" w:rsidRDefault="00B070BF" w:rsidP="00C33D4A">
            <w:pPr>
              <w:widowControl w:val="0"/>
              <w:rPr>
                <w:sz w:val="16"/>
                <w:szCs w:val="16"/>
              </w:rPr>
            </w:pPr>
          </w:p>
        </w:tc>
        <w:tc>
          <w:tcPr>
            <w:tcW w:w="1887" w:type="pct"/>
            <w:gridSpan w:val="2"/>
            <w:shd w:val="clear" w:color="auto" w:fill="FFFFFF"/>
            <w:tcMar>
              <w:top w:w="110" w:type="dxa"/>
            </w:tcMar>
          </w:tcPr>
          <w:p w:rsidR="00B070BF" w:rsidRPr="009577DE" w:rsidRDefault="00B070BF" w:rsidP="00C33D4A">
            <w:pPr>
              <w:widowControl w:val="0"/>
              <w:rPr>
                <w:sz w:val="16"/>
                <w:szCs w:val="16"/>
              </w:rPr>
            </w:pPr>
            <w:r w:rsidRPr="009577DE">
              <w:rPr>
                <w:sz w:val="16"/>
                <w:szCs w:val="16"/>
              </w:rPr>
              <w:t xml:space="preserve">10% de los usuarios manifestaron estar sumamente satisfechos, 42% muy satisfechos, 42% satisfechos y 5% bastante satisfechos (encuesta llevada a cabo el 22 de mayo de 2012). </w:t>
            </w:r>
          </w:p>
          <w:p w:rsidR="00B070BF" w:rsidRPr="009577DE" w:rsidRDefault="00B070BF" w:rsidP="00C33D4A">
            <w:pPr>
              <w:widowControl w:val="0"/>
              <w:rPr>
                <w:sz w:val="16"/>
                <w:szCs w:val="16"/>
              </w:rPr>
            </w:pPr>
          </w:p>
        </w:tc>
        <w:tc>
          <w:tcPr>
            <w:tcW w:w="573" w:type="pct"/>
            <w:shd w:val="clear" w:color="auto" w:fill="auto"/>
            <w:tcMar>
              <w:top w:w="110" w:type="dxa"/>
            </w:tcMar>
          </w:tcPr>
          <w:p w:rsidR="00B070BF" w:rsidRPr="009577DE" w:rsidRDefault="00B070BF" w:rsidP="00C33D4A">
            <w:pPr>
              <w:widowControl w:val="0"/>
              <w:jc w:val="center"/>
              <w:rPr>
                <w:b/>
                <w:bCs/>
                <w:sz w:val="16"/>
                <w:szCs w:val="16"/>
              </w:rPr>
            </w:pPr>
            <w:r w:rsidRPr="009577DE">
              <w:rPr>
                <w:b/>
                <w:bCs/>
                <w:color w:val="008000"/>
                <w:sz w:val="16"/>
                <w:szCs w:val="16"/>
              </w:rPr>
              <w:t>Progresa con normalidad</w:t>
            </w:r>
          </w:p>
          <w:p w:rsidR="00B070BF" w:rsidRPr="009577DE" w:rsidRDefault="00B070BF" w:rsidP="00C33D4A">
            <w:pPr>
              <w:widowControl w:val="0"/>
              <w:jc w:val="center"/>
              <w:rPr>
                <w:bCs/>
                <w:sz w:val="16"/>
                <w:szCs w:val="16"/>
              </w:rPr>
            </w:pPr>
          </w:p>
        </w:tc>
      </w:tr>
    </w:tbl>
    <w:p w:rsidR="00B070BF" w:rsidRPr="009577DE" w:rsidRDefault="00B070BF" w:rsidP="00B070BF">
      <w:pPr>
        <w:widowControl w:val="0"/>
        <w:jc w:val="both"/>
        <w:rPr>
          <w:szCs w:val="22"/>
          <w:lang w:val="en-US"/>
        </w:rPr>
      </w:pPr>
    </w:p>
    <w:p w:rsidR="00B070BF" w:rsidRPr="009577DE" w:rsidRDefault="00B070BF" w:rsidP="00B070BF">
      <w:pPr>
        <w:widowControl w:val="0"/>
        <w:rPr>
          <w:sz w:val="20"/>
        </w:rPr>
      </w:pPr>
    </w:p>
    <w:p w:rsidR="00B070BF" w:rsidRPr="009577DE" w:rsidRDefault="00B070BF" w:rsidP="00B070BF">
      <w:pPr>
        <w:widowControl w:val="0"/>
        <w:rPr>
          <w:sz w:val="20"/>
        </w:rPr>
      </w:pPr>
      <w:r w:rsidRPr="009577DE">
        <w:rPr>
          <w:sz w:val="20"/>
        </w:rPr>
        <w:t>PRESUPUESTO Y GASTOS REALES</w:t>
      </w:r>
    </w:p>
    <w:p w:rsidR="00B070BF" w:rsidRPr="0028075A" w:rsidRDefault="00B070BF" w:rsidP="00B070BF">
      <w:pPr>
        <w:widowControl w:val="0"/>
        <w:rPr>
          <w:sz w:val="20"/>
        </w:rPr>
      </w:pPr>
    </w:p>
    <w:p w:rsidR="00B070BF" w:rsidRPr="0028075A" w:rsidRDefault="00B070BF" w:rsidP="00B070BF">
      <w:pPr>
        <w:widowControl w:val="0"/>
        <w:jc w:val="center"/>
        <w:rPr>
          <w:sz w:val="20"/>
        </w:rPr>
      </w:pPr>
      <w:r w:rsidRPr="0028075A">
        <w:rPr>
          <w:sz w:val="20"/>
        </w:rPr>
        <w:t>Presupuesto y gastos reales (por resultado)</w:t>
      </w:r>
    </w:p>
    <w:p w:rsidR="00B070BF" w:rsidRPr="009577DE" w:rsidRDefault="00B070BF" w:rsidP="00B070BF">
      <w:pPr>
        <w:widowControl w:val="0"/>
        <w:jc w:val="center"/>
        <w:rPr>
          <w:szCs w:val="22"/>
        </w:rPr>
      </w:pPr>
      <w:r w:rsidRPr="0028075A">
        <w:rPr>
          <w:i/>
          <w:iCs/>
          <w:sz w:val="20"/>
        </w:rPr>
        <w:t>(en miles de francos suizos)</w:t>
      </w:r>
      <w:r w:rsidRPr="0028075A">
        <w:rPr>
          <w:i/>
          <w:iCs/>
          <w:sz w:val="20"/>
        </w:rPr>
        <w:br/>
      </w:r>
      <w:r w:rsidRPr="0028075A">
        <w:rPr>
          <w:i/>
          <w:iCs/>
          <w:sz w:val="20"/>
        </w:rPr>
        <w:br/>
      </w:r>
      <w:r w:rsidRPr="009577DE">
        <w:rPr>
          <w:noProof/>
          <w:lang w:val="en-US" w:eastAsia="en-US"/>
        </w:rPr>
        <w:drawing>
          <wp:inline distT="0" distB="0" distL="0" distR="0" wp14:anchorId="718A5725" wp14:editId="633E08F8">
            <wp:extent cx="5902325" cy="1745615"/>
            <wp:effectExtent l="0" t="0" r="3175" b="6985"/>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902325" cy="1745615"/>
                    </a:xfrm>
                    <a:prstGeom prst="rect">
                      <a:avLst/>
                    </a:prstGeom>
                    <a:noFill/>
                    <a:ln>
                      <a:noFill/>
                    </a:ln>
                  </pic:spPr>
                </pic:pic>
              </a:graphicData>
            </a:graphic>
          </wp:inline>
        </w:drawing>
      </w:r>
    </w:p>
    <w:p w:rsidR="00B070BF" w:rsidRPr="0028075A" w:rsidRDefault="00B070BF" w:rsidP="00B070BF">
      <w:pPr>
        <w:widowControl w:val="0"/>
        <w:rPr>
          <w:sz w:val="20"/>
        </w:rPr>
      </w:pPr>
    </w:p>
    <w:p w:rsidR="00B070BF" w:rsidRPr="0028075A" w:rsidRDefault="00B070BF" w:rsidP="00B070BF">
      <w:pPr>
        <w:widowControl w:val="0"/>
        <w:rPr>
          <w:sz w:val="20"/>
        </w:rPr>
      </w:pPr>
    </w:p>
    <w:p w:rsidR="00B070BF" w:rsidRPr="0028075A" w:rsidRDefault="00B070BF" w:rsidP="00B070BF">
      <w:pPr>
        <w:keepNext/>
        <w:widowControl w:val="0"/>
        <w:jc w:val="center"/>
        <w:rPr>
          <w:sz w:val="20"/>
        </w:rPr>
      </w:pPr>
      <w:r w:rsidRPr="0028075A">
        <w:rPr>
          <w:sz w:val="20"/>
        </w:rPr>
        <w:t>Presupuesto y gastos reales (de personal y no relativos al personal)</w:t>
      </w:r>
    </w:p>
    <w:p w:rsidR="00B070BF" w:rsidRPr="009577DE" w:rsidRDefault="00B070BF" w:rsidP="00B070BF">
      <w:pPr>
        <w:keepNext/>
        <w:widowControl w:val="0"/>
        <w:jc w:val="center"/>
      </w:pPr>
      <w:r w:rsidRPr="0028075A">
        <w:rPr>
          <w:sz w:val="20"/>
        </w:rPr>
        <w:t>(</w:t>
      </w:r>
      <w:r w:rsidRPr="0028075A">
        <w:rPr>
          <w:i/>
          <w:sz w:val="20"/>
        </w:rPr>
        <w:t>en miles de francos suizos</w:t>
      </w:r>
      <w:r w:rsidRPr="0028075A">
        <w:rPr>
          <w:sz w:val="20"/>
        </w:rPr>
        <w:t>)</w:t>
      </w:r>
      <w:r w:rsidRPr="0028075A">
        <w:rPr>
          <w:sz w:val="20"/>
        </w:rPr>
        <w:br/>
      </w:r>
      <w:r w:rsidRPr="0028075A">
        <w:rPr>
          <w:sz w:val="20"/>
        </w:rPr>
        <w:lastRenderedPageBreak/>
        <w:br/>
      </w:r>
      <w:r w:rsidRPr="009577DE">
        <w:rPr>
          <w:noProof/>
          <w:lang w:val="en-US" w:eastAsia="en-US"/>
        </w:rPr>
        <w:drawing>
          <wp:inline distT="0" distB="0" distL="0" distR="0" wp14:anchorId="5DEB0CE6" wp14:editId="1D5AC898">
            <wp:extent cx="5902325" cy="1235075"/>
            <wp:effectExtent l="0" t="0" r="3175" b="3175"/>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902325" cy="1235075"/>
                    </a:xfrm>
                    <a:prstGeom prst="rect">
                      <a:avLst/>
                    </a:prstGeom>
                    <a:noFill/>
                    <a:ln>
                      <a:noFill/>
                    </a:ln>
                  </pic:spPr>
                </pic:pic>
              </a:graphicData>
            </a:graphic>
          </wp:inline>
        </w:drawing>
      </w:r>
    </w:p>
    <w:p w:rsidR="00B070BF" w:rsidRPr="009577DE" w:rsidRDefault="00B070BF" w:rsidP="00B070BF">
      <w:pPr>
        <w:widowControl w:val="0"/>
        <w:rPr>
          <w:sz w:val="16"/>
          <w:szCs w:val="16"/>
        </w:rPr>
      </w:pPr>
    </w:p>
    <w:p w:rsidR="00B070BF" w:rsidRPr="009577DE" w:rsidRDefault="00B070BF" w:rsidP="00B070BF">
      <w:pPr>
        <w:widowControl w:val="0"/>
        <w:autoSpaceDE w:val="0"/>
        <w:autoSpaceDN w:val="0"/>
        <w:adjustRightInd w:val="0"/>
        <w:rPr>
          <w:sz w:val="16"/>
          <w:szCs w:val="16"/>
        </w:rPr>
      </w:pPr>
      <w:r w:rsidRPr="009577DE">
        <w:rPr>
          <w:sz w:val="16"/>
          <w:szCs w:val="16"/>
        </w:rPr>
        <w:t>NOTAS:</w:t>
      </w:r>
    </w:p>
    <w:p w:rsidR="00B070BF" w:rsidRPr="009577DE" w:rsidRDefault="00B070BF" w:rsidP="00B070BF">
      <w:pPr>
        <w:widowControl w:val="0"/>
        <w:autoSpaceDE w:val="0"/>
        <w:autoSpaceDN w:val="0"/>
        <w:adjustRightInd w:val="0"/>
        <w:rPr>
          <w:sz w:val="16"/>
          <w:szCs w:val="16"/>
        </w:rPr>
      </w:pPr>
    </w:p>
    <w:p w:rsidR="00B070BF" w:rsidRPr="009577DE" w:rsidRDefault="00B070BF" w:rsidP="00B070BF">
      <w:pPr>
        <w:widowControl w:val="0"/>
        <w:autoSpaceDE w:val="0"/>
        <w:autoSpaceDN w:val="0"/>
        <w:adjustRightInd w:val="0"/>
        <w:rPr>
          <w:sz w:val="16"/>
          <w:szCs w:val="16"/>
        </w:rPr>
      </w:pPr>
      <w:r w:rsidRPr="009577DE">
        <w:rPr>
          <w:sz w:val="16"/>
          <w:szCs w:val="16"/>
        </w:rPr>
        <w:t>1) El presupuesto después de las transferencias refleja el presupuesto de los programas ajustado después de las transferencias efectuadas en 2012/13 en virtud del artículo 5.5 del Reglamento Financiero.</w:t>
      </w:r>
    </w:p>
    <w:p w:rsidR="00B070BF" w:rsidRPr="009577DE" w:rsidRDefault="00B070BF" w:rsidP="00B070BF">
      <w:pPr>
        <w:widowControl w:val="0"/>
        <w:autoSpaceDE w:val="0"/>
        <w:autoSpaceDN w:val="0"/>
        <w:adjustRightInd w:val="0"/>
        <w:rPr>
          <w:sz w:val="16"/>
          <w:szCs w:val="16"/>
        </w:rPr>
      </w:pPr>
    </w:p>
    <w:p w:rsidR="00B070BF" w:rsidRPr="009577DE" w:rsidRDefault="00B070BF" w:rsidP="00B070BF">
      <w:pPr>
        <w:widowControl w:val="0"/>
        <w:autoSpaceDE w:val="0"/>
        <w:autoSpaceDN w:val="0"/>
        <w:adjustRightInd w:val="0"/>
        <w:rPr>
          <w:sz w:val="16"/>
          <w:szCs w:val="16"/>
        </w:rPr>
      </w:pPr>
      <w:r w:rsidRPr="009577DE">
        <w:rPr>
          <w:sz w:val="16"/>
          <w:szCs w:val="16"/>
        </w:rPr>
        <w:t xml:space="preserve">2) La asignación para el personal del presupuesto de 2012/13 después de las transferencias representa los gastos reales efectuados hasta el 31 de marzo de 2013 y los importes presupuestados para los nueve meses restantes de 2013, sobre la base de costos estándar. </w:t>
      </w:r>
    </w:p>
    <w:p w:rsidR="00B070BF" w:rsidRPr="009577DE" w:rsidRDefault="00B070BF" w:rsidP="00B070BF">
      <w:pPr>
        <w:widowControl w:val="0"/>
        <w:autoSpaceDE w:val="0"/>
        <w:autoSpaceDN w:val="0"/>
        <w:adjustRightInd w:val="0"/>
        <w:rPr>
          <w:sz w:val="16"/>
          <w:szCs w:val="16"/>
        </w:rPr>
      </w:pPr>
    </w:p>
    <w:p w:rsidR="00B070BF" w:rsidRPr="009577DE" w:rsidRDefault="00B070BF" w:rsidP="00B070BF">
      <w:pPr>
        <w:widowControl w:val="0"/>
        <w:autoSpaceDE w:val="0"/>
        <w:autoSpaceDN w:val="0"/>
        <w:adjustRightInd w:val="0"/>
        <w:rPr>
          <w:sz w:val="16"/>
          <w:szCs w:val="16"/>
        </w:rPr>
      </w:pPr>
      <w:r w:rsidRPr="009577DE">
        <w:rPr>
          <w:sz w:val="16"/>
          <w:szCs w:val="16"/>
        </w:rPr>
        <w:t>3) La asignación no relativa al personal del presupuesto de 2012/13 después de las transferencias refleja los ajustes a la baja efectuados para aumentar la eficacia en función de los costos, de conformidad con el compromiso de la Organización de reducir gastos por un importe de 10,2 millones de francos suizos en el bienio 2012/13.</w:t>
      </w:r>
    </w:p>
    <w:p w:rsidR="00B070BF" w:rsidRPr="009577DE" w:rsidRDefault="00B070BF" w:rsidP="00B070BF">
      <w:pPr>
        <w:widowControl w:val="0"/>
        <w:rPr>
          <w:sz w:val="20"/>
        </w:rPr>
      </w:pPr>
    </w:p>
    <w:p w:rsidR="00B070BF" w:rsidRPr="009577DE" w:rsidRDefault="00B070BF" w:rsidP="00B070BF">
      <w:pPr>
        <w:widowControl w:val="0"/>
        <w:rPr>
          <w:sz w:val="20"/>
        </w:rPr>
      </w:pPr>
    </w:p>
    <w:p w:rsidR="00B070BF" w:rsidRPr="009577DE" w:rsidRDefault="00B070BF" w:rsidP="00B070BF">
      <w:pPr>
        <w:widowControl w:val="0"/>
        <w:rPr>
          <w:sz w:val="20"/>
          <w:u w:val="single"/>
        </w:rPr>
      </w:pPr>
      <w:r>
        <w:rPr>
          <w:sz w:val="20"/>
        </w:rPr>
        <w:t xml:space="preserve">A.  </w:t>
      </w:r>
      <w:r w:rsidRPr="009577DE">
        <w:rPr>
          <w:sz w:val="20"/>
          <w:u w:val="single"/>
        </w:rPr>
        <w:t>Presupuesto 2012/13 después de las transferencias</w:t>
      </w:r>
    </w:p>
    <w:p w:rsidR="00B070BF" w:rsidRPr="009577DE" w:rsidRDefault="00B070BF" w:rsidP="00B070BF">
      <w:pPr>
        <w:widowControl w:val="0"/>
        <w:rPr>
          <w:sz w:val="20"/>
        </w:rPr>
      </w:pPr>
    </w:p>
    <w:p w:rsidR="00B070BF" w:rsidRPr="009577DE" w:rsidRDefault="00B070BF" w:rsidP="00B070BF">
      <w:pPr>
        <w:widowControl w:val="0"/>
        <w:numPr>
          <w:ilvl w:val="0"/>
          <w:numId w:val="12"/>
        </w:numPr>
        <w:rPr>
          <w:sz w:val="20"/>
        </w:rPr>
      </w:pPr>
      <w:r w:rsidRPr="009577DE">
        <w:rPr>
          <w:sz w:val="20"/>
        </w:rPr>
        <w:t>Se han reasignado recursos al resultado II.6 (</w:t>
      </w:r>
      <w:r w:rsidRPr="009577DE">
        <w:rPr>
          <w:bCs/>
          <w:sz w:val="20"/>
        </w:rPr>
        <w:t xml:space="preserve">Utilización más amplia y mejor del </w:t>
      </w:r>
      <w:r w:rsidRPr="009577DE">
        <w:rPr>
          <w:bCs/>
          <w:sz w:val="20"/>
          <w:szCs w:val="22"/>
        </w:rPr>
        <w:t>sistema de La Haya</w:t>
      </w:r>
      <w:r w:rsidRPr="009577DE">
        <w:rPr>
          <w:sz w:val="20"/>
        </w:rPr>
        <w:t xml:space="preserve">) para hacer frente al aumento de las actividades de formación y promoción en relación con el </w:t>
      </w:r>
      <w:r w:rsidRPr="009577DE">
        <w:rPr>
          <w:sz w:val="20"/>
          <w:szCs w:val="22"/>
        </w:rPr>
        <w:t>sistema de La Haya</w:t>
      </w:r>
      <w:r w:rsidRPr="009577DE">
        <w:rPr>
          <w:sz w:val="20"/>
        </w:rPr>
        <w:t>.</w:t>
      </w:r>
    </w:p>
    <w:p w:rsidR="00B070BF" w:rsidRPr="009577DE" w:rsidRDefault="00B070BF" w:rsidP="00B070BF">
      <w:pPr>
        <w:widowControl w:val="0"/>
        <w:rPr>
          <w:sz w:val="20"/>
        </w:rPr>
      </w:pPr>
    </w:p>
    <w:p w:rsidR="00B070BF" w:rsidRPr="009577DE" w:rsidRDefault="00B070BF" w:rsidP="00B070BF">
      <w:pPr>
        <w:widowControl w:val="0"/>
        <w:jc w:val="both"/>
        <w:rPr>
          <w:rFonts w:eastAsia="Batang"/>
          <w:sz w:val="20"/>
          <w:u w:val="single"/>
          <w:lang w:eastAsia="ko-KR"/>
        </w:rPr>
      </w:pPr>
      <w:r w:rsidRPr="009577DE">
        <w:rPr>
          <w:rFonts w:eastAsia="Batang"/>
          <w:sz w:val="20"/>
          <w:lang w:eastAsia="ko-KR"/>
        </w:rPr>
        <w:t>B.</w:t>
      </w:r>
      <w:r>
        <w:rPr>
          <w:rFonts w:eastAsia="Batang"/>
          <w:sz w:val="20"/>
          <w:lang w:eastAsia="ko-KR"/>
        </w:rPr>
        <w:t xml:space="preserve">  </w:t>
      </w:r>
      <w:r w:rsidRPr="009577DE">
        <w:rPr>
          <w:rFonts w:eastAsia="Batang"/>
          <w:sz w:val="20"/>
          <w:u w:val="single"/>
          <w:lang w:eastAsia="ko-KR"/>
        </w:rPr>
        <w:t>Utilización del presupuesto 2012</w:t>
      </w:r>
    </w:p>
    <w:p w:rsidR="00B070BF" w:rsidRPr="009577DE" w:rsidRDefault="00B070BF" w:rsidP="00B070BF">
      <w:pPr>
        <w:widowControl w:val="0"/>
        <w:jc w:val="both"/>
        <w:rPr>
          <w:rFonts w:eastAsia="Batang"/>
          <w:sz w:val="20"/>
          <w:lang w:eastAsia="ko-KR"/>
        </w:rPr>
      </w:pPr>
    </w:p>
    <w:p w:rsidR="00B070BF" w:rsidRPr="009577DE" w:rsidRDefault="00B070BF" w:rsidP="00B070BF">
      <w:pPr>
        <w:widowControl w:val="0"/>
        <w:numPr>
          <w:ilvl w:val="0"/>
          <w:numId w:val="12"/>
        </w:numPr>
        <w:rPr>
          <w:sz w:val="20"/>
        </w:rPr>
      </w:pPr>
      <w:r w:rsidRPr="009577DE">
        <w:rPr>
          <w:rFonts w:eastAsia="Batang"/>
          <w:sz w:val="20"/>
          <w:lang w:eastAsia="ko-KR"/>
        </w:rPr>
        <w:t>La utilización del presupuesto se mantiene entre el 40% y el 60% en el primer año del bienio y progresa con normalidad.</w:t>
      </w:r>
    </w:p>
    <w:p w:rsidR="00B070BF" w:rsidRPr="009577DE" w:rsidRDefault="00B070BF" w:rsidP="00B070BF">
      <w:pPr>
        <w:widowControl w:val="0"/>
        <w:rPr>
          <w:sz w:val="20"/>
        </w:rPr>
      </w:pPr>
    </w:p>
    <w:p w:rsidR="00B070BF" w:rsidRPr="009577DE" w:rsidRDefault="00B070BF" w:rsidP="00B070BF">
      <w:pPr>
        <w:widowControl w:val="0"/>
        <w:spacing w:before="240" w:after="60"/>
        <w:ind w:left="2835" w:hanging="2835"/>
        <w:outlineLvl w:val="1"/>
        <w:rPr>
          <w:b/>
          <w:iCs/>
          <w:caps/>
          <w:szCs w:val="22"/>
          <w:lang w:val="es-ES_tradnl"/>
        </w:rPr>
      </w:pPr>
      <w:r w:rsidRPr="009577DE">
        <w:rPr>
          <w:bCs/>
          <w:iCs/>
          <w:caps/>
          <w:szCs w:val="28"/>
          <w:lang w:val="es-ES_tradnl"/>
        </w:rPr>
        <w:br w:type="page"/>
      </w:r>
      <w:bookmarkStart w:id="24" w:name="_Toc359846792"/>
      <w:bookmarkStart w:id="25" w:name="_Toc359949316"/>
      <w:r w:rsidRPr="009577DE">
        <w:rPr>
          <w:b/>
          <w:iCs/>
          <w:szCs w:val="22"/>
          <w:lang w:val="es-ES_tradnl"/>
        </w:rPr>
        <w:lastRenderedPageBreak/>
        <w:t>PROGRAMA 7</w:t>
      </w:r>
      <w:r w:rsidRPr="009577DE">
        <w:rPr>
          <w:b/>
          <w:iCs/>
          <w:szCs w:val="22"/>
          <w:lang w:val="es-ES_tradnl"/>
        </w:rPr>
        <w:tab/>
        <w:t>ARBITRAJE, MEDIACIÓN Y NOMBRES DE DOMINIO</w:t>
      </w:r>
      <w:bookmarkEnd w:id="24"/>
      <w:bookmarkEnd w:id="25"/>
    </w:p>
    <w:p w:rsidR="00B070BF" w:rsidRPr="009577DE" w:rsidRDefault="00B070BF" w:rsidP="00B070BF">
      <w:pPr>
        <w:widowControl w:val="0"/>
        <w:rPr>
          <w:sz w:val="20"/>
          <w:lang w:val="es-ES_tradnl"/>
        </w:rPr>
      </w:pPr>
    </w:p>
    <w:p w:rsidR="00B070BF" w:rsidRPr="009577DE" w:rsidRDefault="00B070BF" w:rsidP="00B070BF">
      <w:pPr>
        <w:widowControl w:val="0"/>
        <w:rPr>
          <w:sz w:val="20"/>
          <w:lang w:val="es-ES_tradnl"/>
        </w:rPr>
      </w:pPr>
    </w:p>
    <w:p w:rsidR="00B070BF" w:rsidRPr="009577DE" w:rsidRDefault="00B070BF" w:rsidP="00B070BF">
      <w:pPr>
        <w:widowControl w:val="0"/>
        <w:tabs>
          <w:tab w:val="left" w:pos="2268"/>
        </w:tabs>
        <w:rPr>
          <w:b/>
          <w:szCs w:val="22"/>
          <w:lang w:val="es-ES_tradnl"/>
        </w:rPr>
      </w:pPr>
      <w:r w:rsidRPr="009577DE">
        <w:rPr>
          <w:b/>
          <w:szCs w:val="22"/>
          <w:lang w:val="es-ES_tradnl"/>
        </w:rPr>
        <w:t xml:space="preserve">Director del Programa </w:t>
      </w:r>
      <w:r w:rsidRPr="009577DE">
        <w:rPr>
          <w:b/>
          <w:szCs w:val="22"/>
          <w:lang w:val="es-ES_tradnl"/>
        </w:rPr>
        <w:tab/>
        <w:t>Sr. J.C. Wichard</w:t>
      </w:r>
    </w:p>
    <w:p w:rsidR="00B070BF" w:rsidRPr="009577DE" w:rsidRDefault="00B070BF" w:rsidP="00B070BF">
      <w:pPr>
        <w:widowControl w:val="0"/>
        <w:rPr>
          <w:sz w:val="20"/>
          <w:lang w:val="es-ES_tradnl"/>
        </w:rPr>
      </w:pPr>
    </w:p>
    <w:p w:rsidR="00B070BF" w:rsidRPr="009577DE" w:rsidRDefault="00B070BF" w:rsidP="00B070BF">
      <w:pPr>
        <w:widowControl w:val="0"/>
        <w:rPr>
          <w:bCs/>
          <w:sz w:val="20"/>
          <w:lang w:val="es-ES_tradnl"/>
        </w:rPr>
      </w:pPr>
    </w:p>
    <w:p w:rsidR="00B070BF" w:rsidRPr="009577DE" w:rsidRDefault="00B070BF" w:rsidP="00B070BF">
      <w:pPr>
        <w:widowControl w:val="0"/>
        <w:spacing w:line="260" w:lineRule="atLeast"/>
        <w:rPr>
          <w:bCs/>
          <w:szCs w:val="22"/>
          <w:lang w:val="es-ES_tradnl"/>
        </w:rPr>
      </w:pPr>
      <w:r w:rsidRPr="009577DE">
        <w:rPr>
          <w:bCs/>
          <w:sz w:val="20"/>
          <w:szCs w:val="22"/>
          <w:lang w:val="es-ES_tradnl"/>
        </w:rPr>
        <w:t>RESEÑA DE LOS AVANCES LOGRADOS EN 2012</w:t>
      </w:r>
    </w:p>
    <w:p w:rsidR="00B070BF" w:rsidRPr="009577DE" w:rsidRDefault="00B070BF" w:rsidP="00B070BF">
      <w:pPr>
        <w:widowControl w:val="0"/>
        <w:jc w:val="both"/>
        <w:rPr>
          <w:szCs w:val="22"/>
          <w:lang w:val="es-ES_tradnl"/>
        </w:rPr>
      </w:pPr>
    </w:p>
    <w:p w:rsidR="00B070BF" w:rsidRPr="009577DE" w:rsidRDefault="00B070BF" w:rsidP="00B070BF">
      <w:pPr>
        <w:widowControl w:val="0"/>
        <w:numPr>
          <w:ilvl w:val="0"/>
          <w:numId w:val="6"/>
        </w:numPr>
        <w:jc w:val="both"/>
        <w:rPr>
          <w:snapToGrid w:val="0"/>
          <w:sz w:val="20"/>
          <w:lang w:val="es-ES_tradnl"/>
        </w:rPr>
      </w:pPr>
      <w:r w:rsidRPr="009577DE">
        <w:rPr>
          <w:snapToGrid w:val="0"/>
          <w:sz w:val="20"/>
          <w:lang w:val="es-ES_tradnl"/>
        </w:rPr>
        <w:t xml:space="preserve">El Centro de Arbitraje y Mediación de la OMPI (“el Centro”) es hoy la principal institución internacional de solución rápida y rentable alternativa a los procedimientos judiciales de controversias sobre P.I. y en esa calidad presta asesoramiento en cuestiones jurídicas y de organización y se ocupa de las demandas.  Ello incluye también la prestación de servicios en casos de controversias sobre nombres de dominio de Internet.  </w:t>
      </w:r>
    </w:p>
    <w:p w:rsidR="00B070BF" w:rsidRPr="009577DE" w:rsidRDefault="00B070BF" w:rsidP="00B070BF">
      <w:pPr>
        <w:widowControl w:val="0"/>
        <w:jc w:val="both"/>
        <w:rPr>
          <w:snapToGrid w:val="0"/>
          <w:sz w:val="20"/>
          <w:lang w:val="es-ES_tradnl"/>
        </w:rPr>
      </w:pPr>
    </w:p>
    <w:p w:rsidR="00B070BF" w:rsidRPr="009577DE" w:rsidRDefault="00B070BF" w:rsidP="00B070BF">
      <w:pPr>
        <w:widowControl w:val="0"/>
        <w:numPr>
          <w:ilvl w:val="0"/>
          <w:numId w:val="6"/>
        </w:numPr>
        <w:jc w:val="both"/>
        <w:rPr>
          <w:noProof/>
          <w:sz w:val="20"/>
          <w:lang w:val="es-ES_tradnl"/>
        </w:rPr>
      </w:pPr>
      <w:r w:rsidRPr="009577DE">
        <w:rPr>
          <w:noProof/>
          <w:sz w:val="20"/>
        </w:rPr>
        <w:t xml:space="preserve">En 2012, el Centro siguió optimizando el potencial de sus procedimientos para satisfacer las necesidades de los titulares y los usuarios de derechos de P.I.  </w:t>
      </w:r>
      <w:r w:rsidRPr="009577DE">
        <w:rPr>
          <w:noProof/>
          <w:sz w:val="20"/>
          <w:lang w:val="es-ES_tradnl"/>
        </w:rPr>
        <w:t>Lo principal en esa tarea es suministrar servicios de calidad en la gestión de las demandas tramitadas mediante dichos procedimientos, lo que entraña formar y designar árbitros y mediadores calificados, mantener una infraestructura actualizada de administración de los procedimientos y una gestión activa de los casos de la OMPI.  Un número cada vez mayor de partes en controversias regidas por los Reglamentos de la OMPI sobre patentes, marcas y programas informáticos recurrieron al mecanismo de la OMPI para la gestión electrónica de las demandas (ECAF).</w:t>
      </w:r>
    </w:p>
    <w:p w:rsidR="00B070BF" w:rsidRPr="009577DE" w:rsidRDefault="00B070BF" w:rsidP="00B070BF">
      <w:pPr>
        <w:widowControl w:val="0"/>
        <w:tabs>
          <w:tab w:val="center" w:pos="4536"/>
          <w:tab w:val="right" w:pos="9000"/>
          <w:tab w:val="right" w:pos="9072"/>
        </w:tabs>
        <w:autoSpaceDE w:val="0"/>
        <w:autoSpaceDN w:val="0"/>
        <w:adjustRightInd w:val="0"/>
        <w:jc w:val="both"/>
        <w:rPr>
          <w:noProof/>
          <w:sz w:val="20"/>
          <w:lang w:val="es-ES_tradnl"/>
        </w:rPr>
      </w:pPr>
    </w:p>
    <w:p w:rsidR="00B070BF" w:rsidRPr="009577DE" w:rsidRDefault="00B070BF" w:rsidP="00B070BF">
      <w:pPr>
        <w:widowControl w:val="0"/>
        <w:numPr>
          <w:ilvl w:val="0"/>
          <w:numId w:val="6"/>
        </w:numPr>
        <w:jc w:val="both"/>
        <w:rPr>
          <w:noProof/>
          <w:sz w:val="20"/>
        </w:rPr>
      </w:pPr>
      <w:r w:rsidRPr="009577DE">
        <w:rPr>
          <w:noProof/>
          <w:sz w:val="20"/>
        </w:rPr>
        <w:t>El Centro llevó a cabo estudios sobre las expectativas y las experiencias de los usuarios mediante una encuesta relativa a la solución de controversias sobre operaciones internacionales en materia de tecnología.  El Centro publicará un informe sobre los resultados de la encuesta en el primer trimestre de 2013.</w:t>
      </w:r>
    </w:p>
    <w:p w:rsidR="00B070BF" w:rsidRPr="009577DE" w:rsidRDefault="00B070BF" w:rsidP="00B070BF">
      <w:pPr>
        <w:widowControl w:val="0"/>
        <w:tabs>
          <w:tab w:val="center" w:pos="4536"/>
          <w:tab w:val="right" w:pos="9000"/>
          <w:tab w:val="right" w:pos="9072"/>
        </w:tabs>
        <w:autoSpaceDE w:val="0"/>
        <w:autoSpaceDN w:val="0"/>
        <w:adjustRightInd w:val="0"/>
        <w:jc w:val="both"/>
        <w:rPr>
          <w:sz w:val="20"/>
        </w:rPr>
      </w:pPr>
    </w:p>
    <w:p w:rsidR="00B070BF" w:rsidRPr="009577DE" w:rsidRDefault="00B070BF" w:rsidP="00B070BF">
      <w:pPr>
        <w:widowControl w:val="0"/>
        <w:numPr>
          <w:ilvl w:val="0"/>
          <w:numId w:val="6"/>
        </w:numPr>
        <w:jc w:val="both"/>
        <w:rPr>
          <w:noProof/>
          <w:sz w:val="20"/>
        </w:rPr>
      </w:pPr>
      <w:r w:rsidRPr="009577DE">
        <w:rPr>
          <w:noProof/>
          <w:sz w:val="20"/>
          <w:lang w:val="es-ES_tradnl"/>
        </w:rPr>
        <w:t xml:space="preserve">El Centro apoyó a las partes interesadas en la P.I. en el establecimiento de procedimientos extrajuidiciales de solución de controversias adaptados a las caraterísticas específicas de las controversias más frecuentes en sus respectivos sectores de actividad.  </w:t>
      </w:r>
      <w:r w:rsidRPr="009577DE">
        <w:rPr>
          <w:noProof/>
          <w:sz w:val="20"/>
        </w:rPr>
        <w:t>Durante el año 2012 se resolvieron satisfactoriamente los primeros casos tratados en el marco del nuevo procedimiento conjunto de solución de controversias destinado a facilitar la mediación en las controversias sobre derechos de marca en la Oficina de Propiedad Intelectual de Singapur (IPOS).  En el marco de un memorando de entendimiento entre la OMPI y el Instituto Nacional de Propiedad Industrial del Brasil (INPI-BR), el Centro colaboró en el desarrollo de una alternativa de mediación similar para los procedimientos de marcas en el seno del INPRI-BR.  Asimismo, el INPI-BR ha designado a la OMPI como administrador de los casos en que una o ambas partes estén domiciliadas fuera del Brasil.</w:t>
      </w:r>
    </w:p>
    <w:p w:rsidR="00B070BF" w:rsidRPr="009577DE" w:rsidRDefault="00B070BF" w:rsidP="00B070BF">
      <w:pPr>
        <w:widowControl w:val="0"/>
        <w:tabs>
          <w:tab w:val="center" w:pos="4536"/>
          <w:tab w:val="right" w:pos="9000"/>
          <w:tab w:val="right" w:pos="9072"/>
        </w:tabs>
        <w:autoSpaceDE w:val="0"/>
        <w:autoSpaceDN w:val="0"/>
        <w:adjustRightInd w:val="0"/>
        <w:jc w:val="both"/>
        <w:rPr>
          <w:noProof/>
          <w:sz w:val="20"/>
        </w:rPr>
      </w:pPr>
    </w:p>
    <w:p w:rsidR="00B070BF" w:rsidRPr="009577DE" w:rsidRDefault="00B070BF" w:rsidP="00B070BF">
      <w:pPr>
        <w:widowControl w:val="0"/>
        <w:numPr>
          <w:ilvl w:val="0"/>
          <w:numId w:val="6"/>
        </w:numPr>
        <w:jc w:val="both"/>
        <w:rPr>
          <w:sz w:val="20"/>
        </w:rPr>
      </w:pPr>
      <w:r w:rsidRPr="009577DE">
        <w:rPr>
          <w:noProof/>
          <w:sz w:val="20"/>
        </w:rPr>
        <w:t xml:space="preserve">En cuanto a la resolución de controversias en el ámbito de la cinematografía y los medios de comunicación, en 2012 se firmaron distintos memorandos de entendimiento entre la OMPI y la </w:t>
      </w:r>
      <w:proofErr w:type="spellStart"/>
      <w:r w:rsidRPr="009577DE">
        <w:rPr>
          <w:i/>
          <w:sz w:val="20"/>
        </w:rPr>
        <w:t>Korea</w:t>
      </w:r>
      <w:proofErr w:type="spellEnd"/>
      <w:r w:rsidRPr="009577DE">
        <w:rPr>
          <w:i/>
          <w:sz w:val="20"/>
        </w:rPr>
        <w:t xml:space="preserve"> </w:t>
      </w:r>
      <w:proofErr w:type="spellStart"/>
      <w:r w:rsidRPr="009577DE">
        <w:rPr>
          <w:i/>
          <w:sz w:val="20"/>
        </w:rPr>
        <w:t>Creative</w:t>
      </w:r>
      <w:proofErr w:type="spellEnd"/>
      <w:r w:rsidRPr="009577DE">
        <w:rPr>
          <w:i/>
          <w:sz w:val="20"/>
        </w:rPr>
        <w:t xml:space="preserve"> Content Agency (KOCCA)</w:t>
      </w:r>
      <w:r w:rsidRPr="009577DE">
        <w:rPr>
          <w:sz w:val="20"/>
        </w:rPr>
        <w:t xml:space="preserve"> y el Ministerio de Cultura, Deporte y Turismo de la República de Corea con el fin de promover servicios de solución extrajudicial de controversias en los sectores relacionados con sus respectivas actividades.</w:t>
      </w:r>
    </w:p>
    <w:p w:rsidR="00B070BF" w:rsidRPr="009577DE" w:rsidRDefault="00B070BF" w:rsidP="00B070BF">
      <w:pPr>
        <w:widowControl w:val="0"/>
        <w:jc w:val="both"/>
        <w:rPr>
          <w:noProof/>
          <w:sz w:val="20"/>
        </w:rPr>
      </w:pPr>
    </w:p>
    <w:p w:rsidR="00B070BF" w:rsidRPr="009577DE" w:rsidRDefault="00B070BF" w:rsidP="00B070BF">
      <w:pPr>
        <w:widowControl w:val="0"/>
        <w:numPr>
          <w:ilvl w:val="0"/>
          <w:numId w:val="6"/>
        </w:numPr>
        <w:jc w:val="both"/>
        <w:rPr>
          <w:sz w:val="20"/>
        </w:rPr>
      </w:pPr>
      <w:r w:rsidRPr="009577DE">
        <w:rPr>
          <w:sz w:val="20"/>
        </w:rPr>
        <w:t xml:space="preserve">En el ámbito de los nombres de dominio, los titulares de marcas presentaron en 2012 una cifra récord de 2.884 demandas por </w:t>
      </w:r>
      <w:proofErr w:type="spellStart"/>
      <w:r w:rsidRPr="009577DE">
        <w:rPr>
          <w:sz w:val="20"/>
        </w:rPr>
        <w:t>ciberocupación</w:t>
      </w:r>
      <w:proofErr w:type="spellEnd"/>
      <w:r w:rsidRPr="009577DE">
        <w:rPr>
          <w:sz w:val="20"/>
        </w:rPr>
        <w:t xml:space="preserve"> respecto de 5.084 nombres de dominio ante el Centro de Arbitraje y Mediación de la OMPI en el marco de procedimientos basados en la Política Uniforme de Solución de Controversias en materia de Nombres de Dominio (Política Uniforme).  Lo que constituye un aumento del 4,5% con respecto a 2011.  El Centro continuó fomentando el mecanismo de presentación electrónica de solicitudes iniciado 2011 y puso en funcionamiento el mecanismo de gestión electrónica de demandas en materia de nombres de dominio (DECAF</w:t>
      </w:r>
      <w:r>
        <w:rPr>
          <w:sz w:val="20"/>
        </w:rPr>
        <w:t>, por sus siglas en inglés</w:t>
      </w:r>
      <w:r w:rsidRPr="009577DE">
        <w:rPr>
          <w:sz w:val="20"/>
        </w:rPr>
        <w:t>), una plataforma segura de la OMPI para cargar demandas relacionadas con controversias en materia de nombres de dominio.</w:t>
      </w:r>
    </w:p>
    <w:p w:rsidR="00B070BF" w:rsidRPr="009577DE" w:rsidRDefault="00B070BF" w:rsidP="00B070BF">
      <w:pPr>
        <w:widowControl w:val="0"/>
        <w:tabs>
          <w:tab w:val="center" w:pos="4536"/>
          <w:tab w:val="right" w:pos="9000"/>
          <w:tab w:val="right" w:pos="9072"/>
        </w:tabs>
        <w:autoSpaceDE w:val="0"/>
        <w:autoSpaceDN w:val="0"/>
        <w:adjustRightInd w:val="0"/>
        <w:jc w:val="both"/>
        <w:rPr>
          <w:noProof/>
          <w:sz w:val="20"/>
        </w:rPr>
      </w:pPr>
    </w:p>
    <w:p w:rsidR="00B070BF" w:rsidRPr="009577DE" w:rsidRDefault="00B070BF" w:rsidP="00B070BF">
      <w:pPr>
        <w:widowControl w:val="0"/>
        <w:numPr>
          <w:ilvl w:val="0"/>
          <w:numId w:val="6"/>
        </w:numPr>
        <w:jc w:val="both"/>
        <w:rPr>
          <w:noProof/>
          <w:sz w:val="20"/>
          <w:lang w:val="es-ES_tradnl"/>
        </w:rPr>
      </w:pPr>
      <w:r w:rsidRPr="009577DE">
        <w:rPr>
          <w:noProof/>
          <w:sz w:val="20"/>
          <w:lang w:val="es-ES_tradnl"/>
        </w:rPr>
        <w:t>El Centro se esfuerza por estar a la vanguardia en el desarrollo de mecanismos de solución extrajuidicial de controversias en relación con la utilización no autorizada de derechos de P.I. en Internet.  La OMPI, prestando especial atención a los nuevos Mecanismos de protección de derechos adoptados por la Corporación de Asignación de Nombres y Números de Internet (ICANN, por su</w:t>
      </w:r>
      <w:r>
        <w:rPr>
          <w:noProof/>
          <w:sz w:val="20"/>
          <w:lang w:val="es-ES_tradnl"/>
        </w:rPr>
        <w:t>s</w:t>
      </w:r>
      <w:r w:rsidRPr="009577DE">
        <w:rPr>
          <w:noProof/>
          <w:sz w:val="20"/>
          <w:lang w:val="es-ES_tradnl"/>
        </w:rPr>
        <w:t xml:space="preserve"> siglas en inglés), puso en marcha actividades significativas en materia de políticas en relación con la introducción de una </w:t>
      </w:r>
      <w:r w:rsidRPr="009577DE">
        <w:rPr>
          <w:noProof/>
          <w:sz w:val="20"/>
          <w:lang w:val="es-ES_tradnl"/>
        </w:rPr>
        <w:lastRenderedPageBreak/>
        <w:t>gran cantidad de nuevos dominios de nivel superior por la ICANN.  El Centro ha sido designado por la ICANN como el proveedor de servicios de solución de controversias en el marco de un procedimiento de objeciones relativas a derechos de terceros “en la fase previa a la adjudicación” elaborado por la OMPI y basado en marcas;  la administración de objeciones relativas a derechos de terceros comenzará en el primer trimestre de 2013, después del cierre del período de presentación de objeciones.</w:t>
      </w:r>
    </w:p>
    <w:p w:rsidR="00B070BF" w:rsidRPr="009577DE" w:rsidRDefault="00B070BF" w:rsidP="00B070BF">
      <w:pPr>
        <w:widowControl w:val="0"/>
        <w:jc w:val="both"/>
        <w:rPr>
          <w:noProof/>
          <w:sz w:val="20"/>
        </w:rPr>
      </w:pPr>
    </w:p>
    <w:p w:rsidR="00B070BF" w:rsidRPr="009577DE" w:rsidRDefault="00B070BF" w:rsidP="00B070BF">
      <w:pPr>
        <w:widowControl w:val="0"/>
        <w:numPr>
          <w:ilvl w:val="0"/>
          <w:numId w:val="6"/>
        </w:numPr>
        <w:jc w:val="both"/>
        <w:rPr>
          <w:bCs/>
          <w:sz w:val="16"/>
          <w:szCs w:val="16"/>
        </w:rPr>
      </w:pPr>
      <w:r w:rsidRPr="009577DE">
        <w:rPr>
          <w:noProof/>
          <w:sz w:val="20"/>
        </w:rPr>
        <w:t>El Centro se mantuvo en contacto con los administradores de dominios de nivel superior correspondientes a códigos de países (ccTLD) en distintas regiones para la adopción políticas de solución de controversias.  En 2012 los códigos de</w:t>
      </w:r>
      <w:r>
        <w:rPr>
          <w:noProof/>
          <w:sz w:val="20"/>
        </w:rPr>
        <w:t xml:space="preserve"> país .PW (Palau) y .TZ (Tanzaní</w:t>
      </w:r>
      <w:r w:rsidRPr="009577DE">
        <w:rPr>
          <w:noProof/>
          <w:sz w:val="20"/>
        </w:rPr>
        <w:t>a) entraron en la lista los ccTLD que utilizan los servicios de solución de controversias de la OMPI que ahora asciende a 67 ccTLD.</w:t>
      </w:r>
    </w:p>
    <w:p w:rsidR="00B070BF" w:rsidRPr="009577DE" w:rsidRDefault="00B070BF" w:rsidP="00B070BF">
      <w:pPr>
        <w:widowControl w:val="0"/>
        <w:jc w:val="both"/>
        <w:rPr>
          <w:bCs/>
          <w:sz w:val="20"/>
          <w:szCs w:val="22"/>
          <w:lang w:val="es-ES_tradnl"/>
        </w:rPr>
      </w:pPr>
    </w:p>
    <w:p w:rsidR="00B070BF" w:rsidRPr="009577DE" w:rsidRDefault="00B070BF" w:rsidP="00B070BF">
      <w:pPr>
        <w:widowControl w:val="0"/>
        <w:jc w:val="both"/>
        <w:rPr>
          <w:bCs/>
          <w:sz w:val="20"/>
          <w:szCs w:val="22"/>
          <w:lang w:val="es-ES_tradnl"/>
        </w:rPr>
      </w:pPr>
    </w:p>
    <w:p w:rsidR="00B070BF" w:rsidRPr="009577DE" w:rsidRDefault="00B070BF" w:rsidP="00B070BF">
      <w:pPr>
        <w:widowControl w:val="0"/>
        <w:jc w:val="both"/>
        <w:rPr>
          <w:bCs/>
          <w:szCs w:val="22"/>
          <w:lang w:val="pt-BR"/>
        </w:rPr>
      </w:pPr>
      <w:r w:rsidRPr="009577DE">
        <w:rPr>
          <w:bCs/>
          <w:sz w:val="20"/>
          <w:szCs w:val="22"/>
          <w:lang w:val="es-ES_tradnl"/>
        </w:rPr>
        <w:t>APLICACIÓN DE LA AGENDA PARA EL DESARROLLO</w:t>
      </w:r>
      <w:r w:rsidRPr="009577DE">
        <w:rPr>
          <w:bCs/>
          <w:sz w:val="20"/>
          <w:szCs w:val="22"/>
          <w:lang w:val="pt-BR"/>
        </w:rPr>
        <w:t xml:space="preserve"> </w:t>
      </w:r>
    </w:p>
    <w:p w:rsidR="00B070BF" w:rsidRPr="009577DE" w:rsidRDefault="00B070BF" w:rsidP="00B070BF">
      <w:pPr>
        <w:widowControl w:val="0"/>
        <w:jc w:val="both"/>
        <w:rPr>
          <w:bCs/>
          <w:sz w:val="20"/>
          <w:szCs w:val="22"/>
          <w:lang w:val="es-ES_tradnl"/>
        </w:rPr>
      </w:pPr>
    </w:p>
    <w:p w:rsidR="00B070BF" w:rsidRPr="009577DE" w:rsidRDefault="00B070BF" w:rsidP="00B070BF">
      <w:pPr>
        <w:widowControl w:val="0"/>
        <w:numPr>
          <w:ilvl w:val="0"/>
          <w:numId w:val="6"/>
        </w:numPr>
        <w:jc w:val="both"/>
        <w:rPr>
          <w:rFonts w:eastAsia="MS Mincho"/>
          <w:sz w:val="20"/>
          <w:lang w:eastAsia="ja-JP" w:bidi="th-TH"/>
        </w:rPr>
      </w:pPr>
      <w:r w:rsidRPr="009577DE">
        <w:rPr>
          <w:rFonts w:eastAsia="MS Mincho"/>
          <w:bCs/>
          <w:sz w:val="20"/>
          <w:lang w:eastAsia="ja-JP" w:bidi="th-TH"/>
        </w:rPr>
        <w:t xml:space="preserve">El diseño, la planificación y la ejecución de las actividades del programa 7 se basaron y se guiaron por las recomendaciones pertinentes de la Agenda para el Desarrollo, en particular por las recomendaciones 1, 6 y 10.  A este respecto, el Centro organizó programas de arbitraje y mediación diseñados  específicamente para funcionarios y profesionales del ámbito de la P.I., brindó asistencia a las oficinas de P.I. para establecer marcos optativos de solución extrajudicial de controversias para casos de controversias pendientes, y también ayudó a las administraciones nacionales de dominios a establecer las mejores prácticas de registro y los mecanismos más eficaces de solución de controversias, aplicables a los países en desarrollo y países con economías en transición. </w:t>
      </w:r>
    </w:p>
    <w:p w:rsidR="00B070BF" w:rsidRPr="009577DE" w:rsidRDefault="00B070BF" w:rsidP="00B070BF">
      <w:pPr>
        <w:widowControl w:val="0"/>
        <w:jc w:val="both"/>
        <w:rPr>
          <w:bCs/>
          <w:sz w:val="20"/>
          <w:szCs w:val="22"/>
          <w:lang w:val="es-ES_tradnl"/>
        </w:rPr>
      </w:pPr>
    </w:p>
    <w:p w:rsidR="00B070BF" w:rsidRPr="009577DE" w:rsidRDefault="00B070BF" w:rsidP="00B070BF">
      <w:pPr>
        <w:widowControl w:val="0"/>
        <w:jc w:val="both"/>
        <w:rPr>
          <w:bCs/>
          <w:sz w:val="20"/>
          <w:szCs w:val="22"/>
          <w:lang w:val="es-ES_tradnl"/>
        </w:rPr>
      </w:pPr>
    </w:p>
    <w:p w:rsidR="00B070BF" w:rsidRPr="009577DE" w:rsidRDefault="00B070BF" w:rsidP="00B070BF">
      <w:pPr>
        <w:widowControl w:val="0"/>
        <w:jc w:val="both"/>
        <w:rPr>
          <w:bCs/>
          <w:sz w:val="20"/>
          <w:szCs w:val="22"/>
          <w:lang w:val="es-ES_tradnl"/>
        </w:rPr>
      </w:pPr>
      <w:r w:rsidRPr="009577DE">
        <w:rPr>
          <w:bCs/>
          <w:sz w:val="20"/>
          <w:szCs w:val="22"/>
          <w:lang w:val="es-ES_tradnl"/>
        </w:rPr>
        <w:t>DATOS SOBRE EL RENDIMIENTO</w:t>
      </w:r>
    </w:p>
    <w:p w:rsidR="00B070BF" w:rsidRPr="009577DE" w:rsidRDefault="00B070BF" w:rsidP="00B070BF">
      <w:pPr>
        <w:widowControl w:val="0"/>
        <w:rPr>
          <w:b/>
          <w:sz w:val="16"/>
          <w:szCs w:val="16"/>
          <w:lang w:val="es-ES_tradnl"/>
        </w:rPr>
      </w:pPr>
    </w:p>
    <w:tbl>
      <w:tblPr>
        <w:tblW w:w="5000" w:type="pct"/>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483"/>
        <w:gridCol w:w="1355"/>
        <w:gridCol w:w="1561"/>
        <w:gridCol w:w="4093"/>
        <w:gridCol w:w="1079"/>
      </w:tblGrid>
      <w:tr w:rsidR="00B070BF" w:rsidRPr="009577DE" w:rsidTr="00C33D4A">
        <w:trPr>
          <w:cantSplit/>
          <w:trHeight w:val="679"/>
        </w:trPr>
        <w:tc>
          <w:tcPr>
            <w:tcW w:w="5000" w:type="pct"/>
            <w:gridSpan w:val="5"/>
            <w:tcBorders>
              <w:top w:val="single" w:sz="4" w:space="0" w:color="auto"/>
              <w:bottom w:val="single" w:sz="4" w:space="0" w:color="auto"/>
            </w:tcBorders>
            <w:shd w:val="clear" w:color="auto" w:fill="CCFFFF"/>
            <w:vAlign w:val="center"/>
          </w:tcPr>
          <w:p w:rsidR="00B070BF" w:rsidRPr="009577DE" w:rsidRDefault="00B070BF" w:rsidP="00C33D4A">
            <w:pPr>
              <w:widowControl w:val="0"/>
              <w:spacing w:before="120" w:after="120"/>
              <w:ind w:left="1735" w:hanging="1735"/>
              <w:rPr>
                <w:b/>
                <w:bCs/>
                <w:sz w:val="16"/>
                <w:szCs w:val="16"/>
                <w:lang w:val="es-ES_tradnl"/>
              </w:rPr>
            </w:pPr>
            <w:r w:rsidRPr="009577DE">
              <w:rPr>
                <w:b/>
                <w:bCs/>
                <w:sz w:val="16"/>
                <w:szCs w:val="16"/>
                <w:lang w:val="es-ES_tradnl"/>
              </w:rPr>
              <w:t>Resultado previsto:</w:t>
            </w:r>
            <w:r w:rsidRPr="009577DE">
              <w:rPr>
                <w:b/>
                <w:bCs/>
                <w:sz w:val="16"/>
                <w:szCs w:val="16"/>
                <w:lang w:val="es-ES_tradnl"/>
              </w:rPr>
              <w:tab/>
            </w:r>
            <w:r w:rsidRPr="009577DE">
              <w:rPr>
                <w:bCs/>
                <w:sz w:val="16"/>
                <w:szCs w:val="16"/>
                <w:lang w:val="es-ES_tradnl"/>
              </w:rPr>
              <w:t>Las controversias nacionales e internacionales en materia de P.I. se evitan o resuelven cada vez con más frecuencia mediante procedimientos de mediación, arbitraje y demás métodos alternativos.</w:t>
            </w:r>
          </w:p>
        </w:tc>
      </w:tr>
      <w:tr w:rsidR="00B070BF" w:rsidRPr="009577DE" w:rsidTr="00C33D4A">
        <w:trPr>
          <w:cantSplit/>
        </w:trPr>
        <w:tc>
          <w:tcPr>
            <w:tcW w:w="874" w:type="pct"/>
            <w:tcBorders>
              <w:top w:val="single" w:sz="4" w:space="0" w:color="auto"/>
            </w:tcBorders>
            <w:shd w:val="clear" w:color="auto" w:fill="auto"/>
            <w:vAlign w:val="center"/>
          </w:tcPr>
          <w:p w:rsidR="00B070BF" w:rsidRPr="009577DE" w:rsidRDefault="00B070BF" w:rsidP="00C33D4A">
            <w:pPr>
              <w:widowControl w:val="0"/>
              <w:spacing w:after="120"/>
              <w:rPr>
                <w:sz w:val="16"/>
                <w:szCs w:val="16"/>
                <w:lang w:val="es-ES_tradnl"/>
              </w:rPr>
            </w:pPr>
            <w:r w:rsidRPr="009577DE">
              <w:rPr>
                <w:b/>
                <w:bCs/>
                <w:sz w:val="16"/>
                <w:szCs w:val="16"/>
                <w:lang w:val="es-ES_tradnl"/>
              </w:rPr>
              <w:t>Indicadores de rendimiento</w:t>
            </w:r>
          </w:p>
        </w:tc>
        <w:tc>
          <w:tcPr>
            <w:tcW w:w="805" w:type="pct"/>
            <w:tcBorders>
              <w:top w:val="single" w:sz="4" w:space="0" w:color="auto"/>
            </w:tcBorders>
            <w:shd w:val="clear" w:color="auto" w:fill="C0C0C0"/>
          </w:tcPr>
          <w:p w:rsidR="00B070BF" w:rsidRPr="009577DE" w:rsidRDefault="00B070BF" w:rsidP="00C33D4A">
            <w:pPr>
              <w:widowControl w:val="0"/>
              <w:spacing w:after="120"/>
              <w:rPr>
                <w:b/>
                <w:bCs/>
                <w:sz w:val="16"/>
                <w:szCs w:val="16"/>
                <w:lang w:val="es-ES_tradnl"/>
              </w:rPr>
            </w:pPr>
            <w:r w:rsidRPr="009577DE">
              <w:rPr>
                <w:b/>
                <w:bCs/>
                <w:sz w:val="16"/>
                <w:szCs w:val="16"/>
                <w:lang w:val="es-ES_tradnl"/>
              </w:rPr>
              <w:t>Referencia (</w:t>
            </w:r>
            <w:proofErr w:type="spellStart"/>
            <w:r w:rsidRPr="009577DE">
              <w:rPr>
                <w:b/>
                <w:bCs/>
                <w:sz w:val="16"/>
                <w:szCs w:val="16"/>
                <w:lang w:val="es-ES_tradnl"/>
              </w:rPr>
              <w:t>Presup</w:t>
            </w:r>
            <w:proofErr w:type="spellEnd"/>
            <w:r w:rsidRPr="009577DE">
              <w:rPr>
                <w:b/>
                <w:bCs/>
                <w:sz w:val="16"/>
                <w:szCs w:val="16"/>
                <w:lang w:val="es-ES_tradnl"/>
              </w:rPr>
              <w:t xml:space="preserve">. por </w:t>
            </w:r>
            <w:proofErr w:type="spellStart"/>
            <w:r w:rsidRPr="009577DE">
              <w:rPr>
                <w:b/>
                <w:bCs/>
                <w:sz w:val="16"/>
                <w:szCs w:val="16"/>
                <w:lang w:val="es-ES_tradnl"/>
              </w:rPr>
              <w:t>prog</w:t>
            </w:r>
            <w:proofErr w:type="spellEnd"/>
            <w:r w:rsidRPr="009577DE">
              <w:rPr>
                <w:b/>
                <w:bCs/>
                <w:sz w:val="16"/>
                <w:szCs w:val="16"/>
                <w:lang w:val="es-ES_tradnl"/>
              </w:rPr>
              <w:t>. 2012/13)</w:t>
            </w:r>
          </w:p>
        </w:tc>
        <w:tc>
          <w:tcPr>
            <w:tcW w:w="916" w:type="pct"/>
            <w:tcBorders>
              <w:top w:val="single" w:sz="4" w:space="0" w:color="auto"/>
            </w:tcBorders>
            <w:shd w:val="clear" w:color="auto" w:fill="auto"/>
            <w:tcMar>
              <w:top w:w="110" w:type="dxa"/>
            </w:tcMar>
            <w:vAlign w:val="center"/>
          </w:tcPr>
          <w:p w:rsidR="00B070BF" w:rsidRPr="009577DE" w:rsidRDefault="00B070BF" w:rsidP="00C33D4A">
            <w:pPr>
              <w:widowControl w:val="0"/>
              <w:rPr>
                <w:b/>
                <w:sz w:val="16"/>
                <w:szCs w:val="16"/>
                <w:lang w:val="es-ES_tradnl"/>
              </w:rPr>
            </w:pPr>
            <w:r w:rsidRPr="00BF138D">
              <w:rPr>
                <w:b/>
                <w:color w:val="993300"/>
                <w:sz w:val="16"/>
                <w:szCs w:val="16"/>
                <w:lang w:val="es-ES_tradnl"/>
              </w:rPr>
              <w:t>Referencia actualizada a finales de 2011</w:t>
            </w:r>
            <w:r w:rsidRPr="009577DE">
              <w:rPr>
                <w:b/>
                <w:sz w:val="16"/>
                <w:szCs w:val="16"/>
                <w:lang w:val="es-ES_tradnl"/>
              </w:rPr>
              <w:t xml:space="preserve"> </w:t>
            </w:r>
          </w:p>
        </w:tc>
        <w:tc>
          <w:tcPr>
            <w:tcW w:w="1848" w:type="pct"/>
            <w:tcBorders>
              <w:top w:val="single" w:sz="4" w:space="0" w:color="auto"/>
            </w:tcBorders>
            <w:shd w:val="clear" w:color="auto" w:fill="FFFFFF"/>
            <w:tcMar>
              <w:top w:w="110" w:type="dxa"/>
            </w:tcMar>
            <w:vAlign w:val="center"/>
          </w:tcPr>
          <w:p w:rsidR="00B070BF" w:rsidRPr="009577DE" w:rsidRDefault="00B070BF" w:rsidP="00C33D4A">
            <w:pPr>
              <w:widowControl w:val="0"/>
              <w:spacing w:after="120"/>
              <w:rPr>
                <w:sz w:val="16"/>
                <w:szCs w:val="16"/>
                <w:lang w:val="es-ES_tradnl"/>
              </w:rPr>
            </w:pPr>
            <w:r w:rsidRPr="009577DE">
              <w:rPr>
                <w:b/>
                <w:bCs/>
                <w:sz w:val="16"/>
                <w:szCs w:val="16"/>
                <w:lang w:val="es-ES_tradnl"/>
              </w:rPr>
              <w:t>Datos sobre el rendimiento</w:t>
            </w:r>
          </w:p>
        </w:tc>
        <w:tc>
          <w:tcPr>
            <w:tcW w:w="557" w:type="pct"/>
            <w:tcBorders>
              <w:top w:val="single" w:sz="4" w:space="0" w:color="auto"/>
            </w:tcBorders>
            <w:shd w:val="clear" w:color="auto" w:fill="auto"/>
            <w:tcMar>
              <w:top w:w="110" w:type="dxa"/>
            </w:tcMar>
            <w:vAlign w:val="center"/>
          </w:tcPr>
          <w:p w:rsidR="00B070BF" w:rsidRPr="009577DE" w:rsidRDefault="00B070BF" w:rsidP="00C33D4A">
            <w:pPr>
              <w:widowControl w:val="0"/>
              <w:spacing w:after="120"/>
              <w:jc w:val="center"/>
              <w:rPr>
                <w:b/>
                <w:bCs/>
                <w:sz w:val="16"/>
                <w:szCs w:val="16"/>
                <w:lang w:val="es-ES_tradnl"/>
              </w:rPr>
            </w:pPr>
            <w:r w:rsidRPr="009577DE">
              <w:rPr>
                <w:b/>
                <w:bCs/>
                <w:sz w:val="16"/>
                <w:szCs w:val="16"/>
                <w:lang w:val="es-ES_tradnl"/>
              </w:rPr>
              <w:t>Clave de colores</w:t>
            </w:r>
          </w:p>
        </w:tc>
      </w:tr>
      <w:tr w:rsidR="00B070BF" w:rsidRPr="009577DE" w:rsidTr="00C33D4A">
        <w:trPr>
          <w:cantSplit/>
        </w:trPr>
        <w:tc>
          <w:tcPr>
            <w:tcW w:w="874" w:type="pct"/>
            <w:shd w:val="clear" w:color="auto" w:fill="auto"/>
          </w:tcPr>
          <w:p w:rsidR="00B070BF" w:rsidRPr="009577DE" w:rsidRDefault="00B070BF" w:rsidP="00C33D4A">
            <w:pPr>
              <w:widowControl w:val="0"/>
              <w:rPr>
                <w:sz w:val="16"/>
                <w:szCs w:val="16"/>
                <w:lang w:val="es-ES_tradnl"/>
              </w:rPr>
            </w:pPr>
            <w:r w:rsidRPr="009577DE">
              <w:rPr>
                <w:sz w:val="16"/>
                <w:szCs w:val="16"/>
                <w:lang w:val="es-ES_tradnl"/>
              </w:rPr>
              <w:t>Cada vez más se considera la posibilidad de utilizar servicios alternativos de solución de controversias en las transacciones sobre P.I., entre otras cosas, valiéndose de los procedimientos de la OMPI.</w:t>
            </w:r>
          </w:p>
          <w:p w:rsidR="00B070BF" w:rsidRPr="009577DE" w:rsidRDefault="00B070BF" w:rsidP="00C33D4A">
            <w:pPr>
              <w:widowControl w:val="0"/>
              <w:rPr>
                <w:sz w:val="16"/>
                <w:szCs w:val="16"/>
                <w:lang w:val="es-ES_tradnl"/>
              </w:rPr>
            </w:pPr>
          </w:p>
        </w:tc>
        <w:tc>
          <w:tcPr>
            <w:tcW w:w="805" w:type="pct"/>
            <w:shd w:val="clear" w:color="auto" w:fill="C0C0C0"/>
          </w:tcPr>
          <w:p w:rsidR="00B070BF" w:rsidRPr="009577DE" w:rsidRDefault="00B070BF" w:rsidP="00C33D4A">
            <w:pPr>
              <w:widowControl w:val="0"/>
              <w:rPr>
                <w:sz w:val="16"/>
                <w:szCs w:val="16"/>
                <w:lang w:val="es-ES_tradnl"/>
              </w:rPr>
            </w:pPr>
            <w:r w:rsidRPr="009577DE">
              <w:rPr>
                <w:sz w:val="16"/>
                <w:szCs w:val="16"/>
                <w:lang w:val="es-ES_tradnl"/>
              </w:rPr>
              <w:t>225 controversias y 50 buenos oficios (fin de 2010)</w:t>
            </w:r>
            <w:r w:rsidRPr="009577DE">
              <w:rPr>
                <w:sz w:val="16"/>
                <w:szCs w:val="16"/>
                <w:lang w:val="es-ES_tradnl"/>
              </w:rPr>
              <w:br/>
            </w:r>
            <w:r w:rsidRPr="009577DE">
              <w:rPr>
                <w:sz w:val="16"/>
                <w:szCs w:val="16"/>
                <w:lang w:val="es-ES_tradnl"/>
              </w:rPr>
              <w:br/>
            </w:r>
          </w:p>
        </w:tc>
        <w:tc>
          <w:tcPr>
            <w:tcW w:w="916" w:type="pct"/>
            <w:shd w:val="clear" w:color="auto" w:fill="auto"/>
            <w:tcMar>
              <w:top w:w="110" w:type="dxa"/>
            </w:tcMar>
          </w:tcPr>
          <w:p w:rsidR="00B070BF" w:rsidRPr="00D44D8F" w:rsidRDefault="00B070BF" w:rsidP="00C33D4A">
            <w:pPr>
              <w:widowControl w:val="0"/>
              <w:rPr>
                <w:color w:val="993300"/>
                <w:sz w:val="16"/>
                <w:szCs w:val="16"/>
                <w:lang w:val="es-ES_tradnl"/>
              </w:rPr>
            </w:pPr>
            <w:r w:rsidRPr="00D44D8F">
              <w:rPr>
                <w:color w:val="993300"/>
                <w:sz w:val="16"/>
                <w:szCs w:val="16"/>
                <w:lang w:val="es-ES_tradnl"/>
              </w:rPr>
              <w:t>269 controversias y 65 buenos oficios (fin de 2011)</w:t>
            </w:r>
          </w:p>
        </w:tc>
        <w:tc>
          <w:tcPr>
            <w:tcW w:w="1848" w:type="pct"/>
            <w:shd w:val="clear" w:color="auto" w:fill="FFFFFF"/>
            <w:tcMar>
              <w:top w:w="110" w:type="dxa"/>
            </w:tcMar>
          </w:tcPr>
          <w:p w:rsidR="00B070BF" w:rsidRPr="009577DE" w:rsidRDefault="00B070BF" w:rsidP="00C33D4A">
            <w:pPr>
              <w:widowControl w:val="0"/>
              <w:rPr>
                <w:sz w:val="16"/>
                <w:szCs w:val="16"/>
                <w:lang w:val="es-ES_tradnl" w:bidi="th-TH"/>
              </w:rPr>
            </w:pPr>
            <w:r w:rsidRPr="009577DE">
              <w:rPr>
                <w:sz w:val="16"/>
                <w:szCs w:val="16"/>
                <w:lang w:val="es-ES_tradnl" w:bidi="th-TH"/>
              </w:rPr>
              <w:t xml:space="preserve">15 controversias y 14 buenos oficios adicionales </w:t>
            </w:r>
          </w:p>
          <w:p w:rsidR="00B070BF" w:rsidRPr="009577DE" w:rsidRDefault="00B070BF" w:rsidP="00C33D4A">
            <w:pPr>
              <w:widowControl w:val="0"/>
              <w:rPr>
                <w:sz w:val="16"/>
                <w:szCs w:val="16"/>
                <w:lang w:val="es-ES_tradnl"/>
              </w:rPr>
            </w:pPr>
          </w:p>
        </w:tc>
        <w:tc>
          <w:tcPr>
            <w:tcW w:w="557" w:type="pct"/>
            <w:shd w:val="clear" w:color="auto" w:fill="auto"/>
            <w:tcMar>
              <w:top w:w="110" w:type="dxa"/>
            </w:tcMar>
          </w:tcPr>
          <w:p w:rsidR="00B070BF" w:rsidRPr="009577DE" w:rsidRDefault="00B070BF" w:rsidP="00C33D4A">
            <w:pPr>
              <w:widowControl w:val="0"/>
              <w:jc w:val="center"/>
              <w:rPr>
                <w:b/>
                <w:sz w:val="16"/>
                <w:szCs w:val="16"/>
                <w:lang w:val="es-ES_tradnl"/>
              </w:rPr>
            </w:pPr>
            <w:r w:rsidRPr="009577DE">
              <w:rPr>
                <w:b/>
                <w:color w:val="008000"/>
                <w:sz w:val="16"/>
                <w:szCs w:val="16"/>
                <w:lang w:val="es-ES_tradnl"/>
              </w:rPr>
              <w:t>Progresa con normalidad</w:t>
            </w:r>
          </w:p>
        </w:tc>
      </w:tr>
      <w:tr w:rsidR="00B070BF" w:rsidRPr="009577DE" w:rsidTr="00C33D4A">
        <w:trPr>
          <w:cantSplit/>
        </w:trPr>
        <w:tc>
          <w:tcPr>
            <w:tcW w:w="874" w:type="pct"/>
            <w:shd w:val="clear" w:color="auto" w:fill="auto"/>
          </w:tcPr>
          <w:p w:rsidR="00B070BF" w:rsidRPr="009577DE" w:rsidRDefault="00B070BF" w:rsidP="00C33D4A">
            <w:pPr>
              <w:widowControl w:val="0"/>
              <w:rPr>
                <w:sz w:val="16"/>
                <w:szCs w:val="16"/>
                <w:lang w:val="es-ES_tradnl"/>
              </w:rPr>
            </w:pPr>
          </w:p>
        </w:tc>
        <w:tc>
          <w:tcPr>
            <w:tcW w:w="805" w:type="pct"/>
            <w:shd w:val="clear" w:color="auto" w:fill="C0C0C0"/>
          </w:tcPr>
          <w:p w:rsidR="00B070BF" w:rsidRPr="009577DE" w:rsidRDefault="00B070BF" w:rsidP="00C33D4A">
            <w:pPr>
              <w:widowControl w:val="0"/>
              <w:rPr>
                <w:sz w:val="16"/>
                <w:szCs w:val="16"/>
                <w:lang w:val="es-ES_tradnl"/>
              </w:rPr>
            </w:pPr>
            <w:r w:rsidRPr="009577DE">
              <w:rPr>
                <w:sz w:val="16"/>
                <w:szCs w:val="16"/>
                <w:lang w:val="es-ES_tradnl"/>
              </w:rPr>
              <w:t>Resultados de la encuesta del Centro</w:t>
            </w:r>
          </w:p>
        </w:tc>
        <w:tc>
          <w:tcPr>
            <w:tcW w:w="916" w:type="pct"/>
            <w:shd w:val="clear" w:color="auto" w:fill="auto"/>
            <w:tcMar>
              <w:top w:w="110" w:type="dxa"/>
            </w:tcMar>
          </w:tcPr>
          <w:p w:rsidR="00B070BF" w:rsidRPr="00D44D8F" w:rsidRDefault="00B070BF" w:rsidP="00C33D4A">
            <w:pPr>
              <w:widowControl w:val="0"/>
              <w:rPr>
                <w:color w:val="993300"/>
                <w:sz w:val="16"/>
                <w:szCs w:val="16"/>
                <w:lang w:val="es-ES_tradnl"/>
              </w:rPr>
            </w:pPr>
          </w:p>
        </w:tc>
        <w:tc>
          <w:tcPr>
            <w:tcW w:w="1848" w:type="pct"/>
            <w:shd w:val="clear" w:color="auto" w:fill="FFFFFF"/>
            <w:tcMar>
              <w:top w:w="110" w:type="dxa"/>
            </w:tcMar>
          </w:tcPr>
          <w:p w:rsidR="00B070BF" w:rsidRPr="009577DE" w:rsidRDefault="00B070BF" w:rsidP="00C33D4A">
            <w:pPr>
              <w:widowControl w:val="0"/>
              <w:rPr>
                <w:sz w:val="16"/>
                <w:szCs w:val="16"/>
                <w:lang w:val="es-ES_tradnl" w:bidi="th-TH"/>
              </w:rPr>
            </w:pPr>
            <w:r w:rsidRPr="009577DE">
              <w:rPr>
                <w:sz w:val="16"/>
                <w:szCs w:val="16"/>
                <w:lang w:val="es-ES_tradnl" w:bidi="th-TH"/>
              </w:rPr>
              <w:t>Resultados de la encuesta del Centro (http://www.wipo.int/amc/en/center/survey/results.html)</w:t>
            </w:r>
          </w:p>
          <w:p w:rsidR="00B070BF" w:rsidRPr="009577DE" w:rsidRDefault="00B070BF" w:rsidP="00C33D4A">
            <w:pPr>
              <w:widowControl w:val="0"/>
              <w:rPr>
                <w:sz w:val="16"/>
                <w:szCs w:val="16"/>
                <w:lang w:val="es-ES_tradnl"/>
              </w:rPr>
            </w:pPr>
          </w:p>
        </w:tc>
        <w:tc>
          <w:tcPr>
            <w:tcW w:w="557" w:type="pct"/>
            <w:shd w:val="clear" w:color="auto" w:fill="auto"/>
            <w:tcMar>
              <w:top w:w="110" w:type="dxa"/>
            </w:tcMar>
          </w:tcPr>
          <w:p w:rsidR="00B070BF" w:rsidRPr="009577DE" w:rsidRDefault="00B070BF" w:rsidP="00C33D4A">
            <w:pPr>
              <w:widowControl w:val="0"/>
              <w:jc w:val="center"/>
              <w:rPr>
                <w:b/>
                <w:sz w:val="16"/>
                <w:szCs w:val="16"/>
                <w:lang w:val="es-ES_tradnl"/>
              </w:rPr>
            </w:pPr>
            <w:r w:rsidRPr="009577DE">
              <w:rPr>
                <w:b/>
                <w:color w:val="008000"/>
                <w:sz w:val="16"/>
                <w:szCs w:val="16"/>
                <w:lang w:val="es-ES_tradnl"/>
              </w:rPr>
              <w:t>Progresa con normalidad</w:t>
            </w:r>
          </w:p>
        </w:tc>
      </w:tr>
      <w:tr w:rsidR="00B070BF" w:rsidRPr="009577DE" w:rsidTr="00C33D4A">
        <w:trPr>
          <w:cantSplit/>
        </w:trPr>
        <w:tc>
          <w:tcPr>
            <w:tcW w:w="874" w:type="pct"/>
            <w:shd w:val="clear" w:color="auto" w:fill="auto"/>
          </w:tcPr>
          <w:p w:rsidR="00B070BF" w:rsidRPr="009577DE" w:rsidRDefault="00B070BF" w:rsidP="00C33D4A">
            <w:pPr>
              <w:widowControl w:val="0"/>
              <w:rPr>
                <w:sz w:val="16"/>
                <w:szCs w:val="16"/>
                <w:lang w:val="es-ES_tradnl"/>
              </w:rPr>
            </w:pPr>
          </w:p>
        </w:tc>
        <w:tc>
          <w:tcPr>
            <w:tcW w:w="805" w:type="pct"/>
            <w:shd w:val="clear" w:color="auto" w:fill="C0C0C0"/>
          </w:tcPr>
          <w:p w:rsidR="00B070BF" w:rsidRPr="009577DE" w:rsidRDefault="00B070BF" w:rsidP="00C33D4A">
            <w:pPr>
              <w:widowControl w:val="0"/>
              <w:rPr>
                <w:sz w:val="16"/>
                <w:szCs w:val="16"/>
                <w:lang w:val="es-ES_tradnl"/>
              </w:rPr>
            </w:pPr>
            <w:r w:rsidRPr="009577DE">
              <w:rPr>
                <w:sz w:val="16"/>
                <w:szCs w:val="16"/>
                <w:lang w:val="es-ES_tradnl"/>
              </w:rPr>
              <w:t>2.000 consultas recibidas (2010)</w:t>
            </w:r>
          </w:p>
          <w:p w:rsidR="00B070BF" w:rsidRPr="009577DE" w:rsidRDefault="00B070BF" w:rsidP="00C33D4A">
            <w:pPr>
              <w:widowControl w:val="0"/>
              <w:rPr>
                <w:sz w:val="16"/>
                <w:szCs w:val="16"/>
                <w:lang w:val="es-ES_tradnl"/>
              </w:rPr>
            </w:pPr>
          </w:p>
        </w:tc>
        <w:tc>
          <w:tcPr>
            <w:tcW w:w="916" w:type="pct"/>
            <w:shd w:val="clear" w:color="auto" w:fill="auto"/>
            <w:tcMar>
              <w:top w:w="110" w:type="dxa"/>
            </w:tcMar>
          </w:tcPr>
          <w:p w:rsidR="00B070BF" w:rsidRPr="00D44D8F" w:rsidRDefault="00B070BF" w:rsidP="00C33D4A">
            <w:pPr>
              <w:widowControl w:val="0"/>
              <w:rPr>
                <w:color w:val="993300"/>
                <w:sz w:val="16"/>
                <w:szCs w:val="16"/>
                <w:lang w:val="es-ES_tradnl"/>
              </w:rPr>
            </w:pPr>
            <w:r w:rsidRPr="00D44D8F">
              <w:rPr>
                <w:color w:val="993300"/>
                <w:sz w:val="16"/>
                <w:szCs w:val="16"/>
                <w:lang w:val="es-ES_tradnl"/>
              </w:rPr>
              <w:t>4.000 consultas recibidas (2010/11)</w:t>
            </w:r>
          </w:p>
        </w:tc>
        <w:tc>
          <w:tcPr>
            <w:tcW w:w="1848" w:type="pct"/>
            <w:shd w:val="clear" w:color="auto" w:fill="FFFFFF"/>
            <w:tcMar>
              <w:top w:w="110" w:type="dxa"/>
            </w:tcMar>
          </w:tcPr>
          <w:p w:rsidR="00B070BF" w:rsidRPr="009577DE" w:rsidRDefault="00B070BF" w:rsidP="00C33D4A">
            <w:pPr>
              <w:widowControl w:val="0"/>
              <w:rPr>
                <w:sz w:val="16"/>
                <w:szCs w:val="16"/>
                <w:lang w:val="es-ES_tradnl" w:bidi="th-TH"/>
              </w:rPr>
            </w:pPr>
            <w:r w:rsidRPr="009577DE">
              <w:rPr>
                <w:sz w:val="16"/>
                <w:szCs w:val="16"/>
                <w:lang w:val="es-ES_tradnl" w:bidi="th-TH"/>
              </w:rPr>
              <w:t>2.000 consultas adicionales</w:t>
            </w:r>
          </w:p>
          <w:p w:rsidR="00B070BF" w:rsidRPr="009577DE" w:rsidRDefault="00B070BF" w:rsidP="00C33D4A">
            <w:pPr>
              <w:widowControl w:val="0"/>
              <w:rPr>
                <w:sz w:val="16"/>
                <w:szCs w:val="16"/>
                <w:lang w:val="es-ES_tradnl"/>
              </w:rPr>
            </w:pPr>
          </w:p>
        </w:tc>
        <w:tc>
          <w:tcPr>
            <w:tcW w:w="557" w:type="pct"/>
            <w:shd w:val="clear" w:color="auto" w:fill="auto"/>
            <w:tcMar>
              <w:top w:w="110" w:type="dxa"/>
            </w:tcMar>
          </w:tcPr>
          <w:p w:rsidR="00B070BF" w:rsidRPr="009577DE" w:rsidRDefault="00B070BF" w:rsidP="00C33D4A">
            <w:pPr>
              <w:widowControl w:val="0"/>
              <w:jc w:val="center"/>
              <w:rPr>
                <w:b/>
                <w:sz w:val="16"/>
                <w:szCs w:val="16"/>
                <w:lang w:val="es-ES_tradnl"/>
              </w:rPr>
            </w:pPr>
            <w:r w:rsidRPr="009577DE">
              <w:rPr>
                <w:b/>
                <w:color w:val="008000"/>
                <w:sz w:val="16"/>
                <w:szCs w:val="16"/>
                <w:lang w:val="es-ES_tradnl"/>
              </w:rPr>
              <w:t>Progresa con normalidad</w:t>
            </w:r>
          </w:p>
          <w:p w:rsidR="00B070BF" w:rsidRPr="009577DE" w:rsidRDefault="00B070BF" w:rsidP="00C33D4A">
            <w:pPr>
              <w:widowControl w:val="0"/>
              <w:jc w:val="center"/>
              <w:rPr>
                <w:b/>
                <w:sz w:val="16"/>
                <w:szCs w:val="16"/>
                <w:lang w:val="es-ES_tradnl"/>
              </w:rPr>
            </w:pPr>
          </w:p>
        </w:tc>
      </w:tr>
      <w:tr w:rsidR="00B070BF" w:rsidRPr="009577DE" w:rsidTr="00C33D4A">
        <w:trPr>
          <w:cantSplit/>
        </w:trPr>
        <w:tc>
          <w:tcPr>
            <w:tcW w:w="874" w:type="pct"/>
            <w:shd w:val="clear" w:color="auto" w:fill="auto"/>
          </w:tcPr>
          <w:p w:rsidR="00B070BF" w:rsidRPr="009577DE" w:rsidRDefault="00B070BF" w:rsidP="00C33D4A">
            <w:pPr>
              <w:widowControl w:val="0"/>
              <w:rPr>
                <w:sz w:val="16"/>
                <w:szCs w:val="16"/>
                <w:lang w:val="es-ES_tradnl"/>
              </w:rPr>
            </w:pPr>
          </w:p>
        </w:tc>
        <w:tc>
          <w:tcPr>
            <w:tcW w:w="805" w:type="pct"/>
            <w:shd w:val="clear" w:color="auto" w:fill="C0C0C0"/>
          </w:tcPr>
          <w:p w:rsidR="00B070BF" w:rsidRPr="009577DE" w:rsidRDefault="00B070BF" w:rsidP="00C33D4A">
            <w:pPr>
              <w:widowControl w:val="0"/>
              <w:rPr>
                <w:sz w:val="16"/>
                <w:szCs w:val="16"/>
                <w:lang w:val="es-ES_tradnl"/>
              </w:rPr>
            </w:pPr>
            <w:r w:rsidRPr="009577DE">
              <w:rPr>
                <w:sz w:val="16"/>
                <w:szCs w:val="16"/>
                <w:lang w:val="es-ES_tradnl"/>
              </w:rPr>
              <w:t>15 millones de visitas al sitio web (2010)</w:t>
            </w:r>
          </w:p>
          <w:p w:rsidR="00B070BF" w:rsidRPr="009577DE" w:rsidRDefault="00B070BF" w:rsidP="00C33D4A">
            <w:pPr>
              <w:widowControl w:val="0"/>
              <w:rPr>
                <w:sz w:val="16"/>
                <w:szCs w:val="16"/>
                <w:lang w:val="es-ES_tradnl"/>
              </w:rPr>
            </w:pPr>
          </w:p>
        </w:tc>
        <w:tc>
          <w:tcPr>
            <w:tcW w:w="916" w:type="pct"/>
            <w:shd w:val="clear" w:color="auto" w:fill="auto"/>
            <w:tcMar>
              <w:top w:w="110" w:type="dxa"/>
            </w:tcMar>
          </w:tcPr>
          <w:p w:rsidR="00B070BF" w:rsidRPr="00D44D8F" w:rsidRDefault="00B070BF" w:rsidP="00C33D4A">
            <w:pPr>
              <w:widowControl w:val="0"/>
              <w:rPr>
                <w:color w:val="993300"/>
                <w:sz w:val="16"/>
                <w:szCs w:val="16"/>
                <w:lang w:val="es-ES_tradnl"/>
              </w:rPr>
            </w:pPr>
            <w:r w:rsidRPr="00D44D8F">
              <w:rPr>
                <w:color w:val="993300"/>
                <w:sz w:val="16"/>
                <w:szCs w:val="16"/>
                <w:lang w:val="es-ES_tradnl"/>
              </w:rPr>
              <w:t>El sitio web recibió 30 millones de visitas (2010/11).</w:t>
            </w:r>
          </w:p>
        </w:tc>
        <w:tc>
          <w:tcPr>
            <w:tcW w:w="1848" w:type="pct"/>
            <w:shd w:val="clear" w:color="auto" w:fill="FFFFFF"/>
            <w:tcMar>
              <w:top w:w="110" w:type="dxa"/>
            </w:tcMar>
          </w:tcPr>
          <w:p w:rsidR="00B070BF" w:rsidRPr="009577DE" w:rsidRDefault="00B070BF" w:rsidP="00C33D4A">
            <w:pPr>
              <w:widowControl w:val="0"/>
              <w:rPr>
                <w:sz w:val="16"/>
                <w:szCs w:val="16"/>
                <w:lang w:val="es-ES_tradnl"/>
              </w:rPr>
            </w:pPr>
            <w:r w:rsidRPr="009577DE">
              <w:rPr>
                <w:sz w:val="16"/>
                <w:szCs w:val="16"/>
                <w:lang w:val="es-ES_tradnl" w:bidi="th-TH"/>
              </w:rPr>
              <w:t xml:space="preserve">750.000 visitas adicionales al sitio web </w:t>
            </w:r>
          </w:p>
        </w:tc>
        <w:tc>
          <w:tcPr>
            <w:tcW w:w="557" w:type="pct"/>
            <w:shd w:val="clear" w:color="auto" w:fill="auto"/>
            <w:tcMar>
              <w:top w:w="110" w:type="dxa"/>
            </w:tcMar>
          </w:tcPr>
          <w:p w:rsidR="00B070BF" w:rsidRPr="009577DE" w:rsidRDefault="00B070BF" w:rsidP="00C33D4A">
            <w:pPr>
              <w:widowControl w:val="0"/>
              <w:jc w:val="center"/>
              <w:rPr>
                <w:b/>
                <w:sz w:val="16"/>
                <w:szCs w:val="16"/>
                <w:lang w:val="es-ES_tradnl"/>
              </w:rPr>
            </w:pPr>
            <w:r w:rsidRPr="009577DE">
              <w:rPr>
                <w:b/>
                <w:color w:val="008000"/>
                <w:sz w:val="16"/>
                <w:szCs w:val="16"/>
                <w:lang w:val="es-ES_tradnl"/>
              </w:rPr>
              <w:t>Progresa con normalidad</w:t>
            </w:r>
          </w:p>
        </w:tc>
      </w:tr>
      <w:tr w:rsidR="00B070BF" w:rsidRPr="009577DE" w:rsidTr="00C33D4A">
        <w:trPr>
          <w:cantSplit/>
        </w:trPr>
        <w:tc>
          <w:tcPr>
            <w:tcW w:w="874" w:type="pct"/>
            <w:shd w:val="clear" w:color="auto" w:fill="auto"/>
          </w:tcPr>
          <w:p w:rsidR="00B070BF" w:rsidRPr="009577DE" w:rsidRDefault="00B070BF" w:rsidP="00C33D4A">
            <w:pPr>
              <w:widowControl w:val="0"/>
              <w:rPr>
                <w:sz w:val="16"/>
                <w:szCs w:val="16"/>
                <w:lang w:val="es-ES_tradnl"/>
              </w:rPr>
            </w:pPr>
          </w:p>
        </w:tc>
        <w:tc>
          <w:tcPr>
            <w:tcW w:w="805" w:type="pct"/>
            <w:shd w:val="clear" w:color="auto" w:fill="C0C0C0"/>
          </w:tcPr>
          <w:p w:rsidR="00B070BF" w:rsidRPr="009577DE" w:rsidRDefault="00B070BF" w:rsidP="00C33D4A">
            <w:pPr>
              <w:widowControl w:val="0"/>
              <w:rPr>
                <w:sz w:val="16"/>
                <w:szCs w:val="16"/>
                <w:lang w:val="es-ES_tradnl"/>
              </w:rPr>
            </w:pPr>
            <w:r w:rsidRPr="009577DE">
              <w:rPr>
                <w:sz w:val="16"/>
                <w:szCs w:val="16"/>
                <w:lang w:val="es-ES_tradnl"/>
              </w:rPr>
              <w:t xml:space="preserve">125 participantes en las actividades anuales del Centro (2010);  </w:t>
            </w:r>
            <w:r w:rsidRPr="009577DE">
              <w:rPr>
                <w:sz w:val="16"/>
                <w:szCs w:val="16"/>
                <w:lang w:val="es-ES_tradnl"/>
              </w:rPr>
              <w:br/>
              <w:t xml:space="preserve">3.000 participantes en las actividades externas del Centro (2010)  </w:t>
            </w:r>
          </w:p>
          <w:p w:rsidR="00B070BF" w:rsidRPr="009577DE" w:rsidRDefault="00B070BF" w:rsidP="00C33D4A">
            <w:pPr>
              <w:widowControl w:val="0"/>
              <w:rPr>
                <w:sz w:val="16"/>
                <w:szCs w:val="16"/>
                <w:lang w:val="es-ES_tradnl"/>
              </w:rPr>
            </w:pPr>
          </w:p>
        </w:tc>
        <w:tc>
          <w:tcPr>
            <w:tcW w:w="916" w:type="pct"/>
            <w:shd w:val="clear" w:color="auto" w:fill="auto"/>
            <w:tcMar>
              <w:top w:w="110" w:type="dxa"/>
            </w:tcMar>
          </w:tcPr>
          <w:p w:rsidR="00B070BF" w:rsidRPr="00D44D8F" w:rsidRDefault="00B070BF" w:rsidP="00C33D4A">
            <w:pPr>
              <w:widowControl w:val="0"/>
              <w:rPr>
                <w:color w:val="993300"/>
                <w:sz w:val="16"/>
                <w:szCs w:val="16"/>
                <w:lang w:val="es-ES_tradnl"/>
              </w:rPr>
            </w:pPr>
            <w:r w:rsidRPr="00D44D8F">
              <w:rPr>
                <w:color w:val="993300"/>
                <w:sz w:val="16"/>
                <w:szCs w:val="16"/>
                <w:lang w:val="es-ES_tradnl"/>
              </w:rPr>
              <w:t xml:space="preserve">276 participantes en las actividades anuales del Centro (2010/11);  </w:t>
            </w:r>
            <w:r w:rsidRPr="00D44D8F">
              <w:rPr>
                <w:color w:val="993300"/>
                <w:sz w:val="16"/>
                <w:szCs w:val="16"/>
                <w:lang w:val="es-ES_tradnl"/>
              </w:rPr>
              <w:br/>
            </w:r>
            <w:r w:rsidRPr="00D44D8F">
              <w:rPr>
                <w:color w:val="993300"/>
                <w:sz w:val="16"/>
                <w:szCs w:val="16"/>
                <w:lang w:val="es-ES_tradnl"/>
              </w:rPr>
              <w:br/>
              <w:t>3.000 participantes en las actividades externas del Centro (2010/11)</w:t>
            </w:r>
          </w:p>
        </w:tc>
        <w:tc>
          <w:tcPr>
            <w:tcW w:w="1848" w:type="pct"/>
            <w:shd w:val="clear" w:color="auto" w:fill="FFFFFF"/>
            <w:tcMar>
              <w:top w:w="110" w:type="dxa"/>
            </w:tcMar>
          </w:tcPr>
          <w:p w:rsidR="00B070BF" w:rsidRPr="009577DE" w:rsidRDefault="00B070BF" w:rsidP="00C33D4A">
            <w:pPr>
              <w:widowControl w:val="0"/>
              <w:rPr>
                <w:sz w:val="16"/>
                <w:szCs w:val="16"/>
                <w:lang w:val="es-ES_tradnl" w:bidi="th-TH"/>
              </w:rPr>
            </w:pPr>
            <w:r w:rsidRPr="009577DE">
              <w:rPr>
                <w:sz w:val="16"/>
                <w:szCs w:val="16"/>
                <w:lang w:val="es-ES_tradnl" w:bidi="th-TH"/>
              </w:rPr>
              <w:t xml:space="preserve">122 participantes en las actividades anuales del Centro. </w:t>
            </w:r>
          </w:p>
          <w:p w:rsidR="00B070BF" w:rsidRPr="009577DE" w:rsidRDefault="00B070BF" w:rsidP="00C33D4A">
            <w:pPr>
              <w:widowControl w:val="0"/>
              <w:rPr>
                <w:sz w:val="16"/>
                <w:szCs w:val="16"/>
                <w:lang w:val="es-ES_tradnl" w:bidi="th-TH"/>
              </w:rPr>
            </w:pPr>
          </w:p>
          <w:p w:rsidR="00B070BF" w:rsidRPr="009577DE" w:rsidRDefault="00B070BF" w:rsidP="00C33D4A">
            <w:pPr>
              <w:widowControl w:val="0"/>
              <w:rPr>
                <w:sz w:val="16"/>
                <w:szCs w:val="16"/>
                <w:lang w:val="es-ES_tradnl" w:bidi="th-TH"/>
              </w:rPr>
            </w:pPr>
          </w:p>
          <w:p w:rsidR="00B070BF" w:rsidRPr="009577DE" w:rsidRDefault="00B070BF" w:rsidP="00C33D4A">
            <w:pPr>
              <w:widowControl w:val="0"/>
              <w:rPr>
                <w:sz w:val="16"/>
                <w:szCs w:val="16"/>
                <w:lang w:val="es-ES_tradnl" w:bidi="th-TH"/>
              </w:rPr>
            </w:pPr>
          </w:p>
          <w:p w:rsidR="00B070BF" w:rsidRPr="009577DE" w:rsidRDefault="00B070BF" w:rsidP="00C33D4A">
            <w:pPr>
              <w:widowControl w:val="0"/>
              <w:rPr>
                <w:sz w:val="16"/>
                <w:szCs w:val="16"/>
                <w:lang w:val="es-ES_tradnl"/>
              </w:rPr>
            </w:pPr>
            <w:r w:rsidRPr="009577DE">
              <w:rPr>
                <w:sz w:val="16"/>
                <w:szCs w:val="16"/>
                <w:lang w:val="es-ES_tradnl" w:bidi="th-TH"/>
              </w:rPr>
              <w:t>2.400 participantes en las actividades externas del Centro.</w:t>
            </w:r>
          </w:p>
        </w:tc>
        <w:tc>
          <w:tcPr>
            <w:tcW w:w="557" w:type="pct"/>
            <w:shd w:val="clear" w:color="auto" w:fill="auto"/>
            <w:tcMar>
              <w:top w:w="110" w:type="dxa"/>
            </w:tcMar>
          </w:tcPr>
          <w:p w:rsidR="00B070BF" w:rsidRPr="009577DE" w:rsidRDefault="00B070BF" w:rsidP="00C33D4A">
            <w:pPr>
              <w:widowControl w:val="0"/>
              <w:jc w:val="center"/>
              <w:rPr>
                <w:b/>
                <w:sz w:val="16"/>
                <w:szCs w:val="16"/>
                <w:lang w:val="es-ES_tradnl"/>
              </w:rPr>
            </w:pPr>
            <w:r w:rsidRPr="009577DE">
              <w:rPr>
                <w:b/>
                <w:color w:val="008000"/>
                <w:sz w:val="16"/>
                <w:szCs w:val="16"/>
                <w:lang w:val="es-ES_tradnl"/>
              </w:rPr>
              <w:t>Progresa con normalidad</w:t>
            </w:r>
          </w:p>
        </w:tc>
      </w:tr>
      <w:tr w:rsidR="00B070BF" w:rsidRPr="009577DE" w:rsidTr="00C33D4A">
        <w:trPr>
          <w:cantSplit/>
        </w:trPr>
        <w:tc>
          <w:tcPr>
            <w:tcW w:w="874" w:type="pct"/>
            <w:tcBorders>
              <w:bottom w:val="single" w:sz="4" w:space="0" w:color="auto"/>
            </w:tcBorders>
            <w:shd w:val="clear" w:color="auto" w:fill="auto"/>
          </w:tcPr>
          <w:p w:rsidR="00B070BF" w:rsidRPr="009577DE" w:rsidRDefault="00B070BF" w:rsidP="00C33D4A">
            <w:pPr>
              <w:widowControl w:val="0"/>
              <w:rPr>
                <w:sz w:val="16"/>
                <w:szCs w:val="16"/>
                <w:lang w:val="es-ES_tradnl"/>
              </w:rPr>
            </w:pPr>
            <w:r w:rsidRPr="009577DE">
              <w:rPr>
                <w:sz w:val="16"/>
                <w:szCs w:val="16"/>
                <w:lang w:val="es-ES_tradnl"/>
              </w:rPr>
              <w:t>Políticas de solución alternativa de controversias a cuyo desarrollo y aplicación ha contribuido el Centro de Arbitraje y Mediación de la OMPI.</w:t>
            </w:r>
          </w:p>
          <w:p w:rsidR="00B070BF" w:rsidRPr="009577DE" w:rsidRDefault="00B070BF" w:rsidP="00C33D4A">
            <w:pPr>
              <w:widowControl w:val="0"/>
              <w:rPr>
                <w:sz w:val="16"/>
                <w:szCs w:val="16"/>
                <w:lang w:val="es-ES_tradnl"/>
              </w:rPr>
            </w:pPr>
          </w:p>
          <w:p w:rsidR="00B070BF" w:rsidRPr="009577DE" w:rsidRDefault="00B070BF" w:rsidP="00C33D4A">
            <w:pPr>
              <w:widowControl w:val="0"/>
              <w:rPr>
                <w:sz w:val="16"/>
                <w:szCs w:val="16"/>
                <w:lang w:val="es-ES_tradnl"/>
              </w:rPr>
            </w:pPr>
          </w:p>
          <w:p w:rsidR="00B070BF" w:rsidRPr="009577DE" w:rsidRDefault="00B070BF" w:rsidP="00C33D4A">
            <w:pPr>
              <w:widowControl w:val="0"/>
              <w:rPr>
                <w:sz w:val="16"/>
                <w:szCs w:val="16"/>
                <w:lang w:val="es-ES_tradnl"/>
              </w:rPr>
            </w:pPr>
          </w:p>
        </w:tc>
        <w:tc>
          <w:tcPr>
            <w:tcW w:w="805" w:type="pct"/>
            <w:tcBorders>
              <w:bottom w:val="single" w:sz="4" w:space="0" w:color="auto"/>
            </w:tcBorders>
            <w:shd w:val="clear" w:color="auto" w:fill="C0C0C0"/>
          </w:tcPr>
          <w:p w:rsidR="00B070BF" w:rsidRPr="009577DE" w:rsidRDefault="00B070BF" w:rsidP="00C33D4A">
            <w:pPr>
              <w:widowControl w:val="0"/>
              <w:rPr>
                <w:sz w:val="16"/>
                <w:szCs w:val="16"/>
                <w:lang w:val="es-ES_tradnl"/>
              </w:rPr>
            </w:pPr>
            <w:r w:rsidRPr="009577DE">
              <w:rPr>
                <w:sz w:val="16"/>
                <w:szCs w:val="16"/>
                <w:lang w:val="es-ES_tradnl"/>
              </w:rPr>
              <w:t>Adopción de regímenes especiales (AGICOA, cine y medios de comunicación, EGEDA).</w:t>
            </w:r>
          </w:p>
        </w:tc>
        <w:tc>
          <w:tcPr>
            <w:tcW w:w="916" w:type="pct"/>
            <w:tcBorders>
              <w:bottom w:val="single" w:sz="4" w:space="0" w:color="auto"/>
            </w:tcBorders>
            <w:shd w:val="clear" w:color="auto" w:fill="auto"/>
            <w:tcMar>
              <w:top w:w="110" w:type="dxa"/>
            </w:tcMar>
          </w:tcPr>
          <w:p w:rsidR="00B070BF" w:rsidRPr="00D44D8F" w:rsidRDefault="00B070BF" w:rsidP="00C33D4A">
            <w:pPr>
              <w:widowControl w:val="0"/>
              <w:rPr>
                <w:color w:val="993300"/>
                <w:sz w:val="16"/>
                <w:szCs w:val="16"/>
                <w:lang w:val="es-ES_tradnl"/>
              </w:rPr>
            </w:pPr>
          </w:p>
        </w:tc>
        <w:tc>
          <w:tcPr>
            <w:tcW w:w="1848" w:type="pct"/>
            <w:tcBorders>
              <w:bottom w:val="single" w:sz="4" w:space="0" w:color="auto"/>
            </w:tcBorders>
            <w:shd w:val="clear" w:color="auto" w:fill="FFFFFF"/>
            <w:tcMar>
              <w:top w:w="110" w:type="dxa"/>
            </w:tcMar>
          </w:tcPr>
          <w:p w:rsidR="00B070BF" w:rsidRPr="009577DE" w:rsidRDefault="00B070BF" w:rsidP="00C33D4A">
            <w:pPr>
              <w:widowControl w:val="0"/>
              <w:rPr>
                <w:sz w:val="16"/>
                <w:szCs w:val="16"/>
                <w:lang w:val="es-ES_tradnl"/>
              </w:rPr>
            </w:pPr>
            <w:r w:rsidRPr="009577DE">
              <w:rPr>
                <w:sz w:val="16"/>
                <w:szCs w:val="16"/>
                <w:lang w:val="es-ES_tradnl" w:bidi="th-TH"/>
              </w:rPr>
              <w:t>Adopción de un régimen en 2012 (OOS)</w:t>
            </w:r>
          </w:p>
        </w:tc>
        <w:tc>
          <w:tcPr>
            <w:tcW w:w="557" w:type="pct"/>
            <w:tcBorders>
              <w:bottom w:val="single" w:sz="4" w:space="0" w:color="auto"/>
            </w:tcBorders>
            <w:shd w:val="clear" w:color="auto" w:fill="auto"/>
            <w:tcMar>
              <w:top w:w="110" w:type="dxa"/>
            </w:tcMar>
          </w:tcPr>
          <w:p w:rsidR="00B070BF" w:rsidRPr="009577DE" w:rsidRDefault="00B070BF" w:rsidP="00C33D4A">
            <w:pPr>
              <w:widowControl w:val="0"/>
              <w:jc w:val="center"/>
              <w:rPr>
                <w:b/>
                <w:sz w:val="16"/>
                <w:szCs w:val="16"/>
                <w:lang w:val="es-ES_tradnl"/>
              </w:rPr>
            </w:pPr>
            <w:r w:rsidRPr="009577DE">
              <w:rPr>
                <w:b/>
                <w:color w:val="008000"/>
                <w:sz w:val="16"/>
                <w:szCs w:val="16"/>
                <w:lang w:val="es-ES_tradnl"/>
              </w:rPr>
              <w:t>Progresa con normalidad</w:t>
            </w:r>
          </w:p>
        </w:tc>
      </w:tr>
      <w:tr w:rsidR="00B070BF" w:rsidRPr="009577DE" w:rsidTr="00C33D4A">
        <w:trPr>
          <w:cantSplit/>
        </w:trPr>
        <w:tc>
          <w:tcPr>
            <w:tcW w:w="5000" w:type="pct"/>
            <w:gridSpan w:val="5"/>
            <w:tcBorders>
              <w:top w:val="single" w:sz="4" w:space="0" w:color="auto"/>
              <w:bottom w:val="single" w:sz="4" w:space="0" w:color="auto"/>
            </w:tcBorders>
            <w:shd w:val="clear" w:color="auto" w:fill="CCFFFF"/>
            <w:vAlign w:val="center"/>
          </w:tcPr>
          <w:p w:rsidR="00B070BF" w:rsidRPr="009577DE" w:rsidRDefault="00B070BF" w:rsidP="00C33D4A">
            <w:pPr>
              <w:widowControl w:val="0"/>
              <w:tabs>
                <w:tab w:val="left" w:pos="1452"/>
              </w:tabs>
              <w:spacing w:before="120" w:after="120"/>
              <w:ind w:left="1452" w:hanging="1452"/>
              <w:rPr>
                <w:b/>
                <w:bCs/>
                <w:sz w:val="16"/>
                <w:szCs w:val="16"/>
                <w:lang w:val="es-ES_tradnl"/>
              </w:rPr>
            </w:pPr>
            <w:r w:rsidRPr="009577DE">
              <w:rPr>
                <w:b/>
                <w:bCs/>
                <w:sz w:val="16"/>
                <w:szCs w:val="16"/>
                <w:lang w:val="es-ES_tradnl"/>
              </w:rPr>
              <w:t>Resultado previsto:</w:t>
            </w:r>
            <w:r w:rsidRPr="009577DE">
              <w:rPr>
                <w:b/>
                <w:bCs/>
                <w:sz w:val="16"/>
                <w:szCs w:val="16"/>
                <w:lang w:val="es-ES_tradnl"/>
              </w:rPr>
              <w:tab/>
            </w:r>
            <w:r w:rsidRPr="009577DE">
              <w:rPr>
                <w:bCs/>
                <w:sz w:val="16"/>
                <w:szCs w:val="16"/>
                <w:lang w:val="es-ES_tradnl"/>
              </w:rPr>
              <w:t xml:space="preserve"> Protección eficaz de la propiedad intelectual en los </w:t>
            </w:r>
            <w:proofErr w:type="spellStart"/>
            <w:r w:rsidRPr="009577DE">
              <w:rPr>
                <w:bCs/>
                <w:sz w:val="16"/>
                <w:szCs w:val="16"/>
                <w:lang w:val="es-ES_tradnl"/>
              </w:rPr>
              <w:t>gTLD</w:t>
            </w:r>
            <w:proofErr w:type="spellEnd"/>
            <w:r w:rsidRPr="009577DE">
              <w:rPr>
                <w:bCs/>
                <w:sz w:val="16"/>
                <w:szCs w:val="16"/>
                <w:lang w:val="es-ES_tradnl"/>
              </w:rPr>
              <w:t xml:space="preserve"> y los </w:t>
            </w:r>
            <w:proofErr w:type="spellStart"/>
            <w:r w:rsidRPr="009577DE">
              <w:rPr>
                <w:bCs/>
                <w:sz w:val="16"/>
                <w:szCs w:val="16"/>
                <w:lang w:val="es-ES_tradnl"/>
              </w:rPr>
              <w:t>ccTLD</w:t>
            </w:r>
            <w:proofErr w:type="spellEnd"/>
            <w:r w:rsidRPr="009577DE">
              <w:rPr>
                <w:bCs/>
                <w:sz w:val="16"/>
                <w:szCs w:val="16"/>
                <w:lang w:val="es-ES_tradnl"/>
              </w:rPr>
              <w:t>.</w:t>
            </w:r>
          </w:p>
        </w:tc>
      </w:tr>
      <w:tr w:rsidR="00B070BF" w:rsidRPr="009577DE" w:rsidTr="00C33D4A">
        <w:trPr>
          <w:cantSplit/>
        </w:trPr>
        <w:tc>
          <w:tcPr>
            <w:tcW w:w="874" w:type="pct"/>
            <w:tcBorders>
              <w:top w:val="single" w:sz="4" w:space="0" w:color="auto"/>
            </w:tcBorders>
            <w:shd w:val="clear" w:color="auto" w:fill="auto"/>
            <w:vAlign w:val="center"/>
          </w:tcPr>
          <w:p w:rsidR="00B070BF" w:rsidRPr="009577DE" w:rsidRDefault="00B070BF" w:rsidP="00C33D4A">
            <w:pPr>
              <w:widowControl w:val="0"/>
              <w:spacing w:after="120"/>
              <w:rPr>
                <w:sz w:val="16"/>
                <w:szCs w:val="16"/>
                <w:lang w:val="es-ES_tradnl"/>
              </w:rPr>
            </w:pPr>
            <w:r w:rsidRPr="009577DE">
              <w:rPr>
                <w:b/>
                <w:bCs/>
                <w:sz w:val="16"/>
                <w:szCs w:val="16"/>
                <w:lang w:val="es-ES_tradnl"/>
              </w:rPr>
              <w:t>Indicadores de rendimiento</w:t>
            </w:r>
          </w:p>
        </w:tc>
        <w:tc>
          <w:tcPr>
            <w:tcW w:w="805" w:type="pct"/>
            <w:tcBorders>
              <w:top w:val="single" w:sz="4" w:space="0" w:color="auto"/>
            </w:tcBorders>
            <w:shd w:val="clear" w:color="auto" w:fill="C0C0C0"/>
          </w:tcPr>
          <w:p w:rsidR="00B070BF" w:rsidRPr="009577DE" w:rsidRDefault="00B070BF" w:rsidP="00C33D4A">
            <w:pPr>
              <w:widowControl w:val="0"/>
              <w:spacing w:after="120"/>
              <w:rPr>
                <w:b/>
                <w:bCs/>
                <w:sz w:val="16"/>
                <w:szCs w:val="16"/>
                <w:lang w:val="es-ES_tradnl"/>
              </w:rPr>
            </w:pPr>
            <w:r w:rsidRPr="009577DE">
              <w:rPr>
                <w:b/>
                <w:bCs/>
                <w:sz w:val="16"/>
                <w:szCs w:val="16"/>
                <w:lang w:val="es-ES_tradnl"/>
              </w:rPr>
              <w:t>Referencia (</w:t>
            </w:r>
            <w:proofErr w:type="spellStart"/>
            <w:r w:rsidRPr="009577DE">
              <w:rPr>
                <w:b/>
                <w:bCs/>
                <w:sz w:val="16"/>
                <w:szCs w:val="16"/>
                <w:lang w:val="es-ES_tradnl"/>
              </w:rPr>
              <w:t>Presup</w:t>
            </w:r>
            <w:proofErr w:type="spellEnd"/>
            <w:r w:rsidRPr="009577DE">
              <w:rPr>
                <w:b/>
                <w:bCs/>
                <w:sz w:val="16"/>
                <w:szCs w:val="16"/>
                <w:lang w:val="es-ES_tradnl"/>
              </w:rPr>
              <w:t xml:space="preserve">. por </w:t>
            </w:r>
            <w:proofErr w:type="spellStart"/>
            <w:r w:rsidRPr="009577DE">
              <w:rPr>
                <w:b/>
                <w:bCs/>
                <w:sz w:val="16"/>
                <w:szCs w:val="16"/>
                <w:lang w:val="es-ES_tradnl"/>
              </w:rPr>
              <w:t>prog</w:t>
            </w:r>
            <w:proofErr w:type="spellEnd"/>
            <w:r w:rsidRPr="009577DE">
              <w:rPr>
                <w:b/>
                <w:bCs/>
                <w:sz w:val="16"/>
                <w:szCs w:val="16"/>
                <w:lang w:val="es-ES_tradnl"/>
              </w:rPr>
              <w:t>. 2012/13)</w:t>
            </w:r>
          </w:p>
        </w:tc>
        <w:tc>
          <w:tcPr>
            <w:tcW w:w="916" w:type="pct"/>
            <w:tcBorders>
              <w:top w:val="single" w:sz="4" w:space="0" w:color="auto"/>
            </w:tcBorders>
            <w:shd w:val="clear" w:color="auto" w:fill="auto"/>
            <w:tcMar>
              <w:top w:w="110" w:type="dxa"/>
            </w:tcMar>
            <w:vAlign w:val="center"/>
          </w:tcPr>
          <w:p w:rsidR="00B070BF" w:rsidRPr="009577DE" w:rsidRDefault="00B070BF" w:rsidP="00C33D4A">
            <w:pPr>
              <w:widowControl w:val="0"/>
              <w:rPr>
                <w:b/>
                <w:sz w:val="16"/>
                <w:szCs w:val="16"/>
                <w:lang w:val="es-ES_tradnl"/>
              </w:rPr>
            </w:pPr>
            <w:r w:rsidRPr="00BF138D">
              <w:rPr>
                <w:b/>
                <w:color w:val="993300"/>
                <w:sz w:val="16"/>
                <w:szCs w:val="16"/>
                <w:lang w:val="es-ES_tradnl"/>
              </w:rPr>
              <w:t>Referencia actualizada a finales de 2011</w:t>
            </w:r>
            <w:r w:rsidRPr="009577DE">
              <w:rPr>
                <w:b/>
                <w:sz w:val="16"/>
                <w:szCs w:val="16"/>
                <w:lang w:val="es-ES_tradnl"/>
              </w:rPr>
              <w:t xml:space="preserve"> </w:t>
            </w:r>
          </w:p>
        </w:tc>
        <w:tc>
          <w:tcPr>
            <w:tcW w:w="1848" w:type="pct"/>
            <w:tcBorders>
              <w:top w:val="single" w:sz="4" w:space="0" w:color="auto"/>
            </w:tcBorders>
            <w:shd w:val="clear" w:color="auto" w:fill="FFFFFF"/>
            <w:tcMar>
              <w:top w:w="110" w:type="dxa"/>
            </w:tcMar>
            <w:vAlign w:val="center"/>
          </w:tcPr>
          <w:p w:rsidR="00B070BF" w:rsidRPr="009577DE" w:rsidRDefault="00B070BF" w:rsidP="00C33D4A">
            <w:pPr>
              <w:widowControl w:val="0"/>
              <w:spacing w:after="120"/>
              <w:rPr>
                <w:sz w:val="16"/>
                <w:szCs w:val="16"/>
                <w:lang w:val="es-ES_tradnl"/>
              </w:rPr>
            </w:pPr>
            <w:r w:rsidRPr="009577DE">
              <w:rPr>
                <w:b/>
                <w:bCs/>
                <w:sz w:val="16"/>
                <w:szCs w:val="16"/>
                <w:lang w:val="es-ES_tradnl"/>
              </w:rPr>
              <w:t>Datos sobre el rendimiento</w:t>
            </w:r>
          </w:p>
        </w:tc>
        <w:tc>
          <w:tcPr>
            <w:tcW w:w="557" w:type="pct"/>
            <w:tcBorders>
              <w:top w:val="single" w:sz="4" w:space="0" w:color="auto"/>
            </w:tcBorders>
            <w:shd w:val="clear" w:color="auto" w:fill="auto"/>
            <w:tcMar>
              <w:top w:w="110" w:type="dxa"/>
            </w:tcMar>
            <w:vAlign w:val="center"/>
          </w:tcPr>
          <w:p w:rsidR="00B070BF" w:rsidRPr="009577DE" w:rsidRDefault="00B070BF" w:rsidP="00C33D4A">
            <w:pPr>
              <w:widowControl w:val="0"/>
              <w:spacing w:after="120"/>
              <w:jc w:val="center"/>
              <w:rPr>
                <w:b/>
                <w:bCs/>
                <w:sz w:val="16"/>
                <w:szCs w:val="16"/>
                <w:lang w:val="es-ES_tradnl"/>
              </w:rPr>
            </w:pPr>
            <w:r w:rsidRPr="009577DE">
              <w:rPr>
                <w:b/>
                <w:bCs/>
                <w:sz w:val="16"/>
                <w:szCs w:val="16"/>
                <w:lang w:val="es-ES_tradnl"/>
              </w:rPr>
              <w:t>Clave de colores</w:t>
            </w:r>
          </w:p>
        </w:tc>
      </w:tr>
      <w:tr w:rsidR="00B070BF" w:rsidRPr="009577DE" w:rsidTr="00C33D4A">
        <w:trPr>
          <w:cantSplit/>
        </w:trPr>
        <w:tc>
          <w:tcPr>
            <w:tcW w:w="874" w:type="pct"/>
            <w:shd w:val="clear" w:color="auto" w:fill="FFFFFF"/>
          </w:tcPr>
          <w:p w:rsidR="00B070BF" w:rsidRPr="009577DE" w:rsidRDefault="00B070BF" w:rsidP="00C33D4A">
            <w:pPr>
              <w:widowControl w:val="0"/>
              <w:rPr>
                <w:sz w:val="16"/>
                <w:szCs w:val="16"/>
                <w:lang w:val="es-ES_tradnl"/>
              </w:rPr>
            </w:pPr>
            <w:r w:rsidRPr="009577DE">
              <w:rPr>
                <w:sz w:val="16"/>
                <w:szCs w:val="16"/>
                <w:lang w:val="es-ES_tradnl"/>
              </w:rPr>
              <w:t xml:space="preserve">Número de demandas relativas a los </w:t>
            </w:r>
            <w:proofErr w:type="spellStart"/>
            <w:r w:rsidRPr="009577DE">
              <w:rPr>
                <w:sz w:val="16"/>
                <w:szCs w:val="16"/>
                <w:lang w:val="es-ES_tradnl"/>
              </w:rPr>
              <w:t>gTLD</w:t>
            </w:r>
            <w:proofErr w:type="spellEnd"/>
            <w:r w:rsidRPr="009577DE">
              <w:rPr>
                <w:sz w:val="16"/>
                <w:szCs w:val="16"/>
                <w:lang w:val="es-ES_tradnl"/>
              </w:rPr>
              <w:t xml:space="preserve"> tramitadas en virtud de la Política Uniforme.</w:t>
            </w:r>
          </w:p>
          <w:p w:rsidR="00B070BF" w:rsidRPr="009577DE" w:rsidRDefault="00B070BF" w:rsidP="00C33D4A">
            <w:pPr>
              <w:widowControl w:val="0"/>
              <w:rPr>
                <w:sz w:val="16"/>
                <w:szCs w:val="16"/>
                <w:lang w:val="es-ES_tradnl"/>
              </w:rPr>
            </w:pPr>
          </w:p>
        </w:tc>
        <w:tc>
          <w:tcPr>
            <w:tcW w:w="805" w:type="pct"/>
            <w:shd w:val="clear" w:color="auto" w:fill="C0C0C0"/>
          </w:tcPr>
          <w:p w:rsidR="00B070BF" w:rsidRPr="009577DE" w:rsidRDefault="00B070BF" w:rsidP="00C33D4A">
            <w:pPr>
              <w:widowControl w:val="0"/>
              <w:rPr>
                <w:sz w:val="16"/>
                <w:szCs w:val="16"/>
                <w:lang w:val="es-ES_tradnl"/>
              </w:rPr>
            </w:pPr>
            <w:r w:rsidRPr="009577DE">
              <w:rPr>
                <w:sz w:val="16"/>
                <w:szCs w:val="16"/>
                <w:lang w:val="es-ES_tradnl"/>
              </w:rPr>
              <w:t xml:space="preserve">17.772 demandas relativas a </w:t>
            </w:r>
            <w:proofErr w:type="spellStart"/>
            <w:r w:rsidRPr="009577DE">
              <w:rPr>
                <w:sz w:val="16"/>
                <w:szCs w:val="16"/>
                <w:lang w:val="es-ES_tradnl"/>
              </w:rPr>
              <w:t>gTLD</w:t>
            </w:r>
            <w:proofErr w:type="spellEnd"/>
            <w:r w:rsidRPr="009577DE">
              <w:rPr>
                <w:sz w:val="16"/>
                <w:szCs w:val="16"/>
                <w:lang w:val="es-ES_tradnl"/>
              </w:rPr>
              <w:t xml:space="preserve"> (fin de 2010).</w:t>
            </w:r>
          </w:p>
        </w:tc>
        <w:tc>
          <w:tcPr>
            <w:tcW w:w="916" w:type="pct"/>
            <w:shd w:val="clear" w:color="auto" w:fill="auto"/>
            <w:tcMar>
              <w:top w:w="110" w:type="dxa"/>
            </w:tcMar>
          </w:tcPr>
          <w:p w:rsidR="00B070BF" w:rsidRPr="00D44D8F" w:rsidRDefault="00B070BF" w:rsidP="00C33D4A">
            <w:pPr>
              <w:widowControl w:val="0"/>
              <w:rPr>
                <w:color w:val="993300"/>
                <w:sz w:val="16"/>
                <w:szCs w:val="16"/>
                <w:lang w:val="es-ES_tradnl"/>
              </w:rPr>
            </w:pPr>
            <w:r w:rsidRPr="00D44D8F">
              <w:rPr>
                <w:color w:val="993300"/>
                <w:sz w:val="16"/>
                <w:szCs w:val="16"/>
                <w:lang w:val="es-ES_tradnl"/>
              </w:rPr>
              <w:t xml:space="preserve">20.095 demandas relativas a los </w:t>
            </w:r>
            <w:proofErr w:type="spellStart"/>
            <w:r w:rsidRPr="00D44D8F">
              <w:rPr>
                <w:color w:val="993300"/>
                <w:sz w:val="16"/>
                <w:szCs w:val="16"/>
                <w:lang w:val="es-ES_tradnl"/>
              </w:rPr>
              <w:t>gTLD</w:t>
            </w:r>
            <w:proofErr w:type="spellEnd"/>
            <w:r w:rsidRPr="00D44D8F">
              <w:rPr>
                <w:color w:val="993300"/>
                <w:sz w:val="16"/>
                <w:szCs w:val="16"/>
                <w:lang w:val="es-ES_tradnl"/>
              </w:rPr>
              <w:t xml:space="preserve"> (fin de 2011)</w:t>
            </w:r>
          </w:p>
        </w:tc>
        <w:tc>
          <w:tcPr>
            <w:tcW w:w="1848" w:type="pct"/>
            <w:shd w:val="clear" w:color="auto" w:fill="FFFFFF"/>
            <w:tcMar>
              <w:top w:w="110" w:type="dxa"/>
            </w:tcMar>
          </w:tcPr>
          <w:p w:rsidR="00B070BF" w:rsidRPr="009577DE" w:rsidRDefault="00B070BF" w:rsidP="00C33D4A">
            <w:pPr>
              <w:widowControl w:val="0"/>
              <w:rPr>
                <w:sz w:val="16"/>
                <w:szCs w:val="16"/>
                <w:lang w:val="es-ES_tradnl" w:bidi="th-TH"/>
              </w:rPr>
            </w:pPr>
            <w:r w:rsidRPr="009577DE">
              <w:rPr>
                <w:sz w:val="16"/>
                <w:szCs w:val="16"/>
                <w:lang w:val="es-ES_tradnl" w:bidi="th-TH"/>
              </w:rPr>
              <w:t>2.549 demandas adicionales</w:t>
            </w:r>
          </w:p>
        </w:tc>
        <w:tc>
          <w:tcPr>
            <w:tcW w:w="557" w:type="pct"/>
            <w:shd w:val="clear" w:color="auto" w:fill="auto"/>
            <w:tcMar>
              <w:top w:w="110" w:type="dxa"/>
            </w:tcMar>
          </w:tcPr>
          <w:p w:rsidR="00B070BF" w:rsidRPr="009577DE" w:rsidRDefault="00B070BF" w:rsidP="00C33D4A">
            <w:pPr>
              <w:widowControl w:val="0"/>
              <w:jc w:val="center"/>
              <w:rPr>
                <w:b/>
                <w:sz w:val="16"/>
                <w:szCs w:val="16"/>
                <w:lang w:val="es-ES_tradnl"/>
              </w:rPr>
            </w:pPr>
            <w:r w:rsidRPr="009577DE">
              <w:rPr>
                <w:b/>
                <w:color w:val="008000"/>
                <w:sz w:val="16"/>
                <w:szCs w:val="16"/>
                <w:lang w:val="es-ES_tradnl"/>
              </w:rPr>
              <w:t>Progresa con normalidad</w:t>
            </w:r>
          </w:p>
        </w:tc>
      </w:tr>
      <w:tr w:rsidR="00B070BF" w:rsidRPr="009577DE" w:rsidTr="00C33D4A">
        <w:trPr>
          <w:cantSplit/>
        </w:trPr>
        <w:tc>
          <w:tcPr>
            <w:tcW w:w="874" w:type="pct"/>
            <w:shd w:val="clear" w:color="auto" w:fill="auto"/>
          </w:tcPr>
          <w:p w:rsidR="00B070BF" w:rsidRPr="009577DE" w:rsidRDefault="00B070BF" w:rsidP="00C33D4A">
            <w:pPr>
              <w:widowControl w:val="0"/>
              <w:rPr>
                <w:sz w:val="16"/>
                <w:szCs w:val="16"/>
                <w:lang w:val="es-ES_tradnl"/>
              </w:rPr>
            </w:pPr>
            <w:r w:rsidRPr="009577DE">
              <w:rPr>
                <w:sz w:val="16"/>
                <w:szCs w:val="16"/>
                <w:lang w:val="es-ES_tradnl"/>
              </w:rPr>
              <w:t xml:space="preserve">Número de demandas relativas a los </w:t>
            </w:r>
            <w:proofErr w:type="spellStart"/>
            <w:r w:rsidRPr="009577DE">
              <w:rPr>
                <w:sz w:val="16"/>
                <w:szCs w:val="16"/>
                <w:lang w:val="es-ES_tradnl"/>
              </w:rPr>
              <w:t>ccTLD</w:t>
            </w:r>
            <w:proofErr w:type="spellEnd"/>
            <w:r w:rsidRPr="009577DE">
              <w:rPr>
                <w:sz w:val="16"/>
                <w:szCs w:val="16"/>
                <w:lang w:val="es-ES_tradnl"/>
              </w:rPr>
              <w:t xml:space="preserve"> tramitadas en virtud de la Política Uniforme.</w:t>
            </w:r>
          </w:p>
        </w:tc>
        <w:tc>
          <w:tcPr>
            <w:tcW w:w="805" w:type="pct"/>
            <w:shd w:val="clear" w:color="auto" w:fill="B3B3B3"/>
          </w:tcPr>
          <w:p w:rsidR="00B070BF" w:rsidRPr="009577DE" w:rsidRDefault="00B070BF" w:rsidP="00C33D4A">
            <w:pPr>
              <w:widowControl w:val="0"/>
              <w:rPr>
                <w:sz w:val="16"/>
                <w:szCs w:val="16"/>
                <w:lang w:val="es-ES_tradnl"/>
              </w:rPr>
            </w:pPr>
            <w:r w:rsidRPr="009577DE">
              <w:rPr>
                <w:sz w:val="16"/>
                <w:szCs w:val="16"/>
                <w:lang w:val="es-ES_tradnl"/>
              </w:rPr>
              <w:t xml:space="preserve">1.694 demandas relacionadas únicamente con </w:t>
            </w:r>
            <w:proofErr w:type="spellStart"/>
            <w:r w:rsidRPr="009577DE">
              <w:rPr>
                <w:sz w:val="16"/>
                <w:szCs w:val="16"/>
                <w:lang w:val="es-ES_tradnl"/>
              </w:rPr>
              <w:t>ccTLD</w:t>
            </w:r>
            <w:proofErr w:type="spellEnd"/>
            <w:r w:rsidRPr="009577DE">
              <w:rPr>
                <w:sz w:val="16"/>
                <w:szCs w:val="16"/>
                <w:lang w:val="es-ES_tradnl"/>
              </w:rPr>
              <w:t xml:space="preserve"> administradas por el Centro de Arbitraje (fin 2010).</w:t>
            </w:r>
          </w:p>
        </w:tc>
        <w:tc>
          <w:tcPr>
            <w:tcW w:w="916" w:type="pct"/>
            <w:shd w:val="clear" w:color="auto" w:fill="auto"/>
            <w:tcMar>
              <w:top w:w="110" w:type="dxa"/>
            </w:tcMar>
          </w:tcPr>
          <w:p w:rsidR="00B070BF" w:rsidRPr="00D44D8F" w:rsidRDefault="00B070BF" w:rsidP="00C33D4A">
            <w:pPr>
              <w:widowControl w:val="0"/>
              <w:rPr>
                <w:color w:val="993300"/>
                <w:sz w:val="16"/>
                <w:szCs w:val="16"/>
                <w:lang w:val="es-ES_tradnl"/>
              </w:rPr>
            </w:pPr>
            <w:r w:rsidRPr="00D44D8F">
              <w:rPr>
                <w:color w:val="993300"/>
                <w:sz w:val="16"/>
                <w:szCs w:val="16"/>
                <w:lang w:val="es-ES_tradnl"/>
              </w:rPr>
              <w:t xml:space="preserve">2.135 demandas relacionadas únicamente con </w:t>
            </w:r>
            <w:proofErr w:type="spellStart"/>
            <w:r w:rsidRPr="00D44D8F">
              <w:rPr>
                <w:color w:val="993300"/>
                <w:sz w:val="16"/>
                <w:szCs w:val="16"/>
                <w:lang w:val="es-ES_tradnl"/>
              </w:rPr>
              <w:t>ccTLD</w:t>
            </w:r>
            <w:proofErr w:type="spellEnd"/>
            <w:r w:rsidRPr="00D44D8F">
              <w:rPr>
                <w:color w:val="993300"/>
                <w:sz w:val="16"/>
                <w:szCs w:val="16"/>
                <w:lang w:val="es-ES_tradnl"/>
              </w:rPr>
              <w:t xml:space="preserve"> administradas por el Centro de Arbitraje (fin de 2011).</w:t>
            </w:r>
          </w:p>
        </w:tc>
        <w:tc>
          <w:tcPr>
            <w:tcW w:w="1848" w:type="pct"/>
            <w:shd w:val="clear" w:color="auto" w:fill="FFFFFF"/>
            <w:tcMar>
              <w:top w:w="110" w:type="dxa"/>
            </w:tcMar>
          </w:tcPr>
          <w:p w:rsidR="00B070BF" w:rsidRPr="009577DE" w:rsidRDefault="00B070BF" w:rsidP="00C33D4A">
            <w:pPr>
              <w:widowControl w:val="0"/>
              <w:rPr>
                <w:sz w:val="16"/>
                <w:szCs w:val="16"/>
                <w:lang w:val="es-ES_tradnl" w:bidi="th-TH"/>
              </w:rPr>
            </w:pPr>
            <w:r w:rsidRPr="009577DE">
              <w:rPr>
                <w:sz w:val="16"/>
                <w:szCs w:val="16"/>
                <w:lang w:val="es-ES_tradnl" w:bidi="th-TH"/>
              </w:rPr>
              <w:t>335 demandas adicionales</w:t>
            </w:r>
          </w:p>
        </w:tc>
        <w:tc>
          <w:tcPr>
            <w:tcW w:w="557" w:type="pct"/>
            <w:shd w:val="clear" w:color="auto" w:fill="auto"/>
          </w:tcPr>
          <w:p w:rsidR="00B070BF" w:rsidRPr="009577DE" w:rsidRDefault="00B070BF" w:rsidP="00C33D4A">
            <w:pPr>
              <w:widowControl w:val="0"/>
              <w:jc w:val="center"/>
              <w:rPr>
                <w:b/>
                <w:sz w:val="16"/>
                <w:szCs w:val="16"/>
                <w:lang w:val="es-ES_tradnl"/>
              </w:rPr>
            </w:pPr>
            <w:r w:rsidRPr="009577DE">
              <w:rPr>
                <w:b/>
                <w:color w:val="008000"/>
                <w:sz w:val="16"/>
                <w:szCs w:val="16"/>
                <w:lang w:val="es-ES_tradnl"/>
              </w:rPr>
              <w:t>Progresa con normalidad</w:t>
            </w:r>
          </w:p>
        </w:tc>
      </w:tr>
      <w:tr w:rsidR="00B070BF" w:rsidRPr="009577DE" w:rsidTr="00C33D4A">
        <w:trPr>
          <w:cantSplit/>
        </w:trPr>
        <w:tc>
          <w:tcPr>
            <w:tcW w:w="874" w:type="pct"/>
            <w:shd w:val="clear" w:color="auto" w:fill="auto"/>
          </w:tcPr>
          <w:p w:rsidR="00B070BF" w:rsidRPr="009577DE" w:rsidRDefault="00B070BF" w:rsidP="00C33D4A">
            <w:pPr>
              <w:widowControl w:val="0"/>
              <w:rPr>
                <w:sz w:val="16"/>
                <w:szCs w:val="16"/>
                <w:lang w:val="es-ES_tradnl"/>
              </w:rPr>
            </w:pPr>
            <w:r w:rsidRPr="009577DE">
              <w:rPr>
                <w:sz w:val="16"/>
                <w:szCs w:val="16"/>
                <w:lang w:val="es-ES_tradnl"/>
              </w:rPr>
              <w:t>Políticas de solución de controversias en el sistema de nombres de dominio a cuyo desarrollo y aplicación ha contribuido el Centro de Arbitraje y Mediación de la OMPI.</w:t>
            </w:r>
          </w:p>
        </w:tc>
        <w:tc>
          <w:tcPr>
            <w:tcW w:w="805" w:type="pct"/>
            <w:shd w:val="clear" w:color="auto" w:fill="B3B3B3"/>
          </w:tcPr>
          <w:p w:rsidR="00B070BF" w:rsidRPr="009577DE" w:rsidRDefault="00B070BF" w:rsidP="00C33D4A">
            <w:pPr>
              <w:widowControl w:val="0"/>
              <w:rPr>
                <w:sz w:val="16"/>
                <w:szCs w:val="16"/>
                <w:lang w:val="es-ES_tradnl"/>
              </w:rPr>
            </w:pPr>
            <w:r w:rsidRPr="009577DE">
              <w:rPr>
                <w:sz w:val="16"/>
                <w:szCs w:val="16"/>
                <w:lang w:val="es-ES_tradnl"/>
              </w:rPr>
              <w:t>Política Uniforme de solución de Controversias en materia de Nombres de Dominio (única adoptada hasta el fin de 2010, desde varios años antes).</w:t>
            </w:r>
          </w:p>
        </w:tc>
        <w:tc>
          <w:tcPr>
            <w:tcW w:w="916" w:type="pct"/>
            <w:shd w:val="clear" w:color="auto" w:fill="auto"/>
            <w:tcMar>
              <w:top w:w="110" w:type="dxa"/>
            </w:tcMar>
          </w:tcPr>
          <w:p w:rsidR="00B070BF" w:rsidRPr="00D44D8F" w:rsidRDefault="00B070BF" w:rsidP="00C33D4A">
            <w:pPr>
              <w:widowControl w:val="0"/>
              <w:rPr>
                <w:color w:val="993300"/>
                <w:sz w:val="16"/>
                <w:szCs w:val="16"/>
                <w:lang w:val="es-ES_tradnl"/>
              </w:rPr>
            </w:pPr>
            <w:r w:rsidRPr="00D44D8F">
              <w:rPr>
                <w:color w:val="993300"/>
                <w:sz w:val="16"/>
                <w:szCs w:val="16"/>
                <w:lang w:val="es-ES_tradnl"/>
              </w:rPr>
              <w:t>Política Uniforme de solución de Controversias en materia de Nombres de Dominio (única adoptada hasta el fin de 2011, desde varios años antes).</w:t>
            </w:r>
          </w:p>
        </w:tc>
        <w:tc>
          <w:tcPr>
            <w:tcW w:w="1848" w:type="pct"/>
            <w:shd w:val="clear" w:color="auto" w:fill="FFFFFF"/>
            <w:tcMar>
              <w:top w:w="110" w:type="dxa"/>
            </w:tcMar>
          </w:tcPr>
          <w:p w:rsidR="00B070BF" w:rsidRPr="009577DE" w:rsidRDefault="00B070BF" w:rsidP="00C33D4A">
            <w:pPr>
              <w:rPr>
                <w:lang w:val="es-ES_tradnl"/>
              </w:rPr>
            </w:pPr>
            <w:r w:rsidRPr="009577DE">
              <w:rPr>
                <w:sz w:val="16"/>
                <w:szCs w:val="16"/>
                <w:lang w:val="es-ES_tradnl" w:bidi="th-TH"/>
              </w:rPr>
              <w:t xml:space="preserve">Introducción del procedimiento de objeciones relativas a derechos de terceros basado en marcas contra nuevos </w:t>
            </w:r>
            <w:proofErr w:type="spellStart"/>
            <w:r w:rsidRPr="009577DE">
              <w:rPr>
                <w:sz w:val="16"/>
                <w:szCs w:val="16"/>
                <w:lang w:val="es-ES_tradnl" w:bidi="th-TH"/>
              </w:rPr>
              <w:t>gTLD</w:t>
            </w:r>
            <w:proofErr w:type="spellEnd"/>
            <w:r w:rsidRPr="009577DE">
              <w:rPr>
                <w:sz w:val="16"/>
                <w:szCs w:val="16"/>
                <w:lang w:val="es-ES_tradnl" w:bidi="th-TH"/>
              </w:rPr>
              <w:t xml:space="preserve"> propuestos</w:t>
            </w:r>
            <w:r w:rsidRPr="009577DE">
              <w:rPr>
                <w:sz w:val="24"/>
                <w:szCs w:val="24"/>
                <w:lang w:val="es-ES_tradnl"/>
              </w:rPr>
              <w:t xml:space="preserve"> </w:t>
            </w:r>
          </w:p>
          <w:p w:rsidR="00B070BF" w:rsidRPr="009577DE" w:rsidRDefault="00B070BF" w:rsidP="00C33D4A">
            <w:pPr>
              <w:widowControl w:val="0"/>
              <w:rPr>
                <w:sz w:val="16"/>
                <w:szCs w:val="16"/>
                <w:lang w:val="es-ES_tradnl" w:bidi="th-TH"/>
              </w:rPr>
            </w:pPr>
          </w:p>
          <w:p w:rsidR="00B070BF" w:rsidRPr="009577DE" w:rsidRDefault="00B070BF" w:rsidP="00C33D4A">
            <w:pPr>
              <w:widowControl w:val="0"/>
              <w:rPr>
                <w:sz w:val="16"/>
                <w:szCs w:val="16"/>
                <w:lang w:val="es-ES_tradnl" w:bidi="th-TH"/>
              </w:rPr>
            </w:pPr>
          </w:p>
        </w:tc>
        <w:tc>
          <w:tcPr>
            <w:tcW w:w="557" w:type="pct"/>
            <w:shd w:val="clear" w:color="auto" w:fill="auto"/>
            <w:tcMar>
              <w:top w:w="110" w:type="dxa"/>
            </w:tcMar>
            <w:vAlign w:val="center"/>
          </w:tcPr>
          <w:p w:rsidR="00B070BF" w:rsidRPr="009577DE" w:rsidRDefault="00B070BF" w:rsidP="00C33D4A">
            <w:pPr>
              <w:widowControl w:val="0"/>
              <w:jc w:val="center"/>
              <w:rPr>
                <w:b/>
                <w:sz w:val="16"/>
                <w:szCs w:val="16"/>
                <w:lang w:val="es-ES_tradnl"/>
              </w:rPr>
            </w:pPr>
            <w:r w:rsidRPr="009577DE">
              <w:rPr>
                <w:b/>
                <w:color w:val="008000"/>
                <w:sz w:val="16"/>
                <w:szCs w:val="16"/>
                <w:lang w:val="es-ES_tradnl"/>
              </w:rPr>
              <w:t>Progresa con normalidad</w:t>
            </w:r>
          </w:p>
          <w:p w:rsidR="00B070BF" w:rsidRPr="009577DE" w:rsidRDefault="00B070BF" w:rsidP="00C33D4A">
            <w:pPr>
              <w:widowControl w:val="0"/>
              <w:spacing w:after="120"/>
              <w:jc w:val="center"/>
              <w:rPr>
                <w:b/>
                <w:sz w:val="16"/>
                <w:szCs w:val="16"/>
                <w:lang w:val="es-ES_tradnl"/>
              </w:rPr>
            </w:pPr>
          </w:p>
          <w:p w:rsidR="00B070BF" w:rsidRPr="009577DE" w:rsidRDefault="00B070BF" w:rsidP="00C33D4A">
            <w:pPr>
              <w:widowControl w:val="0"/>
              <w:spacing w:after="120"/>
              <w:jc w:val="center"/>
              <w:rPr>
                <w:b/>
                <w:sz w:val="16"/>
                <w:szCs w:val="16"/>
                <w:lang w:val="es-ES_tradnl"/>
              </w:rPr>
            </w:pPr>
          </w:p>
          <w:p w:rsidR="00B070BF" w:rsidRPr="009577DE" w:rsidRDefault="00B070BF" w:rsidP="00C33D4A">
            <w:pPr>
              <w:widowControl w:val="0"/>
              <w:spacing w:after="120"/>
              <w:jc w:val="center"/>
              <w:rPr>
                <w:b/>
                <w:sz w:val="16"/>
                <w:szCs w:val="16"/>
                <w:lang w:val="es-ES_tradnl"/>
              </w:rPr>
            </w:pPr>
          </w:p>
          <w:p w:rsidR="00B070BF" w:rsidRPr="009577DE" w:rsidRDefault="00B070BF" w:rsidP="00C33D4A">
            <w:pPr>
              <w:widowControl w:val="0"/>
              <w:spacing w:after="120"/>
              <w:jc w:val="center"/>
              <w:rPr>
                <w:b/>
                <w:sz w:val="16"/>
                <w:szCs w:val="16"/>
                <w:lang w:val="es-ES_tradnl"/>
              </w:rPr>
            </w:pPr>
          </w:p>
          <w:p w:rsidR="00B070BF" w:rsidRPr="009577DE" w:rsidRDefault="00B070BF" w:rsidP="00C33D4A">
            <w:pPr>
              <w:widowControl w:val="0"/>
              <w:spacing w:after="120"/>
              <w:jc w:val="center"/>
              <w:rPr>
                <w:b/>
                <w:sz w:val="16"/>
                <w:szCs w:val="16"/>
                <w:lang w:val="es-ES_tradnl"/>
              </w:rPr>
            </w:pPr>
          </w:p>
        </w:tc>
      </w:tr>
      <w:tr w:rsidR="00B070BF" w:rsidRPr="009577DE" w:rsidTr="00C33D4A">
        <w:trPr>
          <w:cantSplit/>
        </w:trPr>
        <w:tc>
          <w:tcPr>
            <w:tcW w:w="874" w:type="pct"/>
            <w:shd w:val="clear" w:color="auto" w:fill="auto"/>
          </w:tcPr>
          <w:p w:rsidR="00B070BF" w:rsidRPr="009577DE" w:rsidRDefault="00B070BF" w:rsidP="00C33D4A">
            <w:pPr>
              <w:widowControl w:val="0"/>
              <w:rPr>
                <w:sz w:val="16"/>
                <w:szCs w:val="16"/>
                <w:lang w:val="es-ES_tradnl"/>
              </w:rPr>
            </w:pPr>
          </w:p>
        </w:tc>
        <w:tc>
          <w:tcPr>
            <w:tcW w:w="805" w:type="pct"/>
            <w:shd w:val="clear" w:color="auto" w:fill="B3B3B3"/>
          </w:tcPr>
          <w:p w:rsidR="00B070BF" w:rsidRPr="009577DE" w:rsidRDefault="00B070BF" w:rsidP="00C33D4A">
            <w:pPr>
              <w:widowControl w:val="0"/>
              <w:rPr>
                <w:sz w:val="16"/>
                <w:szCs w:val="16"/>
                <w:lang w:val="es-ES_tradnl"/>
              </w:rPr>
            </w:pPr>
          </w:p>
        </w:tc>
        <w:tc>
          <w:tcPr>
            <w:tcW w:w="916" w:type="pct"/>
            <w:shd w:val="clear" w:color="auto" w:fill="auto"/>
            <w:tcMar>
              <w:top w:w="110" w:type="dxa"/>
            </w:tcMar>
          </w:tcPr>
          <w:p w:rsidR="00B070BF" w:rsidRPr="009577DE" w:rsidRDefault="00B070BF" w:rsidP="00C33D4A">
            <w:pPr>
              <w:widowControl w:val="0"/>
              <w:rPr>
                <w:sz w:val="16"/>
                <w:szCs w:val="16"/>
                <w:lang w:val="es-ES_tradnl"/>
              </w:rPr>
            </w:pPr>
          </w:p>
        </w:tc>
        <w:tc>
          <w:tcPr>
            <w:tcW w:w="1848" w:type="pct"/>
            <w:shd w:val="clear" w:color="auto" w:fill="FFFFFF"/>
            <w:tcMar>
              <w:top w:w="110" w:type="dxa"/>
            </w:tcMar>
          </w:tcPr>
          <w:p w:rsidR="00B070BF" w:rsidRPr="009577DE" w:rsidRDefault="00B070BF" w:rsidP="00C33D4A">
            <w:pPr>
              <w:rPr>
                <w:sz w:val="16"/>
                <w:szCs w:val="16"/>
                <w:lang w:val="es-ES_tradnl" w:bidi="th-TH"/>
              </w:rPr>
            </w:pPr>
          </w:p>
        </w:tc>
        <w:tc>
          <w:tcPr>
            <w:tcW w:w="557" w:type="pct"/>
            <w:shd w:val="clear" w:color="auto" w:fill="auto"/>
            <w:tcMar>
              <w:top w:w="110" w:type="dxa"/>
            </w:tcMar>
            <w:vAlign w:val="center"/>
          </w:tcPr>
          <w:p w:rsidR="00B070BF" w:rsidRPr="009577DE" w:rsidRDefault="00B070BF" w:rsidP="00C33D4A">
            <w:pPr>
              <w:widowControl w:val="0"/>
              <w:jc w:val="center"/>
              <w:rPr>
                <w:b/>
                <w:sz w:val="16"/>
                <w:szCs w:val="16"/>
                <w:lang w:val="es-ES_tradnl"/>
              </w:rPr>
            </w:pPr>
          </w:p>
        </w:tc>
      </w:tr>
      <w:tr w:rsidR="00B070BF" w:rsidRPr="009577DE" w:rsidTr="00C33D4A">
        <w:trPr>
          <w:cantSplit/>
        </w:trPr>
        <w:tc>
          <w:tcPr>
            <w:tcW w:w="874" w:type="pct"/>
            <w:shd w:val="clear" w:color="auto" w:fill="auto"/>
          </w:tcPr>
          <w:p w:rsidR="00B070BF" w:rsidRPr="009577DE" w:rsidRDefault="00B070BF" w:rsidP="00C33D4A">
            <w:pPr>
              <w:widowControl w:val="0"/>
              <w:rPr>
                <w:sz w:val="16"/>
                <w:szCs w:val="16"/>
                <w:lang w:val="es-ES_tradnl"/>
              </w:rPr>
            </w:pPr>
            <w:r w:rsidRPr="009577DE">
              <w:rPr>
                <w:sz w:val="16"/>
                <w:szCs w:val="16"/>
                <w:lang w:val="es-ES_tradnl"/>
              </w:rPr>
              <w:t xml:space="preserve">Número de administradores de </w:t>
            </w:r>
            <w:proofErr w:type="spellStart"/>
            <w:r w:rsidRPr="009577DE">
              <w:rPr>
                <w:sz w:val="16"/>
                <w:szCs w:val="16"/>
                <w:lang w:val="es-ES_tradnl"/>
              </w:rPr>
              <w:t>ccTLD</w:t>
            </w:r>
            <w:proofErr w:type="spellEnd"/>
            <w:r w:rsidRPr="009577DE">
              <w:rPr>
                <w:sz w:val="16"/>
                <w:szCs w:val="16"/>
                <w:lang w:val="es-ES_tradnl"/>
              </w:rPr>
              <w:t xml:space="preserve"> que disponen de mecanismos de protección de P.I. mejor concebidos o administrados, de conformidad con las normas internacionales.</w:t>
            </w:r>
          </w:p>
          <w:p w:rsidR="00B070BF" w:rsidRPr="009577DE" w:rsidRDefault="00B070BF" w:rsidP="00C33D4A">
            <w:pPr>
              <w:widowControl w:val="0"/>
              <w:rPr>
                <w:sz w:val="16"/>
                <w:szCs w:val="16"/>
                <w:lang w:val="es-ES_tradnl"/>
              </w:rPr>
            </w:pPr>
          </w:p>
        </w:tc>
        <w:tc>
          <w:tcPr>
            <w:tcW w:w="805" w:type="pct"/>
            <w:shd w:val="clear" w:color="auto" w:fill="B3B3B3"/>
          </w:tcPr>
          <w:p w:rsidR="00B070BF" w:rsidRPr="009577DE" w:rsidRDefault="00B070BF" w:rsidP="00C33D4A">
            <w:pPr>
              <w:widowControl w:val="0"/>
              <w:rPr>
                <w:sz w:val="16"/>
                <w:szCs w:val="16"/>
                <w:lang w:val="es-ES_tradnl"/>
              </w:rPr>
            </w:pPr>
            <w:r w:rsidRPr="009577DE">
              <w:rPr>
                <w:sz w:val="16"/>
                <w:szCs w:val="16"/>
                <w:lang w:val="es-ES_tradnl"/>
              </w:rPr>
              <w:t xml:space="preserve">65 administradores de </w:t>
            </w:r>
            <w:proofErr w:type="spellStart"/>
            <w:r w:rsidRPr="009577DE">
              <w:rPr>
                <w:sz w:val="16"/>
                <w:szCs w:val="16"/>
                <w:lang w:val="es-ES_tradnl"/>
              </w:rPr>
              <w:t>ccTLD</w:t>
            </w:r>
            <w:proofErr w:type="spellEnd"/>
            <w:r w:rsidRPr="009577DE">
              <w:rPr>
                <w:sz w:val="16"/>
                <w:szCs w:val="16"/>
                <w:lang w:val="es-ES_tradnl"/>
              </w:rPr>
              <w:t xml:space="preserve"> (fin 2010).</w:t>
            </w:r>
          </w:p>
        </w:tc>
        <w:tc>
          <w:tcPr>
            <w:tcW w:w="916" w:type="pct"/>
            <w:shd w:val="clear" w:color="auto" w:fill="auto"/>
            <w:tcMar>
              <w:top w:w="110" w:type="dxa"/>
            </w:tcMar>
          </w:tcPr>
          <w:p w:rsidR="00B070BF" w:rsidRPr="00D44D8F" w:rsidRDefault="00B070BF" w:rsidP="00C33D4A">
            <w:pPr>
              <w:widowControl w:val="0"/>
              <w:rPr>
                <w:color w:val="993300"/>
                <w:sz w:val="16"/>
                <w:szCs w:val="16"/>
                <w:lang w:val="es-ES_tradnl"/>
              </w:rPr>
            </w:pPr>
            <w:r w:rsidRPr="00D44D8F">
              <w:rPr>
                <w:color w:val="993300"/>
                <w:sz w:val="16"/>
                <w:szCs w:val="16"/>
                <w:lang w:val="es-ES_tradnl"/>
              </w:rPr>
              <w:t xml:space="preserve">65 administradores de </w:t>
            </w:r>
            <w:proofErr w:type="spellStart"/>
            <w:r w:rsidRPr="00D44D8F">
              <w:rPr>
                <w:color w:val="993300"/>
                <w:sz w:val="16"/>
                <w:szCs w:val="16"/>
                <w:lang w:val="es-ES_tradnl"/>
              </w:rPr>
              <w:t>ccTLD</w:t>
            </w:r>
            <w:proofErr w:type="spellEnd"/>
            <w:r w:rsidRPr="00D44D8F">
              <w:rPr>
                <w:color w:val="993300"/>
                <w:sz w:val="16"/>
                <w:szCs w:val="16"/>
                <w:lang w:val="es-ES_tradnl"/>
              </w:rPr>
              <w:t xml:space="preserve"> (fin de 2011).</w:t>
            </w:r>
          </w:p>
          <w:p w:rsidR="00B070BF" w:rsidRPr="009577DE" w:rsidRDefault="00B070BF" w:rsidP="00C33D4A">
            <w:pPr>
              <w:widowControl w:val="0"/>
              <w:rPr>
                <w:sz w:val="16"/>
                <w:szCs w:val="16"/>
                <w:lang w:val="es-ES_tradnl"/>
              </w:rPr>
            </w:pPr>
          </w:p>
        </w:tc>
        <w:tc>
          <w:tcPr>
            <w:tcW w:w="1848" w:type="pct"/>
            <w:shd w:val="clear" w:color="auto" w:fill="FFFFFF"/>
            <w:tcMar>
              <w:top w:w="110" w:type="dxa"/>
            </w:tcMar>
          </w:tcPr>
          <w:p w:rsidR="00B070BF" w:rsidRPr="009577DE" w:rsidRDefault="00B070BF" w:rsidP="00C33D4A">
            <w:pPr>
              <w:widowControl w:val="0"/>
              <w:rPr>
                <w:sz w:val="16"/>
                <w:szCs w:val="16"/>
                <w:lang w:val="es-ES_tradnl"/>
              </w:rPr>
            </w:pPr>
            <w:r w:rsidRPr="009577DE">
              <w:rPr>
                <w:sz w:val="16"/>
                <w:szCs w:val="16"/>
                <w:lang w:val="es-ES_tradnl" w:bidi="th-TH"/>
              </w:rPr>
              <w:t>Dos administradores adicionales.</w:t>
            </w:r>
          </w:p>
        </w:tc>
        <w:tc>
          <w:tcPr>
            <w:tcW w:w="557" w:type="pct"/>
            <w:shd w:val="clear" w:color="auto" w:fill="auto"/>
          </w:tcPr>
          <w:p w:rsidR="00B070BF" w:rsidRPr="009577DE" w:rsidRDefault="00B070BF" w:rsidP="00C33D4A">
            <w:pPr>
              <w:widowControl w:val="0"/>
              <w:jc w:val="center"/>
              <w:rPr>
                <w:b/>
                <w:sz w:val="16"/>
                <w:szCs w:val="16"/>
                <w:lang w:val="es-ES_tradnl"/>
              </w:rPr>
            </w:pPr>
            <w:r w:rsidRPr="009577DE">
              <w:rPr>
                <w:b/>
                <w:color w:val="008000"/>
                <w:sz w:val="16"/>
                <w:szCs w:val="16"/>
                <w:lang w:val="es-ES_tradnl"/>
              </w:rPr>
              <w:t>Progresa con normalidad</w:t>
            </w:r>
          </w:p>
          <w:p w:rsidR="00B070BF" w:rsidRPr="009577DE" w:rsidRDefault="00B070BF" w:rsidP="00C33D4A">
            <w:pPr>
              <w:widowControl w:val="0"/>
              <w:jc w:val="center"/>
              <w:rPr>
                <w:bCs/>
                <w:sz w:val="16"/>
                <w:szCs w:val="16"/>
                <w:lang w:val="es-ES_tradnl"/>
              </w:rPr>
            </w:pPr>
          </w:p>
          <w:p w:rsidR="00B070BF" w:rsidRPr="009577DE" w:rsidRDefault="00B070BF" w:rsidP="00C33D4A">
            <w:pPr>
              <w:widowControl w:val="0"/>
              <w:jc w:val="center"/>
              <w:rPr>
                <w:bCs/>
                <w:sz w:val="16"/>
                <w:szCs w:val="16"/>
                <w:lang w:val="es-ES_tradnl"/>
              </w:rPr>
            </w:pPr>
          </w:p>
        </w:tc>
      </w:tr>
    </w:tbl>
    <w:p w:rsidR="00B070BF" w:rsidRPr="009577DE" w:rsidRDefault="00B070BF" w:rsidP="00B070BF">
      <w:pPr>
        <w:widowControl w:val="0"/>
        <w:rPr>
          <w:sz w:val="20"/>
          <w:szCs w:val="22"/>
          <w:lang w:val="es-ES_tradnl"/>
        </w:rPr>
      </w:pPr>
    </w:p>
    <w:p w:rsidR="00B070BF" w:rsidRPr="009577DE" w:rsidRDefault="00B070BF" w:rsidP="00B070BF">
      <w:pPr>
        <w:widowControl w:val="0"/>
        <w:rPr>
          <w:sz w:val="20"/>
          <w:szCs w:val="22"/>
          <w:lang w:val="es-ES_tradnl"/>
        </w:rPr>
      </w:pPr>
    </w:p>
    <w:p w:rsidR="00B070BF" w:rsidRPr="009577DE" w:rsidRDefault="00B070BF" w:rsidP="00B070BF">
      <w:pPr>
        <w:widowControl w:val="0"/>
        <w:rPr>
          <w:sz w:val="20"/>
          <w:szCs w:val="22"/>
          <w:lang w:val="es-ES_tradnl"/>
        </w:rPr>
      </w:pPr>
      <w:r w:rsidRPr="009577DE">
        <w:rPr>
          <w:sz w:val="20"/>
          <w:szCs w:val="22"/>
          <w:lang w:val="es-ES_tradnl"/>
        </w:rPr>
        <w:t>PRESUPUESTO Y GASTOS REALES</w:t>
      </w:r>
    </w:p>
    <w:p w:rsidR="00B070BF" w:rsidRPr="0028075A" w:rsidRDefault="00B070BF" w:rsidP="00B070BF">
      <w:pPr>
        <w:widowControl w:val="0"/>
        <w:rPr>
          <w:sz w:val="20"/>
          <w:lang w:val="es-ES_tradnl"/>
        </w:rPr>
      </w:pPr>
    </w:p>
    <w:p w:rsidR="00B070BF" w:rsidRPr="0028075A" w:rsidRDefault="00B070BF" w:rsidP="00B070BF">
      <w:pPr>
        <w:widowControl w:val="0"/>
        <w:jc w:val="center"/>
        <w:rPr>
          <w:sz w:val="20"/>
          <w:lang w:val="es-ES_tradnl"/>
        </w:rPr>
      </w:pPr>
      <w:r w:rsidRPr="0028075A">
        <w:rPr>
          <w:sz w:val="20"/>
          <w:lang w:val="es-ES_tradnl"/>
        </w:rPr>
        <w:t>Presupuesto y gastos reales (por resultado)</w:t>
      </w:r>
    </w:p>
    <w:p w:rsidR="00B070BF" w:rsidRPr="009577DE" w:rsidRDefault="00B070BF" w:rsidP="00B070BF">
      <w:pPr>
        <w:widowControl w:val="0"/>
        <w:jc w:val="center"/>
        <w:rPr>
          <w:szCs w:val="22"/>
          <w:lang w:val="es-ES_tradnl"/>
        </w:rPr>
      </w:pPr>
      <w:r w:rsidRPr="0028075A">
        <w:rPr>
          <w:i/>
          <w:iCs/>
          <w:sz w:val="20"/>
          <w:lang w:val="es-ES_tradnl"/>
        </w:rPr>
        <w:t>(en miles de francos suizos)</w:t>
      </w:r>
      <w:r w:rsidRPr="0028075A">
        <w:rPr>
          <w:i/>
          <w:iCs/>
          <w:sz w:val="20"/>
          <w:lang w:val="es-ES_tradnl"/>
        </w:rPr>
        <w:br/>
      </w:r>
      <w:r w:rsidRPr="0028075A">
        <w:rPr>
          <w:sz w:val="20"/>
          <w:lang w:val="es-ES_tradnl"/>
        </w:rPr>
        <w:br/>
      </w:r>
      <w:r w:rsidRPr="009577DE">
        <w:rPr>
          <w:noProof/>
          <w:lang w:val="en-US" w:eastAsia="en-US"/>
        </w:rPr>
        <w:drawing>
          <wp:inline distT="0" distB="0" distL="0" distR="0" wp14:anchorId="3ECE3E6B" wp14:editId="093D687D">
            <wp:extent cx="5902325" cy="1424940"/>
            <wp:effectExtent l="0" t="0" r="3175" b="3810"/>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902325" cy="1424940"/>
                    </a:xfrm>
                    <a:prstGeom prst="rect">
                      <a:avLst/>
                    </a:prstGeom>
                    <a:noFill/>
                    <a:ln>
                      <a:noFill/>
                    </a:ln>
                  </pic:spPr>
                </pic:pic>
              </a:graphicData>
            </a:graphic>
          </wp:inline>
        </w:drawing>
      </w:r>
    </w:p>
    <w:p w:rsidR="00B070BF" w:rsidRPr="0028075A" w:rsidRDefault="00B070BF" w:rsidP="00B070BF">
      <w:pPr>
        <w:widowControl w:val="0"/>
        <w:rPr>
          <w:sz w:val="20"/>
          <w:lang w:val="es-ES_tradnl"/>
        </w:rPr>
      </w:pPr>
    </w:p>
    <w:p w:rsidR="00B070BF" w:rsidRPr="0028075A" w:rsidRDefault="00B070BF" w:rsidP="00B070BF">
      <w:pPr>
        <w:widowControl w:val="0"/>
        <w:rPr>
          <w:sz w:val="20"/>
          <w:lang w:val="es-ES_tradnl"/>
        </w:rPr>
      </w:pPr>
    </w:p>
    <w:p w:rsidR="00B070BF" w:rsidRPr="009577DE" w:rsidRDefault="00B070BF" w:rsidP="00B070BF">
      <w:pPr>
        <w:widowControl w:val="0"/>
        <w:jc w:val="center"/>
        <w:rPr>
          <w:lang w:val="es-ES_tradnl"/>
        </w:rPr>
      </w:pPr>
      <w:r w:rsidRPr="0028075A">
        <w:rPr>
          <w:sz w:val="20"/>
          <w:lang w:val="es-ES_tradnl"/>
        </w:rPr>
        <w:t>Presupuesto y gastos reales (de personal y no relativos al personal)</w:t>
      </w:r>
      <w:r w:rsidRPr="0028075A">
        <w:rPr>
          <w:sz w:val="20"/>
          <w:lang w:val="es-ES_tradnl"/>
        </w:rPr>
        <w:br/>
      </w:r>
      <w:r w:rsidRPr="0028075A">
        <w:rPr>
          <w:i/>
          <w:sz w:val="20"/>
          <w:lang w:val="es-ES_tradnl"/>
        </w:rPr>
        <w:t>(en miles de francos suizos)</w:t>
      </w:r>
      <w:r w:rsidRPr="0028075A">
        <w:rPr>
          <w:sz w:val="20"/>
          <w:lang w:val="es-ES_tradnl"/>
        </w:rPr>
        <w:br/>
      </w:r>
      <w:r w:rsidRPr="0028075A">
        <w:rPr>
          <w:sz w:val="20"/>
          <w:lang w:val="es-ES_tradnl"/>
        </w:rPr>
        <w:br/>
      </w:r>
      <w:r w:rsidRPr="009577DE">
        <w:rPr>
          <w:noProof/>
          <w:lang w:val="en-US" w:eastAsia="en-US"/>
        </w:rPr>
        <w:drawing>
          <wp:inline distT="0" distB="0" distL="0" distR="0" wp14:anchorId="13DE402E" wp14:editId="5050E419">
            <wp:extent cx="5902325" cy="1235075"/>
            <wp:effectExtent l="0" t="0" r="3175" b="3175"/>
            <wp:docPr id="203"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902325" cy="1235075"/>
                    </a:xfrm>
                    <a:prstGeom prst="rect">
                      <a:avLst/>
                    </a:prstGeom>
                    <a:noFill/>
                    <a:ln>
                      <a:noFill/>
                    </a:ln>
                  </pic:spPr>
                </pic:pic>
              </a:graphicData>
            </a:graphic>
          </wp:inline>
        </w:drawing>
      </w:r>
    </w:p>
    <w:p w:rsidR="00B070BF" w:rsidRPr="009577DE" w:rsidRDefault="00B070BF" w:rsidP="00B070BF">
      <w:pPr>
        <w:widowControl w:val="0"/>
        <w:rPr>
          <w:sz w:val="20"/>
          <w:lang w:val="es-ES_tradnl"/>
        </w:rPr>
      </w:pPr>
    </w:p>
    <w:p w:rsidR="00B070BF" w:rsidRPr="009577DE" w:rsidRDefault="00B070BF" w:rsidP="00B070BF">
      <w:pPr>
        <w:widowControl w:val="0"/>
        <w:autoSpaceDE w:val="0"/>
        <w:autoSpaceDN w:val="0"/>
        <w:adjustRightInd w:val="0"/>
        <w:rPr>
          <w:sz w:val="16"/>
          <w:szCs w:val="16"/>
          <w:lang w:val="es-ES_tradnl"/>
        </w:rPr>
      </w:pPr>
      <w:r w:rsidRPr="009577DE">
        <w:rPr>
          <w:sz w:val="16"/>
          <w:szCs w:val="16"/>
          <w:lang w:val="es-ES_tradnl"/>
        </w:rPr>
        <w:t>NOTAS:</w:t>
      </w:r>
    </w:p>
    <w:p w:rsidR="00B070BF" w:rsidRPr="009577DE" w:rsidRDefault="00B070BF" w:rsidP="00B070BF">
      <w:pPr>
        <w:widowControl w:val="0"/>
        <w:autoSpaceDE w:val="0"/>
        <w:autoSpaceDN w:val="0"/>
        <w:adjustRightInd w:val="0"/>
        <w:rPr>
          <w:sz w:val="16"/>
          <w:szCs w:val="16"/>
          <w:lang w:val="es-ES_tradnl"/>
        </w:rPr>
      </w:pPr>
    </w:p>
    <w:p w:rsidR="00B070BF" w:rsidRPr="009577DE" w:rsidRDefault="00B070BF" w:rsidP="00B070BF">
      <w:pPr>
        <w:widowControl w:val="0"/>
        <w:autoSpaceDE w:val="0"/>
        <w:autoSpaceDN w:val="0"/>
        <w:adjustRightInd w:val="0"/>
        <w:rPr>
          <w:sz w:val="16"/>
          <w:szCs w:val="16"/>
          <w:lang w:val="es-ES_tradnl"/>
        </w:rPr>
      </w:pPr>
      <w:r w:rsidRPr="009577DE">
        <w:rPr>
          <w:sz w:val="16"/>
          <w:szCs w:val="16"/>
          <w:lang w:val="es-ES_tradnl"/>
        </w:rPr>
        <w:t>1) El presupuesto después de las transferencias refleja el presupuesto de los programas ajustado después de las transferencias efectuadas en 2012/13 en virtud del artículo 5.5 del Reglamento Financiero.</w:t>
      </w:r>
    </w:p>
    <w:p w:rsidR="00B070BF" w:rsidRPr="009577DE" w:rsidRDefault="00B070BF" w:rsidP="00B070BF">
      <w:pPr>
        <w:widowControl w:val="0"/>
        <w:autoSpaceDE w:val="0"/>
        <w:autoSpaceDN w:val="0"/>
        <w:adjustRightInd w:val="0"/>
        <w:rPr>
          <w:sz w:val="16"/>
          <w:szCs w:val="16"/>
          <w:lang w:val="es-ES_tradnl"/>
        </w:rPr>
      </w:pPr>
    </w:p>
    <w:p w:rsidR="00B070BF" w:rsidRPr="009577DE" w:rsidRDefault="00B070BF" w:rsidP="00B070BF">
      <w:pPr>
        <w:widowControl w:val="0"/>
        <w:autoSpaceDE w:val="0"/>
        <w:autoSpaceDN w:val="0"/>
        <w:adjustRightInd w:val="0"/>
        <w:rPr>
          <w:sz w:val="16"/>
          <w:szCs w:val="16"/>
          <w:lang w:val="es-ES_tradnl"/>
        </w:rPr>
      </w:pPr>
      <w:r w:rsidRPr="009577DE">
        <w:rPr>
          <w:sz w:val="16"/>
          <w:szCs w:val="16"/>
          <w:lang w:val="es-ES_tradnl"/>
        </w:rPr>
        <w:t xml:space="preserve">2) La asignación para el personal del presupuesto de 2012/13 después de las transferencias representa los gastos reales efectuados hasta el 31 de marzo de 2013 y los importes presupuestados para los nueve meses restantes de 2013, sobre la base de costos estándar. </w:t>
      </w:r>
    </w:p>
    <w:p w:rsidR="00B070BF" w:rsidRPr="009577DE" w:rsidRDefault="00B070BF" w:rsidP="00B070BF">
      <w:pPr>
        <w:widowControl w:val="0"/>
        <w:autoSpaceDE w:val="0"/>
        <w:autoSpaceDN w:val="0"/>
        <w:adjustRightInd w:val="0"/>
        <w:rPr>
          <w:sz w:val="16"/>
          <w:szCs w:val="16"/>
          <w:lang w:val="es-ES_tradnl"/>
        </w:rPr>
      </w:pPr>
    </w:p>
    <w:p w:rsidR="00B070BF" w:rsidRPr="009577DE" w:rsidRDefault="00B070BF" w:rsidP="00B070BF">
      <w:pPr>
        <w:widowControl w:val="0"/>
        <w:autoSpaceDE w:val="0"/>
        <w:autoSpaceDN w:val="0"/>
        <w:adjustRightInd w:val="0"/>
        <w:rPr>
          <w:sz w:val="16"/>
          <w:szCs w:val="16"/>
          <w:lang w:val="es-ES_tradnl"/>
        </w:rPr>
      </w:pPr>
      <w:r w:rsidRPr="009577DE">
        <w:rPr>
          <w:sz w:val="16"/>
          <w:szCs w:val="16"/>
          <w:lang w:val="es-ES_tradnl"/>
        </w:rPr>
        <w:t>3) La asignación no relativa al personal del presupuesto de 2012/13 después de las transferencias refleja los ajustes a la baja efectuados para aumentar la eficacia en función de los costos, de conformidad con el compromiso de la Organización de reducir gastos por un importe de 10,2 millones de francos suizos en el bienio 2012/13.</w:t>
      </w:r>
    </w:p>
    <w:p w:rsidR="00B070BF" w:rsidRPr="009577DE" w:rsidRDefault="00B070BF" w:rsidP="00B070BF">
      <w:pPr>
        <w:widowControl w:val="0"/>
        <w:rPr>
          <w:sz w:val="16"/>
          <w:szCs w:val="16"/>
          <w:lang w:val="es-ES_tradnl"/>
        </w:rPr>
      </w:pPr>
    </w:p>
    <w:p w:rsidR="00B070BF" w:rsidRPr="009577DE" w:rsidRDefault="00B070BF" w:rsidP="00B070BF">
      <w:pPr>
        <w:widowControl w:val="0"/>
        <w:rPr>
          <w:sz w:val="20"/>
          <w:lang w:val="es-ES_tradnl"/>
        </w:rPr>
      </w:pPr>
    </w:p>
    <w:p w:rsidR="00B070BF" w:rsidRPr="009577DE" w:rsidRDefault="00B070BF" w:rsidP="00B070BF">
      <w:pPr>
        <w:widowControl w:val="0"/>
        <w:rPr>
          <w:sz w:val="20"/>
          <w:u w:val="single"/>
          <w:lang w:val="es-ES_tradnl"/>
        </w:rPr>
      </w:pPr>
      <w:r w:rsidRPr="009577DE">
        <w:rPr>
          <w:sz w:val="20"/>
          <w:lang w:val="es-ES_tradnl"/>
        </w:rPr>
        <w:t xml:space="preserve">A.  </w:t>
      </w:r>
      <w:r w:rsidRPr="009577DE">
        <w:rPr>
          <w:sz w:val="20"/>
          <w:u w:val="single"/>
          <w:lang w:val="es-ES_tradnl"/>
        </w:rPr>
        <w:t>Presupuesto 2012/13 después de las transferencias</w:t>
      </w:r>
    </w:p>
    <w:p w:rsidR="00B070BF" w:rsidRPr="009577DE" w:rsidRDefault="00B070BF" w:rsidP="00B070BF">
      <w:pPr>
        <w:widowControl w:val="0"/>
        <w:rPr>
          <w:sz w:val="20"/>
          <w:u w:val="single"/>
          <w:lang w:val="es-ES_tradnl"/>
        </w:rPr>
      </w:pPr>
    </w:p>
    <w:p w:rsidR="00B070BF" w:rsidRPr="009577DE" w:rsidRDefault="00B070BF" w:rsidP="00B070BF">
      <w:pPr>
        <w:widowControl w:val="0"/>
        <w:numPr>
          <w:ilvl w:val="0"/>
          <w:numId w:val="6"/>
        </w:numPr>
        <w:jc w:val="both"/>
        <w:rPr>
          <w:sz w:val="20"/>
          <w:lang w:val="es-ES_tradnl"/>
        </w:rPr>
      </w:pPr>
      <w:r w:rsidRPr="009577DE">
        <w:rPr>
          <w:rFonts w:eastAsia="Batang"/>
          <w:sz w:val="20"/>
          <w:lang w:val="es-ES_tradnl" w:eastAsia="ko-KR"/>
        </w:rPr>
        <w:t>El presupuesto</w:t>
      </w:r>
      <w:r w:rsidRPr="009577DE">
        <w:rPr>
          <w:lang w:val="es-ES_tradnl"/>
        </w:rPr>
        <w:t xml:space="preserve"> </w:t>
      </w:r>
      <w:r w:rsidRPr="009577DE">
        <w:rPr>
          <w:rFonts w:eastAsia="Batang"/>
          <w:sz w:val="20"/>
          <w:lang w:val="es-ES_tradnl" w:eastAsia="ko-KR"/>
        </w:rPr>
        <w:t>de 2012/13 después de las transferencias refleja el traspaso de recursos de personal a recursos no relativos al personal como consecuencia de la aplicación de la reforma de los contratos a partir de enero de 2013.  De conformidad con lo previsto en el presupuesto aprobado, los contratos de trabajo de temporero se incluyeron en los costos de personal de 2012.  En el marco de la reforma de los contratos de trabajo, se estableció un programa de becas de la OMPI en el Centro de Arbitraje y Mediación en 2013 con el propósito de formalizar el arreglo por conducto del cual la Organización proporciona a jóvenes profesionales experiencia en la administración de casos que refuerce sus conocimientos y su competencia profesional en las esferas comprendidas en los cometidos del Centro de Arbitraje y Mediación.  Por consiguiente, el presupuesto de estas becas se ha transferido a los costos no relativos al personal de 2013.</w:t>
      </w:r>
    </w:p>
    <w:p w:rsidR="00B070BF" w:rsidRPr="009577DE" w:rsidRDefault="00B070BF" w:rsidP="00B070BF">
      <w:pPr>
        <w:widowControl w:val="0"/>
        <w:jc w:val="both"/>
        <w:rPr>
          <w:rFonts w:eastAsia="Batang"/>
          <w:sz w:val="20"/>
          <w:lang w:val="es-ES_tradnl" w:eastAsia="ko-KR"/>
        </w:rPr>
      </w:pPr>
    </w:p>
    <w:p w:rsidR="00B070BF" w:rsidRPr="009577DE" w:rsidRDefault="00B070BF" w:rsidP="00B070BF">
      <w:pPr>
        <w:widowControl w:val="0"/>
        <w:jc w:val="both"/>
        <w:rPr>
          <w:rFonts w:eastAsia="Batang"/>
          <w:sz w:val="20"/>
          <w:u w:val="single"/>
          <w:lang w:val="es-ES_tradnl" w:eastAsia="ko-KR"/>
        </w:rPr>
      </w:pPr>
      <w:r w:rsidRPr="009577DE">
        <w:rPr>
          <w:rFonts w:eastAsia="Batang"/>
          <w:sz w:val="20"/>
          <w:lang w:val="es-ES_tradnl" w:eastAsia="ko-KR"/>
        </w:rPr>
        <w:t>B.</w:t>
      </w:r>
      <w:r>
        <w:rPr>
          <w:rFonts w:eastAsia="Batang"/>
          <w:sz w:val="20"/>
          <w:lang w:val="es-ES_tradnl" w:eastAsia="ko-KR"/>
        </w:rPr>
        <w:t xml:space="preserve"> </w:t>
      </w:r>
      <w:r w:rsidRPr="009577DE">
        <w:rPr>
          <w:rFonts w:eastAsia="Batang"/>
          <w:sz w:val="20"/>
          <w:lang w:val="es-ES_tradnl" w:eastAsia="ko-KR"/>
        </w:rPr>
        <w:t xml:space="preserve"> </w:t>
      </w:r>
      <w:r w:rsidRPr="009577DE">
        <w:rPr>
          <w:rFonts w:eastAsia="Batang"/>
          <w:sz w:val="20"/>
          <w:u w:val="single"/>
          <w:lang w:val="es-ES_tradnl" w:eastAsia="ko-KR"/>
        </w:rPr>
        <w:t>Utilización del presupuesto 2012</w:t>
      </w:r>
    </w:p>
    <w:p w:rsidR="00B070BF" w:rsidRPr="009577DE" w:rsidRDefault="00B070BF" w:rsidP="00B070BF">
      <w:pPr>
        <w:widowControl w:val="0"/>
        <w:jc w:val="both"/>
        <w:rPr>
          <w:sz w:val="20"/>
          <w:lang w:val="es-ES_tradnl"/>
        </w:rPr>
      </w:pPr>
    </w:p>
    <w:p w:rsidR="00B070BF" w:rsidRDefault="00B070BF" w:rsidP="00B070BF">
      <w:pPr>
        <w:widowControl w:val="0"/>
        <w:numPr>
          <w:ilvl w:val="0"/>
          <w:numId w:val="6"/>
        </w:numPr>
        <w:jc w:val="both"/>
        <w:rPr>
          <w:rFonts w:eastAsia="Batang"/>
          <w:sz w:val="20"/>
          <w:lang w:val="es-ES_tradnl" w:eastAsia="ko-KR"/>
        </w:rPr>
      </w:pPr>
      <w:r w:rsidRPr="009577DE">
        <w:rPr>
          <w:rFonts w:eastAsia="Batang"/>
          <w:sz w:val="20"/>
          <w:lang w:val="es-ES_tradnl" w:eastAsia="ko-KR"/>
        </w:rPr>
        <w:t>La utilización del presupuesto se mantiene entre el 40% y el 60% en el primer año del bienio y progresa con normalidad.</w:t>
      </w:r>
    </w:p>
    <w:p w:rsidR="00B070BF" w:rsidRPr="009577DE" w:rsidRDefault="00B070BF" w:rsidP="00B070BF">
      <w:pPr>
        <w:widowControl w:val="0"/>
        <w:jc w:val="both"/>
        <w:rPr>
          <w:rFonts w:eastAsia="Batang"/>
          <w:sz w:val="20"/>
          <w:lang w:val="es-ES_tradnl" w:eastAsia="ko-KR"/>
        </w:rPr>
      </w:pPr>
    </w:p>
    <w:p w:rsidR="00B070BF" w:rsidRPr="009577DE" w:rsidRDefault="00B070BF" w:rsidP="00B070BF">
      <w:pPr>
        <w:widowControl w:val="0"/>
        <w:spacing w:before="240" w:after="60"/>
        <w:ind w:left="2835" w:hanging="2835"/>
        <w:outlineLvl w:val="1"/>
        <w:rPr>
          <w:b/>
          <w:iCs/>
          <w:caps/>
          <w:szCs w:val="22"/>
          <w:lang w:val="es-ES_tradnl"/>
        </w:rPr>
      </w:pPr>
      <w:r w:rsidRPr="009577DE">
        <w:rPr>
          <w:bCs/>
          <w:iCs/>
          <w:caps/>
          <w:sz w:val="20"/>
          <w:szCs w:val="28"/>
          <w:lang w:val="es-ES_tradnl"/>
        </w:rPr>
        <w:br w:type="page"/>
      </w:r>
      <w:bookmarkStart w:id="26" w:name="_Toc359846793"/>
      <w:bookmarkStart w:id="27" w:name="_Toc359949317"/>
      <w:r w:rsidRPr="009577DE">
        <w:rPr>
          <w:b/>
          <w:iCs/>
          <w:szCs w:val="22"/>
          <w:lang w:val="es-ES_tradnl"/>
        </w:rPr>
        <w:lastRenderedPageBreak/>
        <w:t>PROGRAMA 8</w:t>
      </w:r>
      <w:r w:rsidRPr="009577DE">
        <w:rPr>
          <w:b/>
          <w:iCs/>
          <w:szCs w:val="22"/>
          <w:lang w:val="es-ES_tradnl"/>
        </w:rPr>
        <w:tab/>
        <w:t>COORDINACIÓN DE LA AGENDA PARA EL DESARROLLO</w:t>
      </w:r>
      <w:bookmarkEnd w:id="26"/>
      <w:bookmarkEnd w:id="27"/>
    </w:p>
    <w:p w:rsidR="00B070BF" w:rsidRPr="009577DE" w:rsidRDefault="00B070BF" w:rsidP="00B070BF">
      <w:pPr>
        <w:widowControl w:val="0"/>
        <w:rPr>
          <w:bCs/>
          <w:sz w:val="20"/>
          <w:lang w:val="es-ES_tradnl"/>
        </w:rPr>
      </w:pPr>
    </w:p>
    <w:p w:rsidR="00B070BF" w:rsidRPr="009577DE" w:rsidRDefault="00B070BF" w:rsidP="00B070BF">
      <w:pPr>
        <w:widowControl w:val="0"/>
        <w:rPr>
          <w:bCs/>
          <w:sz w:val="20"/>
          <w:lang w:val="es-ES_tradnl"/>
        </w:rPr>
      </w:pPr>
    </w:p>
    <w:p w:rsidR="00B070BF" w:rsidRPr="009577DE" w:rsidRDefault="00B070BF" w:rsidP="00B070BF">
      <w:pPr>
        <w:widowControl w:val="0"/>
        <w:tabs>
          <w:tab w:val="left" w:pos="2268"/>
        </w:tabs>
        <w:rPr>
          <w:b/>
          <w:szCs w:val="22"/>
          <w:lang w:val="es-ES_tradnl"/>
        </w:rPr>
      </w:pPr>
      <w:r w:rsidRPr="009577DE">
        <w:rPr>
          <w:b/>
          <w:szCs w:val="22"/>
          <w:lang w:val="es-ES_tradnl"/>
        </w:rPr>
        <w:t>Director del Programa</w:t>
      </w:r>
      <w:r w:rsidRPr="009577DE">
        <w:rPr>
          <w:b/>
          <w:szCs w:val="22"/>
          <w:lang w:val="es-ES_tradnl"/>
        </w:rPr>
        <w:tab/>
        <w:t>Sr. G. Onyeama</w:t>
      </w:r>
    </w:p>
    <w:p w:rsidR="00B070BF" w:rsidRPr="009577DE" w:rsidRDefault="00B070BF" w:rsidP="00B070BF">
      <w:pPr>
        <w:widowControl w:val="0"/>
        <w:rPr>
          <w:sz w:val="20"/>
          <w:lang w:val="es-ES_tradnl"/>
        </w:rPr>
      </w:pPr>
    </w:p>
    <w:p w:rsidR="00B070BF" w:rsidRPr="009577DE" w:rsidRDefault="00B070BF" w:rsidP="00B070BF">
      <w:pPr>
        <w:widowControl w:val="0"/>
        <w:rPr>
          <w:bCs/>
          <w:sz w:val="20"/>
          <w:lang w:val="es-ES_tradnl"/>
        </w:rPr>
      </w:pPr>
    </w:p>
    <w:p w:rsidR="00B070BF" w:rsidRPr="009577DE" w:rsidRDefault="00B070BF" w:rsidP="00B070BF">
      <w:pPr>
        <w:widowControl w:val="0"/>
        <w:spacing w:line="260" w:lineRule="atLeast"/>
        <w:rPr>
          <w:bCs/>
          <w:sz w:val="20"/>
          <w:lang w:val="es-ES_tradnl"/>
        </w:rPr>
      </w:pPr>
      <w:r w:rsidRPr="009577DE">
        <w:rPr>
          <w:bCs/>
          <w:sz w:val="20"/>
          <w:lang w:val="es-ES_tradnl"/>
        </w:rPr>
        <w:t>RESEÑA DE LOS AVANCES LOGRADOS EN 2012</w:t>
      </w:r>
    </w:p>
    <w:p w:rsidR="00B070BF" w:rsidRPr="009577DE" w:rsidRDefault="00B070BF" w:rsidP="00B070BF">
      <w:pPr>
        <w:widowControl w:val="0"/>
        <w:jc w:val="both"/>
        <w:rPr>
          <w:sz w:val="20"/>
          <w:lang w:val="es-ES_tradnl"/>
        </w:rPr>
      </w:pPr>
    </w:p>
    <w:p w:rsidR="00B070BF" w:rsidRPr="009577DE" w:rsidRDefault="00B070BF" w:rsidP="00B070BF">
      <w:pPr>
        <w:widowControl w:val="0"/>
        <w:numPr>
          <w:ilvl w:val="0"/>
          <w:numId w:val="24"/>
        </w:numPr>
        <w:tabs>
          <w:tab w:val="clear" w:pos="680"/>
          <w:tab w:val="num" w:pos="567"/>
        </w:tabs>
        <w:autoSpaceDE w:val="0"/>
        <w:autoSpaceDN w:val="0"/>
        <w:adjustRightInd w:val="0"/>
        <w:jc w:val="both"/>
        <w:rPr>
          <w:bCs/>
          <w:sz w:val="20"/>
        </w:rPr>
      </w:pPr>
      <w:r w:rsidRPr="009577DE">
        <w:rPr>
          <w:bCs/>
          <w:sz w:val="20"/>
        </w:rPr>
        <w:t>En 2012, el programa siguió coordinando la aplicación de la Agenda para el Desarrollo de la OMPI, en particular a través de una puesta en práctica de las recomendaciones de la Agenda para el Desarrollo basada en los proyectos y la incorporación efectiva de los principios de la misma en la labor de la Organización.  Además, se llevaron a cabo numerosas actividades con el fin de ayudar a los Estados miembros a obtener beneficios de la aplicación de la Agenda para el Desarrollo.  La actividad principal del programa consistió en facilitar la labor del Comité de Desarrollo y Propiedad Intelectual (CDIP) durante dos sesiones del Comité celebradas en 2012.</w:t>
      </w:r>
    </w:p>
    <w:p w:rsidR="00B070BF" w:rsidRPr="009577DE" w:rsidRDefault="00B070BF" w:rsidP="00B070BF">
      <w:pPr>
        <w:widowControl w:val="0"/>
        <w:autoSpaceDE w:val="0"/>
        <w:autoSpaceDN w:val="0"/>
        <w:adjustRightInd w:val="0"/>
        <w:jc w:val="both"/>
        <w:rPr>
          <w:bCs/>
          <w:sz w:val="20"/>
        </w:rPr>
      </w:pPr>
    </w:p>
    <w:p w:rsidR="00B070BF" w:rsidRPr="009577DE" w:rsidRDefault="00B070BF" w:rsidP="00B070BF">
      <w:pPr>
        <w:widowControl w:val="0"/>
        <w:numPr>
          <w:ilvl w:val="0"/>
          <w:numId w:val="24"/>
        </w:numPr>
        <w:tabs>
          <w:tab w:val="clear" w:pos="680"/>
          <w:tab w:val="num" w:pos="567"/>
        </w:tabs>
        <w:autoSpaceDE w:val="0"/>
        <w:autoSpaceDN w:val="0"/>
        <w:adjustRightInd w:val="0"/>
        <w:jc w:val="both"/>
        <w:rPr>
          <w:bCs/>
          <w:sz w:val="20"/>
        </w:rPr>
      </w:pPr>
      <w:r w:rsidRPr="009577DE">
        <w:rPr>
          <w:bCs/>
          <w:sz w:val="20"/>
        </w:rPr>
        <w:t>En 2012, el CDIP aprobó un nuevo proyecto de la Agenda para el Desarrollo propuesto por Burkina Faso, examinó el informe anual del Director General sobre la aplicación de la Agenda para el Desarrollo, un informe sobre la marcha de la labor relativa a las recomendaciones que deben aplicarse inmediatamente y los proyectos en la Agenda para el Desarrollo, así como doce informes de evaluación independiente de los proyectos.  Además, el Comité aprobó la segunda fase de tres proyectos que han sido finalizados y evaluados.  Asimismo, debatió un documento remitido por la Asamblea General titulado “Descripción de la contribución de los órganos pertinentes de la OMPI a la aplicación de las recomendaciones de la Agenda para el Desarrollo que les concierne” y examinó un estudio acerca de la contribución de la OMPI a la consecución de los Objetivos de Desarrollo del Milenio de las Naciones Unidas.  Además, el Comité siguió debatiendo sobre documentos relativos a las flexibilidades en materia de patente en el marco jurídico multilateral y su aplicación legislativa en los planos nacional y regional, y llegó a un acuerdo parcial respecto del programa de trabajo sobre flexibilidades en el sistema de propiedad intelectual.  Asimismo, siguió debatiendo acerca del examen independiente sobre la asistencia técnica que presta la OMPI en el marco de la cooperación para el desarrollo, junto con la respuesta de la Administración y la propuesta conjunta del Grupo de la Agenda para el Desarrollo y el Grupo Africano.  Además, el Comité examinó dos documentos referentes a la Conferencia sobre Propiedad Intelectual y Desarrollo y seis estudios realizados en el marco de los proyectos sobre la P.I. y el dominio público, la P.I. y políticas en materia de competencia, las tecnologías de la información y la comunicación (TIC), la brecha digital y el acceso a los conocimientos.  Para finales de 2012, 58 observadores habían participado en las labores del Comité.</w:t>
      </w:r>
    </w:p>
    <w:p w:rsidR="00B070BF" w:rsidRPr="009577DE" w:rsidRDefault="00B070BF" w:rsidP="00B070BF">
      <w:pPr>
        <w:widowControl w:val="0"/>
        <w:autoSpaceDE w:val="0"/>
        <w:autoSpaceDN w:val="0"/>
        <w:adjustRightInd w:val="0"/>
        <w:jc w:val="both"/>
        <w:rPr>
          <w:bCs/>
          <w:sz w:val="20"/>
        </w:rPr>
      </w:pPr>
    </w:p>
    <w:p w:rsidR="00B070BF" w:rsidRPr="009577DE" w:rsidRDefault="00B070BF" w:rsidP="00B070BF">
      <w:pPr>
        <w:widowControl w:val="0"/>
        <w:numPr>
          <w:ilvl w:val="0"/>
          <w:numId w:val="24"/>
        </w:numPr>
        <w:tabs>
          <w:tab w:val="clear" w:pos="680"/>
          <w:tab w:val="num" w:pos="567"/>
        </w:tabs>
        <w:autoSpaceDE w:val="0"/>
        <w:autoSpaceDN w:val="0"/>
        <w:adjustRightInd w:val="0"/>
        <w:jc w:val="both"/>
        <w:rPr>
          <w:bCs/>
          <w:sz w:val="20"/>
          <w:lang w:val="es-ES_tradnl"/>
        </w:rPr>
      </w:pPr>
      <w:r w:rsidRPr="009577DE">
        <w:rPr>
          <w:bCs/>
          <w:sz w:val="20"/>
          <w:lang w:val="es-ES_tradnl"/>
        </w:rPr>
        <w:t>El programa sigue velando por la correcta aplicación, supervisión, evaluación y presentación de informes de las actividades y proyectos relacionados con la Agenda para el Desarrollo.  A este respecto, se han seguido llevando a cabo esfuerzos para asegurar una aplicación efectiva de las 19 recomendaciones que deben aplicarse inmediatamente.  Además, el programa siguió coordinando la supervisión, evaluación y presentación de informes sobre la aplicación de los proyectos aprobados desde la tercera sesión del CDIP.</w:t>
      </w:r>
    </w:p>
    <w:p w:rsidR="00B070BF" w:rsidRPr="009577DE" w:rsidRDefault="00B070BF" w:rsidP="00B070BF">
      <w:pPr>
        <w:widowControl w:val="0"/>
        <w:autoSpaceDE w:val="0"/>
        <w:autoSpaceDN w:val="0"/>
        <w:adjustRightInd w:val="0"/>
        <w:rPr>
          <w:bCs/>
          <w:sz w:val="20"/>
          <w:lang w:val="es-ES_tradnl"/>
        </w:rPr>
      </w:pPr>
    </w:p>
    <w:p w:rsidR="00B070BF" w:rsidRPr="009577DE" w:rsidRDefault="00B070BF" w:rsidP="00B070BF">
      <w:pPr>
        <w:widowControl w:val="0"/>
        <w:autoSpaceDE w:val="0"/>
        <w:autoSpaceDN w:val="0"/>
        <w:adjustRightInd w:val="0"/>
        <w:rPr>
          <w:bCs/>
          <w:sz w:val="20"/>
          <w:lang w:val="es-ES_tradnl"/>
        </w:rPr>
      </w:pPr>
    </w:p>
    <w:p w:rsidR="00B070BF" w:rsidRPr="009577DE" w:rsidRDefault="00B070BF" w:rsidP="00B070BF">
      <w:pPr>
        <w:widowControl w:val="0"/>
        <w:jc w:val="both"/>
        <w:rPr>
          <w:bCs/>
          <w:sz w:val="20"/>
          <w:lang w:val="pt-BR"/>
        </w:rPr>
      </w:pPr>
      <w:r w:rsidRPr="009577DE">
        <w:rPr>
          <w:bCs/>
          <w:sz w:val="20"/>
          <w:lang w:val="es-ES_tradnl"/>
        </w:rPr>
        <w:t>APLICACIÓN DE LA AGENDA PARA EL DESARROLLO</w:t>
      </w:r>
      <w:r w:rsidRPr="009577DE">
        <w:rPr>
          <w:bCs/>
          <w:sz w:val="20"/>
          <w:lang w:val="pt-BR"/>
        </w:rPr>
        <w:t xml:space="preserve"> </w:t>
      </w:r>
    </w:p>
    <w:p w:rsidR="00B070BF" w:rsidRPr="009577DE" w:rsidRDefault="00B070BF" w:rsidP="00B070BF">
      <w:pPr>
        <w:widowControl w:val="0"/>
        <w:rPr>
          <w:rFonts w:eastAsia="MS Mincho"/>
          <w:sz w:val="20"/>
          <w:lang w:val="es-ES_tradnl" w:eastAsia="ja-JP" w:bidi="th-TH"/>
        </w:rPr>
      </w:pPr>
    </w:p>
    <w:p w:rsidR="00B070BF" w:rsidRPr="009577DE" w:rsidRDefault="00B070BF" w:rsidP="00B070BF">
      <w:pPr>
        <w:widowControl w:val="0"/>
        <w:numPr>
          <w:ilvl w:val="0"/>
          <w:numId w:val="24"/>
        </w:numPr>
        <w:tabs>
          <w:tab w:val="clear" w:pos="680"/>
          <w:tab w:val="num" w:pos="567"/>
        </w:tabs>
        <w:autoSpaceDE w:val="0"/>
        <w:autoSpaceDN w:val="0"/>
        <w:adjustRightInd w:val="0"/>
        <w:jc w:val="both"/>
        <w:rPr>
          <w:rFonts w:eastAsia="MS Mincho"/>
          <w:sz w:val="20"/>
          <w:lang w:val="es-ES_tradnl" w:eastAsia="ja-JP" w:bidi="th-TH"/>
        </w:rPr>
      </w:pPr>
      <w:r w:rsidRPr="009577DE">
        <w:rPr>
          <w:rFonts w:eastAsia="MS Mincho"/>
          <w:sz w:val="20"/>
          <w:lang w:val="es-ES_tradnl" w:eastAsia="ja-JP" w:bidi="th-TH"/>
        </w:rPr>
        <w:t xml:space="preserve">El programa 8 se encarga de la coordinación de la aplicación de las 45 recomendaciones de la Agenda de la OMPI para el Desarrollo. </w:t>
      </w:r>
    </w:p>
    <w:p w:rsidR="00B070BF" w:rsidRPr="009577DE" w:rsidRDefault="00B070BF" w:rsidP="00B070BF">
      <w:pPr>
        <w:widowControl w:val="0"/>
        <w:jc w:val="both"/>
        <w:rPr>
          <w:sz w:val="20"/>
          <w:lang w:val="es-ES_tradnl"/>
        </w:rPr>
      </w:pPr>
    </w:p>
    <w:p w:rsidR="00B070BF" w:rsidRPr="009577DE" w:rsidRDefault="00B070BF" w:rsidP="00B070BF">
      <w:pPr>
        <w:rPr>
          <w:sz w:val="20"/>
          <w:lang w:val="es-ES_tradnl"/>
        </w:rPr>
      </w:pPr>
      <w:r w:rsidRPr="009577DE">
        <w:rPr>
          <w:sz w:val="20"/>
          <w:lang w:val="es-ES_tradnl"/>
        </w:rPr>
        <w:br w:type="page"/>
      </w:r>
    </w:p>
    <w:p w:rsidR="00B070BF" w:rsidRPr="009577DE" w:rsidRDefault="00B070BF" w:rsidP="00B070BF">
      <w:pPr>
        <w:widowControl w:val="0"/>
        <w:jc w:val="both"/>
        <w:rPr>
          <w:sz w:val="20"/>
          <w:lang w:val="es-ES_tradnl"/>
        </w:rPr>
      </w:pPr>
    </w:p>
    <w:p w:rsidR="00B070BF" w:rsidRPr="009577DE" w:rsidRDefault="00B070BF" w:rsidP="00B070BF">
      <w:pPr>
        <w:widowControl w:val="0"/>
        <w:jc w:val="both"/>
        <w:rPr>
          <w:sz w:val="20"/>
          <w:lang w:val="es-ES_tradnl"/>
        </w:rPr>
      </w:pPr>
      <w:r w:rsidRPr="009577DE">
        <w:rPr>
          <w:sz w:val="20"/>
          <w:lang w:val="es-ES_tradnl"/>
        </w:rPr>
        <w:t>DATOS SOBRE EL RENDIMIENTO</w:t>
      </w:r>
    </w:p>
    <w:p w:rsidR="00B070BF" w:rsidRPr="009577DE" w:rsidRDefault="00B070BF" w:rsidP="00B070BF">
      <w:pPr>
        <w:widowControl w:val="0"/>
        <w:rPr>
          <w:b/>
          <w:sz w:val="16"/>
          <w:szCs w:val="16"/>
          <w:lang w:val="es-ES_tradnl"/>
        </w:rPr>
      </w:pPr>
    </w:p>
    <w:tbl>
      <w:tblPr>
        <w:tblW w:w="5000" w:type="pct"/>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670"/>
        <w:gridCol w:w="1538"/>
        <w:gridCol w:w="1750"/>
        <w:gridCol w:w="3534"/>
        <w:gridCol w:w="1079"/>
      </w:tblGrid>
      <w:tr w:rsidR="00B070BF" w:rsidRPr="009577DE" w:rsidTr="00C33D4A">
        <w:trPr>
          <w:cantSplit/>
        </w:trPr>
        <w:tc>
          <w:tcPr>
            <w:tcW w:w="5000" w:type="pct"/>
            <w:gridSpan w:val="5"/>
            <w:tcBorders>
              <w:top w:val="single" w:sz="4" w:space="0" w:color="auto"/>
              <w:left w:val="single" w:sz="4" w:space="0" w:color="auto"/>
              <w:bottom w:val="single" w:sz="4" w:space="0" w:color="auto"/>
              <w:right w:val="single" w:sz="4" w:space="0" w:color="auto"/>
            </w:tcBorders>
            <w:shd w:val="clear" w:color="auto" w:fill="CCFFFF"/>
            <w:vAlign w:val="center"/>
          </w:tcPr>
          <w:p w:rsidR="00B070BF" w:rsidRPr="009577DE" w:rsidRDefault="00B070BF" w:rsidP="00C33D4A">
            <w:pPr>
              <w:widowControl w:val="0"/>
              <w:tabs>
                <w:tab w:val="left" w:pos="1735"/>
              </w:tabs>
              <w:spacing w:before="120" w:after="120"/>
              <w:ind w:left="1735" w:hanging="1735"/>
              <w:rPr>
                <w:b/>
                <w:bCs/>
                <w:sz w:val="16"/>
                <w:szCs w:val="16"/>
                <w:lang w:val="es-ES_tradnl"/>
              </w:rPr>
            </w:pPr>
            <w:r w:rsidRPr="009577DE">
              <w:rPr>
                <w:b/>
                <w:bCs/>
                <w:sz w:val="16"/>
                <w:szCs w:val="16"/>
                <w:lang w:val="es-ES_tradnl"/>
              </w:rPr>
              <w:t>Resultado previsto:</w:t>
            </w:r>
            <w:r w:rsidRPr="009577DE">
              <w:rPr>
                <w:b/>
                <w:bCs/>
                <w:sz w:val="16"/>
                <w:szCs w:val="16"/>
                <w:lang w:val="es-ES_tradnl"/>
              </w:rPr>
              <w:tab/>
            </w:r>
            <w:r w:rsidRPr="009577DE">
              <w:rPr>
                <w:bCs/>
                <w:sz w:val="16"/>
                <w:szCs w:val="16"/>
                <w:lang w:val="es-ES_tradnl"/>
              </w:rPr>
              <w:t xml:space="preserve"> Los principios de la Agenda para el Desarrollo siguen incorporándose en los programas y actividades de la Organización.</w:t>
            </w:r>
          </w:p>
        </w:tc>
      </w:tr>
      <w:tr w:rsidR="00B070BF" w:rsidRPr="009577DE" w:rsidTr="00C33D4A">
        <w:trPr>
          <w:cantSplit/>
        </w:trPr>
        <w:tc>
          <w:tcPr>
            <w:tcW w:w="874" w:type="pct"/>
            <w:tcBorders>
              <w:top w:val="single" w:sz="4" w:space="0" w:color="auto"/>
              <w:left w:val="single" w:sz="4" w:space="0" w:color="auto"/>
              <w:bottom w:val="nil"/>
            </w:tcBorders>
            <w:shd w:val="clear" w:color="auto" w:fill="auto"/>
            <w:vAlign w:val="center"/>
          </w:tcPr>
          <w:p w:rsidR="00B070BF" w:rsidRPr="009577DE" w:rsidRDefault="00B070BF" w:rsidP="00C33D4A">
            <w:pPr>
              <w:widowControl w:val="0"/>
              <w:spacing w:after="120"/>
              <w:rPr>
                <w:sz w:val="16"/>
                <w:szCs w:val="16"/>
                <w:lang w:val="es-ES_tradnl"/>
              </w:rPr>
            </w:pPr>
            <w:r w:rsidRPr="009577DE">
              <w:rPr>
                <w:b/>
                <w:bCs/>
                <w:sz w:val="16"/>
                <w:szCs w:val="16"/>
                <w:lang w:val="es-ES_tradnl"/>
              </w:rPr>
              <w:t>Indicadores de rendimiento</w:t>
            </w:r>
          </w:p>
        </w:tc>
        <w:tc>
          <w:tcPr>
            <w:tcW w:w="805" w:type="pct"/>
            <w:tcBorders>
              <w:top w:val="single" w:sz="4" w:space="0" w:color="auto"/>
              <w:bottom w:val="nil"/>
            </w:tcBorders>
            <w:shd w:val="clear" w:color="auto" w:fill="C0C0C0"/>
          </w:tcPr>
          <w:p w:rsidR="00B070BF" w:rsidRPr="009577DE" w:rsidRDefault="00B070BF" w:rsidP="00C33D4A">
            <w:pPr>
              <w:widowControl w:val="0"/>
              <w:spacing w:after="120"/>
              <w:rPr>
                <w:b/>
                <w:bCs/>
                <w:sz w:val="16"/>
                <w:szCs w:val="16"/>
                <w:lang w:val="es-ES_tradnl"/>
              </w:rPr>
            </w:pPr>
            <w:r w:rsidRPr="009577DE">
              <w:rPr>
                <w:b/>
                <w:bCs/>
                <w:sz w:val="16"/>
                <w:szCs w:val="16"/>
                <w:lang w:val="es-ES_tradnl"/>
              </w:rPr>
              <w:t>Referencia (</w:t>
            </w:r>
            <w:proofErr w:type="spellStart"/>
            <w:r w:rsidRPr="009577DE">
              <w:rPr>
                <w:b/>
                <w:bCs/>
                <w:sz w:val="16"/>
                <w:szCs w:val="16"/>
                <w:lang w:val="es-ES_tradnl"/>
              </w:rPr>
              <w:t>Presup</w:t>
            </w:r>
            <w:proofErr w:type="spellEnd"/>
            <w:r w:rsidRPr="009577DE">
              <w:rPr>
                <w:b/>
                <w:bCs/>
                <w:sz w:val="16"/>
                <w:szCs w:val="16"/>
                <w:lang w:val="es-ES_tradnl"/>
              </w:rPr>
              <w:t xml:space="preserve">. por </w:t>
            </w:r>
            <w:proofErr w:type="spellStart"/>
            <w:r w:rsidRPr="009577DE">
              <w:rPr>
                <w:b/>
                <w:bCs/>
                <w:sz w:val="16"/>
                <w:szCs w:val="16"/>
                <w:lang w:val="es-ES_tradnl"/>
              </w:rPr>
              <w:t>prog</w:t>
            </w:r>
            <w:proofErr w:type="spellEnd"/>
            <w:r w:rsidRPr="009577DE">
              <w:rPr>
                <w:b/>
                <w:bCs/>
                <w:sz w:val="16"/>
                <w:szCs w:val="16"/>
                <w:lang w:val="es-ES_tradnl"/>
              </w:rPr>
              <w:t>. 2012/13)</w:t>
            </w:r>
          </w:p>
        </w:tc>
        <w:tc>
          <w:tcPr>
            <w:tcW w:w="916" w:type="pct"/>
            <w:tcBorders>
              <w:top w:val="single" w:sz="4" w:space="0" w:color="auto"/>
              <w:bottom w:val="nil"/>
            </w:tcBorders>
            <w:shd w:val="clear" w:color="auto" w:fill="auto"/>
            <w:tcMar>
              <w:top w:w="110" w:type="dxa"/>
            </w:tcMar>
            <w:vAlign w:val="center"/>
          </w:tcPr>
          <w:p w:rsidR="00B070BF" w:rsidRPr="009577DE" w:rsidRDefault="00B070BF" w:rsidP="00C33D4A">
            <w:pPr>
              <w:widowControl w:val="0"/>
              <w:rPr>
                <w:b/>
                <w:sz w:val="16"/>
                <w:szCs w:val="16"/>
                <w:lang w:val="es-ES_tradnl"/>
              </w:rPr>
            </w:pPr>
            <w:r w:rsidRPr="00BF138D">
              <w:rPr>
                <w:b/>
                <w:color w:val="993300"/>
                <w:sz w:val="16"/>
                <w:szCs w:val="16"/>
                <w:lang w:val="es-ES_tradnl"/>
              </w:rPr>
              <w:t>Referencia actualizada a finales de 2011</w:t>
            </w:r>
            <w:r w:rsidRPr="009577DE">
              <w:rPr>
                <w:b/>
                <w:sz w:val="16"/>
                <w:szCs w:val="16"/>
                <w:lang w:val="es-ES_tradnl"/>
              </w:rPr>
              <w:t xml:space="preserve"> </w:t>
            </w:r>
          </w:p>
        </w:tc>
        <w:tc>
          <w:tcPr>
            <w:tcW w:w="1848" w:type="pct"/>
            <w:tcBorders>
              <w:top w:val="single" w:sz="4" w:space="0" w:color="auto"/>
              <w:bottom w:val="nil"/>
            </w:tcBorders>
            <w:shd w:val="clear" w:color="auto" w:fill="FFFFFF"/>
            <w:tcMar>
              <w:top w:w="110" w:type="dxa"/>
            </w:tcMar>
            <w:vAlign w:val="center"/>
          </w:tcPr>
          <w:p w:rsidR="00B070BF" w:rsidRPr="009577DE" w:rsidRDefault="00B070BF" w:rsidP="00C33D4A">
            <w:pPr>
              <w:widowControl w:val="0"/>
              <w:spacing w:after="120"/>
              <w:rPr>
                <w:sz w:val="16"/>
                <w:szCs w:val="16"/>
                <w:lang w:val="es-ES_tradnl"/>
              </w:rPr>
            </w:pPr>
            <w:r w:rsidRPr="009577DE">
              <w:rPr>
                <w:b/>
                <w:bCs/>
                <w:sz w:val="16"/>
                <w:szCs w:val="16"/>
                <w:lang w:val="es-ES_tradnl"/>
              </w:rPr>
              <w:t>Datos sobre el rendimiento</w:t>
            </w:r>
          </w:p>
        </w:tc>
        <w:tc>
          <w:tcPr>
            <w:tcW w:w="557" w:type="pct"/>
            <w:tcBorders>
              <w:top w:val="single" w:sz="4" w:space="0" w:color="auto"/>
              <w:bottom w:val="nil"/>
              <w:right w:val="single" w:sz="4" w:space="0" w:color="auto"/>
            </w:tcBorders>
            <w:shd w:val="clear" w:color="auto" w:fill="auto"/>
            <w:tcMar>
              <w:top w:w="110" w:type="dxa"/>
            </w:tcMar>
            <w:vAlign w:val="center"/>
          </w:tcPr>
          <w:p w:rsidR="00B070BF" w:rsidRPr="009577DE" w:rsidRDefault="00B070BF" w:rsidP="00C33D4A">
            <w:pPr>
              <w:widowControl w:val="0"/>
              <w:spacing w:after="120"/>
              <w:jc w:val="center"/>
              <w:rPr>
                <w:b/>
                <w:bCs/>
                <w:sz w:val="16"/>
                <w:szCs w:val="16"/>
                <w:lang w:val="es-ES_tradnl"/>
              </w:rPr>
            </w:pPr>
            <w:r w:rsidRPr="009577DE">
              <w:rPr>
                <w:b/>
                <w:bCs/>
                <w:sz w:val="16"/>
                <w:szCs w:val="16"/>
                <w:lang w:val="es-ES_tradnl"/>
              </w:rPr>
              <w:t>Clave de colores</w:t>
            </w:r>
          </w:p>
        </w:tc>
      </w:tr>
      <w:tr w:rsidR="00B070BF" w:rsidRPr="009577DE" w:rsidTr="00C33D4A">
        <w:trPr>
          <w:cantSplit/>
        </w:trPr>
        <w:tc>
          <w:tcPr>
            <w:tcW w:w="874" w:type="pct"/>
            <w:tcBorders>
              <w:top w:val="nil"/>
              <w:left w:val="single" w:sz="4" w:space="0" w:color="auto"/>
              <w:bottom w:val="single" w:sz="4" w:space="0" w:color="auto"/>
            </w:tcBorders>
            <w:shd w:val="clear" w:color="auto" w:fill="auto"/>
          </w:tcPr>
          <w:p w:rsidR="00B070BF" w:rsidRPr="009577DE" w:rsidRDefault="00B070BF" w:rsidP="00C33D4A">
            <w:pPr>
              <w:widowControl w:val="0"/>
              <w:rPr>
                <w:sz w:val="16"/>
                <w:szCs w:val="16"/>
                <w:lang w:val="es-ES_tradnl" w:bidi="th-TH"/>
              </w:rPr>
            </w:pPr>
            <w:r w:rsidRPr="009577DE">
              <w:rPr>
                <w:sz w:val="16"/>
                <w:szCs w:val="16"/>
                <w:lang w:val="es-ES_tradnl" w:bidi="th-TH"/>
              </w:rPr>
              <w:t>Número de recomendaciones de la Agenda para el Desarrollo vinculadas con los resultados previstos en el presupuesto por programas de 2010/11.</w:t>
            </w:r>
          </w:p>
          <w:p w:rsidR="00B070BF" w:rsidRPr="009577DE" w:rsidRDefault="00B070BF" w:rsidP="00C33D4A">
            <w:pPr>
              <w:widowControl w:val="0"/>
              <w:rPr>
                <w:sz w:val="16"/>
                <w:szCs w:val="16"/>
                <w:lang w:val="es-ES_tradnl" w:bidi="th-TH"/>
              </w:rPr>
            </w:pPr>
          </w:p>
        </w:tc>
        <w:tc>
          <w:tcPr>
            <w:tcW w:w="805" w:type="pct"/>
            <w:tcBorders>
              <w:top w:val="nil"/>
              <w:bottom w:val="single" w:sz="4" w:space="0" w:color="auto"/>
            </w:tcBorders>
            <w:shd w:val="clear" w:color="auto" w:fill="C0C0C0"/>
          </w:tcPr>
          <w:p w:rsidR="00B070BF" w:rsidRPr="009577DE" w:rsidRDefault="00B070BF" w:rsidP="00C33D4A">
            <w:pPr>
              <w:widowControl w:val="0"/>
              <w:rPr>
                <w:sz w:val="16"/>
                <w:szCs w:val="16"/>
                <w:lang w:val="es-ES_tradnl" w:bidi="th-TH"/>
              </w:rPr>
            </w:pPr>
            <w:r w:rsidRPr="009577DE">
              <w:rPr>
                <w:sz w:val="16"/>
                <w:szCs w:val="16"/>
                <w:lang w:val="es-ES_tradnl" w:bidi="th-TH"/>
              </w:rPr>
              <w:t xml:space="preserve">26 recomendaciones de la Agenda para el Desarrollo vinculadas con un resultado previsto, como mínimo. </w:t>
            </w:r>
          </w:p>
        </w:tc>
        <w:tc>
          <w:tcPr>
            <w:tcW w:w="916" w:type="pct"/>
            <w:tcBorders>
              <w:top w:val="nil"/>
              <w:bottom w:val="single" w:sz="4" w:space="0" w:color="auto"/>
            </w:tcBorders>
            <w:shd w:val="clear" w:color="auto" w:fill="auto"/>
            <w:tcMar>
              <w:top w:w="110" w:type="dxa"/>
            </w:tcMar>
          </w:tcPr>
          <w:p w:rsidR="00B070BF" w:rsidRPr="00D44D8F" w:rsidRDefault="00B070BF" w:rsidP="00C33D4A">
            <w:pPr>
              <w:widowControl w:val="0"/>
              <w:rPr>
                <w:color w:val="993300"/>
                <w:sz w:val="16"/>
                <w:szCs w:val="16"/>
                <w:lang w:val="es-ES_tradnl"/>
              </w:rPr>
            </w:pPr>
            <w:r w:rsidRPr="00D44D8F">
              <w:rPr>
                <w:color w:val="993300"/>
                <w:sz w:val="16"/>
                <w:szCs w:val="16"/>
                <w:lang w:val="es-ES_tradnl"/>
              </w:rPr>
              <w:t xml:space="preserve">26 recomendaciones de la Agenda para el Desarrollo vinculadas con un resultado previsto, como mínimo. </w:t>
            </w:r>
          </w:p>
        </w:tc>
        <w:tc>
          <w:tcPr>
            <w:tcW w:w="1848" w:type="pct"/>
            <w:tcBorders>
              <w:top w:val="nil"/>
              <w:bottom w:val="single" w:sz="4" w:space="0" w:color="auto"/>
            </w:tcBorders>
            <w:shd w:val="clear" w:color="auto" w:fill="FFFFFF"/>
            <w:tcMar>
              <w:top w:w="110" w:type="dxa"/>
            </w:tcMar>
          </w:tcPr>
          <w:p w:rsidR="00B070BF" w:rsidRPr="009577DE" w:rsidRDefault="00B070BF" w:rsidP="00C33D4A">
            <w:pPr>
              <w:widowControl w:val="0"/>
              <w:rPr>
                <w:sz w:val="16"/>
                <w:szCs w:val="16"/>
                <w:lang w:val="es-ES_tradnl" w:bidi="th-TH"/>
              </w:rPr>
            </w:pPr>
            <w:r w:rsidRPr="009577DE">
              <w:rPr>
                <w:sz w:val="16"/>
                <w:szCs w:val="16"/>
                <w:lang w:val="es-ES_tradnl" w:bidi="th-TH"/>
              </w:rPr>
              <w:t xml:space="preserve">26 recomendaciones de la Agenda para el Desarrollo vinculadas con un resultado previsto, como mínimo. </w:t>
            </w:r>
          </w:p>
          <w:p w:rsidR="00B070BF" w:rsidRPr="009577DE" w:rsidRDefault="00B070BF" w:rsidP="00C33D4A">
            <w:pPr>
              <w:widowControl w:val="0"/>
              <w:rPr>
                <w:sz w:val="16"/>
                <w:szCs w:val="16"/>
                <w:lang w:val="es-ES_tradnl" w:bidi="th-TH"/>
              </w:rPr>
            </w:pPr>
          </w:p>
          <w:p w:rsidR="00B070BF" w:rsidRPr="009577DE" w:rsidRDefault="00B070BF" w:rsidP="00C33D4A">
            <w:pPr>
              <w:widowControl w:val="0"/>
              <w:rPr>
                <w:sz w:val="16"/>
                <w:szCs w:val="16"/>
                <w:lang w:val="es-ES_tradnl" w:bidi="th-TH"/>
              </w:rPr>
            </w:pPr>
          </w:p>
          <w:p w:rsidR="00B070BF" w:rsidRPr="009577DE" w:rsidRDefault="00B070BF" w:rsidP="00C33D4A">
            <w:pPr>
              <w:widowControl w:val="0"/>
              <w:rPr>
                <w:sz w:val="16"/>
                <w:szCs w:val="16"/>
                <w:lang w:val="es-ES_tradnl"/>
              </w:rPr>
            </w:pPr>
          </w:p>
        </w:tc>
        <w:tc>
          <w:tcPr>
            <w:tcW w:w="557" w:type="pct"/>
            <w:tcBorders>
              <w:top w:val="nil"/>
              <w:bottom w:val="single" w:sz="4" w:space="0" w:color="auto"/>
              <w:right w:val="single" w:sz="4" w:space="0" w:color="auto"/>
            </w:tcBorders>
            <w:shd w:val="clear" w:color="auto" w:fill="auto"/>
            <w:tcMar>
              <w:top w:w="110" w:type="dxa"/>
            </w:tcMar>
          </w:tcPr>
          <w:p w:rsidR="00B070BF" w:rsidRPr="009577DE" w:rsidRDefault="00B070BF" w:rsidP="00C33D4A">
            <w:pPr>
              <w:widowControl w:val="0"/>
              <w:jc w:val="center"/>
              <w:rPr>
                <w:b/>
                <w:sz w:val="16"/>
                <w:szCs w:val="16"/>
                <w:lang w:val="es-ES_tradnl"/>
              </w:rPr>
            </w:pPr>
            <w:r w:rsidRPr="009577DE">
              <w:rPr>
                <w:b/>
                <w:color w:val="008000"/>
                <w:sz w:val="16"/>
                <w:szCs w:val="16"/>
                <w:lang w:val="es-ES_tradnl"/>
              </w:rPr>
              <w:t>Progresa con normalidad</w:t>
            </w:r>
          </w:p>
          <w:p w:rsidR="00B070BF" w:rsidRPr="009577DE" w:rsidRDefault="00B070BF" w:rsidP="00C33D4A">
            <w:pPr>
              <w:widowControl w:val="0"/>
              <w:jc w:val="center"/>
              <w:rPr>
                <w:bCs/>
                <w:sz w:val="16"/>
                <w:szCs w:val="16"/>
                <w:lang w:val="es-ES_tradnl"/>
              </w:rPr>
            </w:pPr>
          </w:p>
          <w:p w:rsidR="00B070BF" w:rsidRPr="009577DE" w:rsidRDefault="00B070BF" w:rsidP="00C33D4A">
            <w:pPr>
              <w:widowControl w:val="0"/>
              <w:jc w:val="center"/>
              <w:rPr>
                <w:bCs/>
                <w:sz w:val="16"/>
                <w:szCs w:val="16"/>
                <w:lang w:val="es-ES_tradnl"/>
              </w:rPr>
            </w:pPr>
          </w:p>
          <w:p w:rsidR="00B070BF" w:rsidRPr="009577DE" w:rsidRDefault="00B070BF" w:rsidP="00C33D4A">
            <w:pPr>
              <w:widowControl w:val="0"/>
              <w:jc w:val="center"/>
              <w:rPr>
                <w:bCs/>
                <w:sz w:val="16"/>
                <w:szCs w:val="16"/>
                <w:lang w:val="es-ES_tradnl"/>
              </w:rPr>
            </w:pPr>
          </w:p>
          <w:p w:rsidR="00B070BF" w:rsidRPr="009577DE" w:rsidRDefault="00B070BF" w:rsidP="00C33D4A">
            <w:pPr>
              <w:widowControl w:val="0"/>
              <w:jc w:val="center"/>
              <w:rPr>
                <w:bCs/>
                <w:sz w:val="16"/>
                <w:szCs w:val="16"/>
                <w:lang w:val="es-ES_tradnl"/>
              </w:rPr>
            </w:pPr>
          </w:p>
        </w:tc>
      </w:tr>
      <w:tr w:rsidR="00B070BF" w:rsidRPr="009577DE" w:rsidTr="00C33D4A">
        <w:trPr>
          <w:cantSplit/>
        </w:trPr>
        <w:tc>
          <w:tcPr>
            <w:tcW w:w="874" w:type="pct"/>
            <w:tcBorders>
              <w:top w:val="single" w:sz="4" w:space="0" w:color="auto"/>
              <w:left w:val="single" w:sz="4" w:space="0" w:color="auto"/>
              <w:bottom w:val="nil"/>
            </w:tcBorders>
            <w:shd w:val="clear" w:color="auto" w:fill="auto"/>
          </w:tcPr>
          <w:p w:rsidR="00B070BF" w:rsidRPr="009577DE" w:rsidRDefault="00B070BF" w:rsidP="00C33D4A">
            <w:pPr>
              <w:widowControl w:val="0"/>
              <w:rPr>
                <w:sz w:val="16"/>
                <w:szCs w:val="16"/>
                <w:lang w:val="es-ES_tradnl" w:bidi="th-TH"/>
              </w:rPr>
            </w:pPr>
            <w:r w:rsidRPr="009577DE">
              <w:rPr>
                <w:sz w:val="16"/>
                <w:szCs w:val="16"/>
                <w:lang w:val="es-ES_tradnl" w:bidi="th-TH"/>
              </w:rPr>
              <w:t>Número de recomendaciones de la Agenda para el Desarrollo vinculadas con los indicadores de rendimiento en el presupuesto por programas de 2010/11.</w:t>
            </w:r>
          </w:p>
          <w:p w:rsidR="00B070BF" w:rsidRPr="009577DE" w:rsidRDefault="00B070BF" w:rsidP="00C33D4A">
            <w:pPr>
              <w:widowControl w:val="0"/>
              <w:rPr>
                <w:sz w:val="16"/>
                <w:szCs w:val="16"/>
                <w:lang w:val="es-ES_tradnl" w:bidi="th-TH"/>
              </w:rPr>
            </w:pPr>
          </w:p>
        </w:tc>
        <w:tc>
          <w:tcPr>
            <w:tcW w:w="805" w:type="pct"/>
            <w:tcBorders>
              <w:top w:val="single" w:sz="4" w:space="0" w:color="auto"/>
              <w:bottom w:val="nil"/>
            </w:tcBorders>
            <w:shd w:val="clear" w:color="auto" w:fill="C0C0C0"/>
          </w:tcPr>
          <w:p w:rsidR="00B070BF" w:rsidRPr="009577DE" w:rsidRDefault="00B070BF" w:rsidP="00C33D4A">
            <w:pPr>
              <w:widowControl w:val="0"/>
              <w:rPr>
                <w:sz w:val="16"/>
                <w:szCs w:val="16"/>
                <w:lang w:val="es-ES_tradnl" w:bidi="th-TH"/>
              </w:rPr>
            </w:pPr>
            <w:r w:rsidRPr="009577DE">
              <w:rPr>
                <w:sz w:val="16"/>
                <w:szCs w:val="16"/>
                <w:lang w:val="es-ES_tradnl" w:bidi="th-TH"/>
              </w:rPr>
              <w:t xml:space="preserve">16 recomendaciones de la Agenda para el Desarrollo. </w:t>
            </w:r>
          </w:p>
        </w:tc>
        <w:tc>
          <w:tcPr>
            <w:tcW w:w="916" w:type="pct"/>
            <w:tcBorders>
              <w:top w:val="single" w:sz="4" w:space="0" w:color="auto"/>
              <w:bottom w:val="nil"/>
            </w:tcBorders>
            <w:shd w:val="clear" w:color="auto" w:fill="auto"/>
            <w:tcMar>
              <w:top w:w="110" w:type="dxa"/>
            </w:tcMar>
          </w:tcPr>
          <w:p w:rsidR="00B070BF" w:rsidRPr="00D44D8F" w:rsidRDefault="00B070BF" w:rsidP="00C33D4A">
            <w:pPr>
              <w:widowControl w:val="0"/>
              <w:rPr>
                <w:color w:val="993300"/>
                <w:sz w:val="16"/>
                <w:szCs w:val="16"/>
                <w:lang w:val="es-ES_tradnl"/>
              </w:rPr>
            </w:pPr>
            <w:r w:rsidRPr="00D44D8F">
              <w:rPr>
                <w:color w:val="993300"/>
                <w:sz w:val="16"/>
                <w:szCs w:val="16"/>
                <w:lang w:val="es-ES_tradnl"/>
              </w:rPr>
              <w:t xml:space="preserve">16 recomendaciones de la Agenda para el Desarrollo. </w:t>
            </w:r>
          </w:p>
        </w:tc>
        <w:tc>
          <w:tcPr>
            <w:tcW w:w="1848" w:type="pct"/>
            <w:tcBorders>
              <w:top w:val="single" w:sz="4" w:space="0" w:color="auto"/>
              <w:bottom w:val="nil"/>
            </w:tcBorders>
            <w:shd w:val="clear" w:color="auto" w:fill="FFFFFF"/>
            <w:tcMar>
              <w:top w:w="110" w:type="dxa"/>
            </w:tcMar>
          </w:tcPr>
          <w:p w:rsidR="00B070BF" w:rsidRPr="009577DE" w:rsidRDefault="00B070BF" w:rsidP="00C33D4A">
            <w:pPr>
              <w:widowControl w:val="0"/>
              <w:rPr>
                <w:sz w:val="16"/>
                <w:szCs w:val="16"/>
                <w:lang w:val="es-ES_tradnl" w:bidi="th-TH"/>
              </w:rPr>
            </w:pPr>
            <w:r w:rsidRPr="009577DE">
              <w:rPr>
                <w:sz w:val="16"/>
                <w:szCs w:val="16"/>
                <w:lang w:val="es-ES_tradnl" w:bidi="th-TH"/>
              </w:rPr>
              <w:t xml:space="preserve">16 recomendaciones de la Agenda para el Desarrollo. </w:t>
            </w:r>
          </w:p>
          <w:p w:rsidR="00B070BF" w:rsidRPr="009577DE" w:rsidRDefault="00B070BF" w:rsidP="00C33D4A">
            <w:pPr>
              <w:widowControl w:val="0"/>
              <w:rPr>
                <w:sz w:val="16"/>
                <w:szCs w:val="16"/>
                <w:lang w:val="es-ES_tradnl" w:bidi="th-TH"/>
              </w:rPr>
            </w:pPr>
          </w:p>
          <w:p w:rsidR="00B070BF" w:rsidRPr="009577DE" w:rsidRDefault="00B070BF" w:rsidP="00C33D4A">
            <w:pPr>
              <w:widowControl w:val="0"/>
              <w:rPr>
                <w:sz w:val="16"/>
                <w:szCs w:val="16"/>
                <w:lang w:val="es-ES_tradnl" w:bidi="th-TH"/>
              </w:rPr>
            </w:pPr>
          </w:p>
          <w:p w:rsidR="00B070BF" w:rsidRPr="009577DE" w:rsidRDefault="00B070BF" w:rsidP="00C33D4A">
            <w:pPr>
              <w:widowControl w:val="0"/>
              <w:rPr>
                <w:sz w:val="16"/>
                <w:szCs w:val="16"/>
                <w:lang w:val="es-ES_tradnl" w:bidi="th-TH"/>
              </w:rPr>
            </w:pPr>
          </w:p>
          <w:p w:rsidR="00B070BF" w:rsidRPr="009577DE" w:rsidRDefault="00B070BF" w:rsidP="00C33D4A">
            <w:pPr>
              <w:widowControl w:val="0"/>
              <w:rPr>
                <w:sz w:val="16"/>
                <w:szCs w:val="16"/>
                <w:lang w:val="es-ES_tradnl"/>
              </w:rPr>
            </w:pPr>
          </w:p>
        </w:tc>
        <w:tc>
          <w:tcPr>
            <w:tcW w:w="557" w:type="pct"/>
            <w:tcBorders>
              <w:top w:val="single" w:sz="4" w:space="0" w:color="auto"/>
              <w:bottom w:val="nil"/>
              <w:right w:val="single" w:sz="4" w:space="0" w:color="auto"/>
            </w:tcBorders>
            <w:shd w:val="clear" w:color="auto" w:fill="auto"/>
            <w:tcMar>
              <w:top w:w="110" w:type="dxa"/>
            </w:tcMar>
          </w:tcPr>
          <w:p w:rsidR="00B070BF" w:rsidRPr="009577DE" w:rsidRDefault="00B070BF" w:rsidP="00C33D4A">
            <w:pPr>
              <w:widowControl w:val="0"/>
              <w:jc w:val="center"/>
              <w:rPr>
                <w:bCs/>
                <w:sz w:val="16"/>
                <w:szCs w:val="16"/>
                <w:lang w:val="es-ES_tradnl"/>
              </w:rPr>
            </w:pPr>
            <w:r w:rsidRPr="009577DE">
              <w:rPr>
                <w:b/>
                <w:color w:val="008000"/>
                <w:sz w:val="16"/>
                <w:szCs w:val="16"/>
                <w:lang w:val="es-ES_tradnl"/>
              </w:rPr>
              <w:t>Progresa con normalidad</w:t>
            </w:r>
          </w:p>
          <w:p w:rsidR="00B070BF" w:rsidRPr="009577DE" w:rsidRDefault="00B070BF" w:rsidP="00C33D4A">
            <w:pPr>
              <w:widowControl w:val="0"/>
              <w:jc w:val="center"/>
              <w:rPr>
                <w:bCs/>
                <w:sz w:val="16"/>
                <w:szCs w:val="16"/>
                <w:lang w:val="es-ES_tradnl"/>
              </w:rPr>
            </w:pPr>
          </w:p>
          <w:p w:rsidR="00B070BF" w:rsidRPr="009577DE" w:rsidRDefault="00B070BF" w:rsidP="00C33D4A">
            <w:pPr>
              <w:widowControl w:val="0"/>
              <w:jc w:val="center"/>
              <w:rPr>
                <w:bCs/>
                <w:sz w:val="16"/>
                <w:szCs w:val="16"/>
                <w:lang w:val="es-ES_tradnl"/>
              </w:rPr>
            </w:pPr>
          </w:p>
          <w:p w:rsidR="00B070BF" w:rsidRPr="009577DE" w:rsidRDefault="00B070BF" w:rsidP="00C33D4A">
            <w:pPr>
              <w:widowControl w:val="0"/>
              <w:jc w:val="center"/>
              <w:rPr>
                <w:bCs/>
                <w:sz w:val="16"/>
                <w:szCs w:val="16"/>
                <w:lang w:val="es-ES_tradnl"/>
              </w:rPr>
            </w:pPr>
          </w:p>
          <w:p w:rsidR="00B070BF" w:rsidRPr="009577DE" w:rsidRDefault="00B070BF" w:rsidP="00C33D4A">
            <w:pPr>
              <w:widowControl w:val="0"/>
              <w:jc w:val="center"/>
              <w:rPr>
                <w:bCs/>
                <w:sz w:val="16"/>
                <w:szCs w:val="16"/>
                <w:lang w:val="es-ES_tradnl"/>
              </w:rPr>
            </w:pPr>
          </w:p>
        </w:tc>
      </w:tr>
      <w:tr w:rsidR="00B070BF" w:rsidRPr="009577DE" w:rsidTr="00C33D4A">
        <w:trPr>
          <w:cantSplit/>
        </w:trPr>
        <w:tc>
          <w:tcPr>
            <w:tcW w:w="874" w:type="pct"/>
            <w:tcBorders>
              <w:top w:val="nil"/>
              <w:left w:val="single" w:sz="4" w:space="0" w:color="auto"/>
              <w:bottom w:val="single" w:sz="4" w:space="0" w:color="auto"/>
            </w:tcBorders>
            <w:shd w:val="clear" w:color="auto" w:fill="auto"/>
          </w:tcPr>
          <w:p w:rsidR="00B070BF" w:rsidRPr="009577DE" w:rsidRDefault="00B070BF" w:rsidP="00C33D4A">
            <w:pPr>
              <w:widowControl w:val="0"/>
              <w:rPr>
                <w:sz w:val="16"/>
                <w:szCs w:val="16"/>
                <w:lang w:val="es-ES_tradnl" w:bidi="th-TH"/>
              </w:rPr>
            </w:pPr>
            <w:r w:rsidRPr="009577DE">
              <w:rPr>
                <w:sz w:val="16"/>
                <w:szCs w:val="16"/>
                <w:lang w:val="es-ES_tradnl" w:bidi="th-TH"/>
              </w:rPr>
              <w:t xml:space="preserve">Aplicación del mecanismo de coordinación aprobado por los Estados miembros. </w:t>
            </w:r>
          </w:p>
        </w:tc>
        <w:tc>
          <w:tcPr>
            <w:tcW w:w="805" w:type="pct"/>
            <w:tcBorders>
              <w:top w:val="nil"/>
              <w:bottom w:val="single" w:sz="4" w:space="0" w:color="auto"/>
            </w:tcBorders>
            <w:shd w:val="clear" w:color="auto" w:fill="C0C0C0"/>
          </w:tcPr>
          <w:p w:rsidR="00B070BF" w:rsidRPr="009577DE" w:rsidRDefault="00B070BF" w:rsidP="00C33D4A">
            <w:pPr>
              <w:widowControl w:val="0"/>
              <w:rPr>
                <w:sz w:val="16"/>
                <w:szCs w:val="16"/>
                <w:lang w:val="es-ES_tradnl" w:bidi="th-TH"/>
              </w:rPr>
            </w:pPr>
            <w:r w:rsidRPr="009577DE">
              <w:rPr>
                <w:sz w:val="16"/>
                <w:szCs w:val="16"/>
                <w:lang w:val="es-ES_tradnl" w:bidi="th-TH"/>
              </w:rPr>
              <w:t>En abril de 2010, el CDIP aprobó los mecanismos de coordinación y las modalidades de supervisión, evaluación y presentación de informes.</w:t>
            </w:r>
          </w:p>
        </w:tc>
        <w:tc>
          <w:tcPr>
            <w:tcW w:w="916" w:type="pct"/>
            <w:tcBorders>
              <w:top w:val="nil"/>
              <w:bottom w:val="single" w:sz="4" w:space="0" w:color="auto"/>
            </w:tcBorders>
            <w:shd w:val="clear" w:color="auto" w:fill="auto"/>
            <w:tcMar>
              <w:top w:w="110" w:type="dxa"/>
            </w:tcMar>
          </w:tcPr>
          <w:p w:rsidR="00B070BF" w:rsidRPr="00D44D8F" w:rsidRDefault="00B070BF" w:rsidP="00C33D4A">
            <w:pPr>
              <w:widowControl w:val="0"/>
              <w:rPr>
                <w:color w:val="993300"/>
                <w:sz w:val="16"/>
                <w:szCs w:val="16"/>
                <w:lang w:val="es-ES_tradnl"/>
              </w:rPr>
            </w:pPr>
            <w:r w:rsidRPr="00D44D8F">
              <w:rPr>
                <w:color w:val="993300"/>
                <w:sz w:val="16"/>
                <w:szCs w:val="16"/>
                <w:lang w:val="es-ES_tradnl"/>
              </w:rPr>
              <w:t>En abril de 2010, el CDIP aprobó los mecanismos de coordinación y las modalidades de supervisión, evaluación y presentación de informes.</w:t>
            </w:r>
          </w:p>
        </w:tc>
        <w:tc>
          <w:tcPr>
            <w:tcW w:w="1848" w:type="pct"/>
            <w:tcBorders>
              <w:top w:val="nil"/>
              <w:bottom w:val="single" w:sz="4" w:space="0" w:color="auto"/>
            </w:tcBorders>
            <w:shd w:val="clear" w:color="auto" w:fill="FFFFFF"/>
            <w:tcMar>
              <w:top w:w="110" w:type="dxa"/>
            </w:tcMar>
          </w:tcPr>
          <w:p w:rsidR="00B070BF" w:rsidRPr="009577DE" w:rsidRDefault="00B070BF" w:rsidP="00C33D4A">
            <w:pPr>
              <w:widowControl w:val="0"/>
              <w:rPr>
                <w:sz w:val="16"/>
                <w:szCs w:val="16"/>
                <w:lang w:val="es-ES_tradnl"/>
              </w:rPr>
            </w:pPr>
            <w:r w:rsidRPr="009577DE">
              <w:rPr>
                <w:sz w:val="16"/>
                <w:szCs w:val="16"/>
                <w:lang w:val="es-ES_tradnl"/>
              </w:rPr>
              <w:t>El informe anual presentado a las Asambleas, con una descripción de la contribución de los órganos pertinentes de la OMPI a la aplicación de las recomendaciones de la Agenda para el Desarrollo que les conciernen, fue examinado por el CDIP (WO/GA/41/12)</w:t>
            </w:r>
            <w:r w:rsidRPr="009577DE">
              <w:rPr>
                <w:sz w:val="16"/>
                <w:szCs w:val="16"/>
                <w:vertAlign w:val="superscript"/>
                <w:lang w:val="es-ES_tradnl" w:bidi="th-TH"/>
              </w:rPr>
              <w:footnoteReference w:id="9"/>
            </w:r>
            <w:r w:rsidRPr="009577DE">
              <w:rPr>
                <w:sz w:val="16"/>
                <w:szCs w:val="16"/>
                <w:lang w:val="es-ES_tradnl"/>
              </w:rPr>
              <w:t>.</w:t>
            </w:r>
          </w:p>
          <w:p w:rsidR="00B070BF" w:rsidRPr="009577DE" w:rsidRDefault="00B070BF" w:rsidP="00C33D4A">
            <w:pPr>
              <w:widowControl w:val="0"/>
              <w:rPr>
                <w:sz w:val="16"/>
                <w:szCs w:val="16"/>
                <w:lang w:val="es-ES_tradnl" w:bidi="th-TH"/>
              </w:rPr>
            </w:pPr>
          </w:p>
          <w:p w:rsidR="00B070BF" w:rsidRPr="009577DE" w:rsidRDefault="00B070BF" w:rsidP="00C33D4A">
            <w:pPr>
              <w:widowControl w:val="0"/>
              <w:rPr>
                <w:sz w:val="16"/>
                <w:szCs w:val="16"/>
                <w:lang w:val="es-ES_tradnl" w:bidi="th-TH"/>
              </w:rPr>
            </w:pPr>
          </w:p>
          <w:p w:rsidR="00B070BF" w:rsidRPr="009577DE" w:rsidRDefault="00B070BF" w:rsidP="00C33D4A">
            <w:pPr>
              <w:widowControl w:val="0"/>
              <w:rPr>
                <w:sz w:val="16"/>
                <w:szCs w:val="16"/>
                <w:lang w:val="es-ES_tradnl" w:bidi="th-TH"/>
              </w:rPr>
            </w:pPr>
          </w:p>
          <w:p w:rsidR="00B070BF" w:rsidRPr="009577DE" w:rsidRDefault="00B070BF" w:rsidP="00C33D4A">
            <w:pPr>
              <w:widowControl w:val="0"/>
              <w:rPr>
                <w:sz w:val="16"/>
                <w:szCs w:val="16"/>
                <w:lang w:val="es-ES_tradnl" w:bidi="th-TH"/>
              </w:rPr>
            </w:pPr>
          </w:p>
          <w:p w:rsidR="00B070BF" w:rsidRPr="009577DE" w:rsidRDefault="00B070BF" w:rsidP="00C33D4A">
            <w:pPr>
              <w:widowControl w:val="0"/>
              <w:rPr>
                <w:sz w:val="16"/>
                <w:szCs w:val="16"/>
                <w:lang w:val="es-ES_tradnl"/>
              </w:rPr>
            </w:pPr>
          </w:p>
        </w:tc>
        <w:tc>
          <w:tcPr>
            <w:tcW w:w="557" w:type="pct"/>
            <w:tcBorders>
              <w:top w:val="nil"/>
              <w:bottom w:val="single" w:sz="4" w:space="0" w:color="auto"/>
              <w:right w:val="single" w:sz="4" w:space="0" w:color="auto"/>
            </w:tcBorders>
            <w:shd w:val="clear" w:color="auto" w:fill="auto"/>
            <w:tcMar>
              <w:top w:w="110" w:type="dxa"/>
            </w:tcMar>
          </w:tcPr>
          <w:p w:rsidR="00B070BF" w:rsidRPr="009577DE" w:rsidRDefault="00B070BF" w:rsidP="00C33D4A">
            <w:pPr>
              <w:widowControl w:val="0"/>
              <w:jc w:val="center"/>
              <w:rPr>
                <w:b/>
                <w:sz w:val="16"/>
                <w:szCs w:val="16"/>
                <w:lang w:val="es-ES_tradnl"/>
              </w:rPr>
            </w:pPr>
            <w:r w:rsidRPr="009577DE">
              <w:rPr>
                <w:b/>
                <w:color w:val="008000"/>
                <w:sz w:val="16"/>
                <w:szCs w:val="16"/>
                <w:lang w:val="es-ES_tradnl"/>
              </w:rPr>
              <w:t>Progresa con normalidad</w:t>
            </w:r>
          </w:p>
          <w:p w:rsidR="00B070BF" w:rsidRPr="009577DE" w:rsidRDefault="00B070BF" w:rsidP="00C33D4A">
            <w:pPr>
              <w:widowControl w:val="0"/>
              <w:jc w:val="center"/>
              <w:rPr>
                <w:bCs/>
                <w:sz w:val="16"/>
                <w:szCs w:val="16"/>
                <w:lang w:val="es-ES_tradnl"/>
              </w:rPr>
            </w:pPr>
          </w:p>
          <w:p w:rsidR="00B070BF" w:rsidRPr="009577DE" w:rsidRDefault="00B070BF" w:rsidP="00C33D4A">
            <w:pPr>
              <w:widowControl w:val="0"/>
              <w:jc w:val="center"/>
              <w:rPr>
                <w:bCs/>
                <w:sz w:val="16"/>
                <w:szCs w:val="16"/>
                <w:lang w:val="es-ES_tradnl"/>
              </w:rPr>
            </w:pPr>
          </w:p>
        </w:tc>
      </w:tr>
      <w:tr w:rsidR="00B070BF" w:rsidRPr="009577DE" w:rsidTr="00C33D4A">
        <w:trPr>
          <w:cantSplit/>
        </w:trPr>
        <w:tc>
          <w:tcPr>
            <w:tcW w:w="5000" w:type="pct"/>
            <w:gridSpan w:val="5"/>
            <w:tcBorders>
              <w:top w:val="single" w:sz="4" w:space="0" w:color="auto"/>
              <w:left w:val="single" w:sz="4" w:space="0" w:color="auto"/>
              <w:bottom w:val="single" w:sz="4" w:space="0" w:color="auto"/>
              <w:right w:val="single" w:sz="4" w:space="0" w:color="auto"/>
            </w:tcBorders>
            <w:shd w:val="clear" w:color="auto" w:fill="CCFFFF"/>
            <w:vAlign w:val="center"/>
          </w:tcPr>
          <w:p w:rsidR="00B070BF" w:rsidRPr="009577DE" w:rsidRDefault="00B070BF" w:rsidP="00C33D4A">
            <w:pPr>
              <w:widowControl w:val="0"/>
              <w:spacing w:before="120" w:after="120"/>
              <w:ind w:left="1735" w:hanging="1735"/>
              <w:rPr>
                <w:b/>
                <w:bCs/>
                <w:sz w:val="16"/>
                <w:szCs w:val="16"/>
                <w:lang w:val="es-ES_tradnl"/>
              </w:rPr>
            </w:pPr>
            <w:r w:rsidRPr="009577DE">
              <w:rPr>
                <w:b/>
                <w:bCs/>
                <w:sz w:val="16"/>
                <w:szCs w:val="16"/>
                <w:lang w:val="es-ES_tradnl"/>
              </w:rPr>
              <w:t>Resultado previsto:</w:t>
            </w:r>
            <w:r w:rsidRPr="009577DE">
              <w:rPr>
                <w:b/>
                <w:bCs/>
                <w:sz w:val="16"/>
                <w:szCs w:val="16"/>
                <w:lang w:val="es-ES_tradnl"/>
              </w:rPr>
              <w:tab/>
            </w:r>
            <w:r w:rsidRPr="009577DE">
              <w:rPr>
                <w:bCs/>
                <w:sz w:val="16"/>
                <w:szCs w:val="16"/>
                <w:lang w:val="es-ES_tradnl"/>
              </w:rPr>
              <w:t xml:space="preserve"> Eficacia en la planificación, aplicación, supervisión, evaluación y presentación de informes respecto de las recomendaciones de la Agenda para el Desarrollo.</w:t>
            </w:r>
          </w:p>
        </w:tc>
      </w:tr>
      <w:tr w:rsidR="00B070BF" w:rsidRPr="009577DE" w:rsidTr="00C33D4A">
        <w:trPr>
          <w:cantSplit/>
        </w:trPr>
        <w:tc>
          <w:tcPr>
            <w:tcW w:w="874" w:type="pct"/>
            <w:tcBorders>
              <w:top w:val="single" w:sz="4" w:space="0" w:color="auto"/>
              <w:left w:val="single" w:sz="4" w:space="0" w:color="auto"/>
              <w:bottom w:val="nil"/>
            </w:tcBorders>
            <w:shd w:val="clear" w:color="auto" w:fill="auto"/>
            <w:vAlign w:val="center"/>
          </w:tcPr>
          <w:p w:rsidR="00B070BF" w:rsidRPr="009577DE" w:rsidRDefault="00B070BF" w:rsidP="00C33D4A">
            <w:pPr>
              <w:widowControl w:val="0"/>
              <w:spacing w:after="120"/>
              <w:rPr>
                <w:sz w:val="16"/>
                <w:szCs w:val="16"/>
                <w:lang w:val="es-ES_tradnl"/>
              </w:rPr>
            </w:pPr>
            <w:r w:rsidRPr="009577DE">
              <w:rPr>
                <w:b/>
                <w:bCs/>
                <w:sz w:val="16"/>
                <w:szCs w:val="16"/>
                <w:lang w:val="es-ES_tradnl"/>
              </w:rPr>
              <w:t>Indicadores de rendimiento</w:t>
            </w:r>
          </w:p>
        </w:tc>
        <w:tc>
          <w:tcPr>
            <w:tcW w:w="805" w:type="pct"/>
            <w:tcBorders>
              <w:top w:val="single" w:sz="4" w:space="0" w:color="auto"/>
              <w:bottom w:val="nil"/>
            </w:tcBorders>
            <w:shd w:val="clear" w:color="auto" w:fill="C0C0C0"/>
          </w:tcPr>
          <w:p w:rsidR="00B070BF" w:rsidRPr="009577DE" w:rsidRDefault="00B070BF" w:rsidP="00C33D4A">
            <w:pPr>
              <w:widowControl w:val="0"/>
              <w:spacing w:after="120"/>
              <w:rPr>
                <w:b/>
                <w:bCs/>
                <w:sz w:val="16"/>
                <w:szCs w:val="16"/>
                <w:lang w:val="es-ES_tradnl"/>
              </w:rPr>
            </w:pPr>
            <w:r w:rsidRPr="009577DE">
              <w:rPr>
                <w:b/>
                <w:bCs/>
                <w:sz w:val="16"/>
                <w:szCs w:val="16"/>
                <w:lang w:val="es-ES_tradnl"/>
              </w:rPr>
              <w:t>Referencia (</w:t>
            </w:r>
            <w:proofErr w:type="spellStart"/>
            <w:r w:rsidRPr="009577DE">
              <w:rPr>
                <w:b/>
                <w:bCs/>
                <w:sz w:val="16"/>
                <w:szCs w:val="16"/>
                <w:lang w:val="es-ES_tradnl"/>
              </w:rPr>
              <w:t>Presup</w:t>
            </w:r>
            <w:proofErr w:type="spellEnd"/>
            <w:r w:rsidRPr="009577DE">
              <w:rPr>
                <w:b/>
                <w:bCs/>
                <w:sz w:val="16"/>
                <w:szCs w:val="16"/>
                <w:lang w:val="es-ES_tradnl"/>
              </w:rPr>
              <w:t xml:space="preserve">. por </w:t>
            </w:r>
            <w:proofErr w:type="spellStart"/>
            <w:r w:rsidRPr="009577DE">
              <w:rPr>
                <w:b/>
                <w:bCs/>
                <w:sz w:val="16"/>
                <w:szCs w:val="16"/>
                <w:lang w:val="es-ES_tradnl"/>
              </w:rPr>
              <w:t>prog</w:t>
            </w:r>
            <w:proofErr w:type="spellEnd"/>
            <w:r w:rsidRPr="009577DE">
              <w:rPr>
                <w:b/>
                <w:bCs/>
                <w:sz w:val="16"/>
                <w:szCs w:val="16"/>
                <w:lang w:val="es-ES_tradnl"/>
              </w:rPr>
              <w:t>. 2012/13)</w:t>
            </w:r>
          </w:p>
        </w:tc>
        <w:tc>
          <w:tcPr>
            <w:tcW w:w="916" w:type="pct"/>
            <w:tcBorders>
              <w:top w:val="single" w:sz="4" w:space="0" w:color="auto"/>
              <w:bottom w:val="nil"/>
            </w:tcBorders>
            <w:shd w:val="clear" w:color="auto" w:fill="auto"/>
            <w:tcMar>
              <w:top w:w="110" w:type="dxa"/>
            </w:tcMar>
            <w:vAlign w:val="center"/>
          </w:tcPr>
          <w:p w:rsidR="00B070BF" w:rsidRPr="009577DE" w:rsidRDefault="00B070BF" w:rsidP="00C33D4A">
            <w:pPr>
              <w:widowControl w:val="0"/>
              <w:rPr>
                <w:b/>
                <w:sz w:val="16"/>
                <w:szCs w:val="16"/>
                <w:lang w:val="es-ES_tradnl"/>
              </w:rPr>
            </w:pPr>
            <w:r w:rsidRPr="00BF138D">
              <w:rPr>
                <w:b/>
                <w:color w:val="993300"/>
                <w:sz w:val="16"/>
                <w:szCs w:val="16"/>
                <w:lang w:val="es-ES_tradnl"/>
              </w:rPr>
              <w:t>Referencia actualizada a finales de 2011</w:t>
            </w:r>
            <w:r w:rsidRPr="009577DE">
              <w:rPr>
                <w:b/>
                <w:sz w:val="16"/>
                <w:szCs w:val="16"/>
                <w:lang w:val="es-ES_tradnl"/>
              </w:rPr>
              <w:t xml:space="preserve"> </w:t>
            </w:r>
          </w:p>
        </w:tc>
        <w:tc>
          <w:tcPr>
            <w:tcW w:w="1848" w:type="pct"/>
            <w:tcBorders>
              <w:top w:val="single" w:sz="4" w:space="0" w:color="auto"/>
              <w:bottom w:val="nil"/>
            </w:tcBorders>
            <w:shd w:val="clear" w:color="auto" w:fill="FFFFFF"/>
            <w:tcMar>
              <w:top w:w="110" w:type="dxa"/>
            </w:tcMar>
            <w:vAlign w:val="center"/>
          </w:tcPr>
          <w:p w:rsidR="00B070BF" w:rsidRPr="009577DE" w:rsidRDefault="00B070BF" w:rsidP="00C33D4A">
            <w:pPr>
              <w:widowControl w:val="0"/>
              <w:spacing w:after="120"/>
              <w:rPr>
                <w:sz w:val="16"/>
                <w:szCs w:val="16"/>
                <w:lang w:val="es-ES_tradnl"/>
              </w:rPr>
            </w:pPr>
            <w:r w:rsidRPr="009577DE">
              <w:rPr>
                <w:b/>
                <w:bCs/>
                <w:sz w:val="16"/>
                <w:szCs w:val="16"/>
                <w:lang w:val="es-ES_tradnl"/>
              </w:rPr>
              <w:t>Datos sobre el rendimiento</w:t>
            </w:r>
          </w:p>
        </w:tc>
        <w:tc>
          <w:tcPr>
            <w:tcW w:w="557" w:type="pct"/>
            <w:tcBorders>
              <w:top w:val="single" w:sz="4" w:space="0" w:color="auto"/>
              <w:bottom w:val="nil"/>
              <w:right w:val="single" w:sz="4" w:space="0" w:color="auto"/>
            </w:tcBorders>
            <w:shd w:val="clear" w:color="auto" w:fill="auto"/>
            <w:tcMar>
              <w:top w:w="110" w:type="dxa"/>
            </w:tcMar>
            <w:vAlign w:val="center"/>
          </w:tcPr>
          <w:p w:rsidR="00B070BF" w:rsidRPr="009577DE" w:rsidRDefault="00B070BF" w:rsidP="00C33D4A">
            <w:pPr>
              <w:widowControl w:val="0"/>
              <w:spacing w:after="120"/>
              <w:jc w:val="center"/>
              <w:rPr>
                <w:b/>
                <w:bCs/>
                <w:sz w:val="16"/>
                <w:szCs w:val="16"/>
                <w:lang w:val="es-ES_tradnl"/>
              </w:rPr>
            </w:pPr>
            <w:r w:rsidRPr="009577DE">
              <w:rPr>
                <w:b/>
                <w:bCs/>
                <w:sz w:val="16"/>
                <w:szCs w:val="16"/>
                <w:lang w:val="es-ES_tradnl"/>
              </w:rPr>
              <w:t>Clave de colores</w:t>
            </w:r>
          </w:p>
        </w:tc>
      </w:tr>
      <w:tr w:rsidR="00B070BF" w:rsidRPr="009577DE" w:rsidTr="00C33D4A">
        <w:trPr>
          <w:cantSplit/>
        </w:trPr>
        <w:tc>
          <w:tcPr>
            <w:tcW w:w="874" w:type="pct"/>
            <w:tcBorders>
              <w:top w:val="nil"/>
              <w:left w:val="single" w:sz="4" w:space="0" w:color="auto"/>
              <w:bottom w:val="nil"/>
            </w:tcBorders>
            <w:shd w:val="clear" w:color="auto" w:fill="FFFFFF"/>
          </w:tcPr>
          <w:p w:rsidR="00B070BF" w:rsidRPr="009577DE" w:rsidRDefault="00B070BF" w:rsidP="00C33D4A">
            <w:pPr>
              <w:widowControl w:val="0"/>
              <w:rPr>
                <w:sz w:val="16"/>
                <w:szCs w:val="16"/>
                <w:lang w:val="es-ES_tradnl" w:bidi="th-TH"/>
              </w:rPr>
            </w:pPr>
            <w:r w:rsidRPr="009577DE">
              <w:rPr>
                <w:sz w:val="16"/>
                <w:szCs w:val="16"/>
                <w:lang w:val="es-ES_tradnl" w:bidi="th-TH"/>
              </w:rPr>
              <w:t>Número de recomendaciones de la Agenda para el Desarrollo que abordó el CDIP mediante proyectos, actividades y estudios.</w:t>
            </w:r>
          </w:p>
        </w:tc>
        <w:tc>
          <w:tcPr>
            <w:tcW w:w="805" w:type="pct"/>
            <w:tcBorders>
              <w:top w:val="nil"/>
              <w:bottom w:val="nil"/>
            </w:tcBorders>
            <w:shd w:val="clear" w:color="auto" w:fill="C0C0C0"/>
          </w:tcPr>
          <w:p w:rsidR="00B070BF" w:rsidRPr="009577DE" w:rsidRDefault="00B070BF" w:rsidP="00C33D4A">
            <w:pPr>
              <w:widowControl w:val="0"/>
              <w:rPr>
                <w:sz w:val="16"/>
                <w:szCs w:val="16"/>
                <w:lang w:val="es-ES_tradnl" w:bidi="th-TH"/>
              </w:rPr>
            </w:pPr>
            <w:r w:rsidRPr="009577DE">
              <w:rPr>
                <w:sz w:val="16"/>
                <w:szCs w:val="16"/>
                <w:lang w:val="es-ES_tradnl" w:bidi="th-TH"/>
              </w:rPr>
              <w:t>42 recomendaciones (que no se han aplicado en su totalidad) (diciembre de 2010).</w:t>
            </w:r>
          </w:p>
        </w:tc>
        <w:tc>
          <w:tcPr>
            <w:tcW w:w="916" w:type="pct"/>
            <w:tcBorders>
              <w:top w:val="nil"/>
              <w:bottom w:val="nil"/>
            </w:tcBorders>
            <w:shd w:val="clear" w:color="auto" w:fill="auto"/>
            <w:tcMar>
              <w:top w:w="110" w:type="dxa"/>
            </w:tcMar>
          </w:tcPr>
          <w:p w:rsidR="00B070BF" w:rsidRPr="00D44D8F" w:rsidRDefault="00B070BF" w:rsidP="00C33D4A">
            <w:pPr>
              <w:widowControl w:val="0"/>
              <w:rPr>
                <w:color w:val="993300"/>
                <w:sz w:val="16"/>
                <w:szCs w:val="16"/>
                <w:lang w:val="es-ES_tradnl"/>
              </w:rPr>
            </w:pPr>
            <w:r w:rsidRPr="00D44D8F">
              <w:rPr>
                <w:color w:val="993300"/>
                <w:sz w:val="16"/>
                <w:szCs w:val="16"/>
                <w:lang w:val="es-ES_tradnl"/>
              </w:rPr>
              <w:t>42 recomendaciones (que no se han aplicado en su totalidad) (diciembre de 2011).</w:t>
            </w:r>
          </w:p>
          <w:p w:rsidR="00B070BF" w:rsidRPr="00D44D8F" w:rsidRDefault="00B070BF" w:rsidP="00C33D4A">
            <w:pPr>
              <w:widowControl w:val="0"/>
              <w:rPr>
                <w:color w:val="993300"/>
                <w:sz w:val="16"/>
                <w:szCs w:val="16"/>
                <w:lang w:val="es-ES_tradnl"/>
              </w:rPr>
            </w:pPr>
          </w:p>
        </w:tc>
        <w:tc>
          <w:tcPr>
            <w:tcW w:w="1848" w:type="pct"/>
            <w:tcBorders>
              <w:top w:val="nil"/>
              <w:bottom w:val="nil"/>
            </w:tcBorders>
            <w:shd w:val="clear" w:color="auto" w:fill="FFFFFF"/>
            <w:tcMar>
              <w:top w:w="110" w:type="dxa"/>
            </w:tcMar>
          </w:tcPr>
          <w:p w:rsidR="00B070BF" w:rsidRPr="009577DE" w:rsidRDefault="00B070BF" w:rsidP="00C33D4A">
            <w:pPr>
              <w:widowControl w:val="0"/>
              <w:rPr>
                <w:sz w:val="16"/>
                <w:szCs w:val="16"/>
                <w:lang w:val="es-ES_tradnl" w:bidi="th-TH"/>
              </w:rPr>
            </w:pPr>
            <w:r w:rsidRPr="009577DE">
              <w:rPr>
                <w:sz w:val="16"/>
                <w:szCs w:val="16"/>
                <w:lang w:val="es-ES_tradnl" w:bidi="th-TH"/>
              </w:rPr>
              <w:t xml:space="preserve">Se han presentado al CDIP el informe sobre la marcha de las actividades y el informe anual del Director General. </w:t>
            </w:r>
          </w:p>
          <w:p w:rsidR="00B070BF" w:rsidRPr="009577DE" w:rsidRDefault="00B070BF" w:rsidP="00C33D4A">
            <w:pPr>
              <w:widowControl w:val="0"/>
              <w:rPr>
                <w:sz w:val="16"/>
                <w:szCs w:val="16"/>
                <w:lang w:val="es-ES_tradnl" w:bidi="th-TH"/>
              </w:rPr>
            </w:pPr>
          </w:p>
          <w:p w:rsidR="00B070BF" w:rsidRPr="009577DE" w:rsidRDefault="00B070BF" w:rsidP="00C33D4A">
            <w:pPr>
              <w:widowControl w:val="0"/>
              <w:rPr>
                <w:sz w:val="16"/>
                <w:szCs w:val="16"/>
                <w:lang w:val="es-ES_tradnl" w:bidi="th-TH"/>
              </w:rPr>
            </w:pPr>
          </w:p>
          <w:p w:rsidR="00B070BF" w:rsidRPr="009577DE" w:rsidRDefault="00B070BF" w:rsidP="00C33D4A">
            <w:pPr>
              <w:widowControl w:val="0"/>
              <w:rPr>
                <w:sz w:val="16"/>
                <w:szCs w:val="16"/>
                <w:lang w:val="es-ES_tradnl" w:bidi="th-TH"/>
              </w:rPr>
            </w:pPr>
          </w:p>
          <w:p w:rsidR="00B070BF" w:rsidRPr="009577DE" w:rsidRDefault="00B070BF" w:rsidP="00C33D4A">
            <w:pPr>
              <w:widowControl w:val="0"/>
              <w:rPr>
                <w:sz w:val="16"/>
                <w:szCs w:val="16"/>
                <w:lang w:val="es-ES_tradnl" w:bidi="th-TH"/>
              </w:rPr>
            </w:pPr>
          </w:p>
        </w:tc>
        <w:tc>
          <w:tcPr>
            <w:tcW w:w="557" w:type="pct"/>
            <w:tcBorders>
              <w:top w:val="nil"/>
              <w:bottom w:val="nil"/>
              <w:right w:val="single" w:sz="4" w:space="0" w:color="auto"/>
            </w:tcBorders>
            <w:shd w:val="clear" w:color="auto" w:fill="auto"/>
            <w:tcMar>
              <w:top w:w="110" w:type="dxa"/>
            </w:tcMar>
          </w:tcPr>
          <w:p w:rsidR="00B070BF" w:rsidRPr="009577DE" w:rsidRDefault="00B070BF" w:rsidP="00C33D4A">
            <w:pPr>
              <w:widowControl w:val="0"/>
              <w:jc w:val="center"/>
              <w:rPr>
                <w:b/>
                <w:sz w:val="16"/>
                <w:szCs w:val="16"/>
                <w:lang w:val="es-ES_tradnl"/>
              </w:rPr>
            </w:pPr>
            <w:r w:rsidRPr="009577DE">
              <w:rPr>
                <w:b/>
                <w:color w:val="008000"/>
                <w:sz w:val="16"/>
                <w:szCs w:val="16"/>
                <w:lang w:val="es-ES_tradnl"/>
              </w:rPr>
              <w:t>Progresa con normalidad</w:t>
            </w:r>
          </w:p>
          <w:p w:rsidR="00B070BF" w:rsidRPr="009577DE" w:rsidRDefault="00B070BF" w:rsidP="00C33D4A">
            <w:pPr>
              <w:widowControl w:val="0"/>
              <w:jc w:val="center"/>
              <w:rPr>
                <w:bCs/>
                <w:sz w:val="16"/>
                <w:szCs w:val="16"/>
                <w:lang w:val="es-ES_tradnl"/>
              </w:rPr>
            </w:pPr>
          </w:p>
          <w:p w:rsidR="00B070BF" w:rsidRPr="009577DE" w:rsidRDefault="00B070BF" w:rsidP="00C33D4A">
            <w:pPr>
              <w:widowControl w:val="0"/>
              <w:jc w:val="center"/>
              <w:rPr>
                <w:bCs/>
                <w:sz w:val="16"/>
                <w:szCs w:val="16"/>
                <w:lang w:val="es-ES_tradnl"/>
              </w:rPr>
            </w:pPr>
          </w:p>
        </w:tc>
      </w:tr>
      <w:tr w:rsidR="00B070BF" w:rsidRPr="009577DE" w:rsidTr="00C33D4A">
        <w:trPr>
          <w:cantSplit/>
        </w:trPr>
        <w:tc>
          <w:tcPr>
            <w:tcW w:w="874" w:type="pct"/>
            <w:tcBorders>
              <w:top w:val="nil"/>
              <w:left w:val="single" w:sz="4" w:space="0" w:color="auto"/>
              <w:bottom w:val="single" w:sz="4" w:space="0" w:color="auto"/>
            </w:tcBorders>
            <w:shd w:val="clear" w:color="auto" w:fill="auto"/>
          </w:tcPr>
          <w:p w:rsidR="00B070BF" w:rsidRPr="009577DE" w:rsidRDefault="00B070BF" w:rsidP="00C33D4A">
            <w:pPr>
              <w:widowControl w:val="0"/>
              <w:rPr>
                <w:sz w:val="16"/>
                <w:szCs w:val="16"/>
                <w:lang w:val="es-ES_tradnl" w:bidi="th-TH"/>
              </w:rPr>
            </w:pPr>
            <w:r w:rsidRPr="009577DE">
              <w:rPr>
                <w:sz w:val="16"/>
                <w:szCs w:val="16"/>
                <w:lang w:val="es-ES_tradnl" w:bidi="th-TH"/>
              </w:rPr>
              <w:t>Número de proyectos aprobados por el CDIP.</w:t>
            </w:r>
          </w:p>
        </w:tc>
        <w:tc>
          <w:tcPr>
            <w:tcW w:w="805" w:type="pct"/>
            <w:tcBorders>
              <w:top w:val="nil"/>
              <w:bottom w:val="single" w:sz="4" w:space="0" w:color="auto"/>
            </w:tcBorders>
            <w:shd w:val="clear" w:color="auto" w:fill="B3B3B3"/>
          </w:tcPr>
          <w:p w:rsidR="00B070BF" w:rsidRPr="009577DE" w:rsidRDefault="00B070BF" w:rsidP="00C33D4A">
            <w:pPr>
              <w:widowControl w:val="0"/>
              <w:rPr>
                <w:sz w:val="16"/>
                <w:szCs w:val="16"/>
                <w:lang w:val="es-ES_tradnl" w:bidi="th-TH"/>
              </w:rPr>
            </w:pPr>
            <w:r w:rsidRPr="009577DE">
              <w:rPr>
                <w:sz w:val="16"/>
                <w:szCs w:val="16"/>
                <w:lang w:val="es-ES_tradnl" w:bidi="th-TH"/>
              </w:rPr>
              <w:t xml:space="preserve">19 proyectos (fin de 2010). </w:t>
            </w:r>
          </w:p>
        </w:tc>
        <w:tc>
          <w:tcPr>
            <w:tcW w:w="916" w:type="pct"/>
            <w:tcBorders>
              <w:top w:val="nil"/>
              <w:bottom w:val="single" w:sz="4" w:space="0" w:color="auto"/>
            </w:tcBorders>
            <w:shd w:val="clear" w:color="auto" w:fill="auto"/>
            <w:tcMar>
              <w:top w:w="110" w:type="dxa"/>
            </w:tcMar>
          </w:tcPr>
          <w:p w:rsidR="00B070BF" w:rsidRPr="00D44D8F" w:rsidRDefault="00B070BF" w:rsidP="00C33D4A">
            <w:pPr>
              <w:widowControl w:val="0"/>
              <w:rPr>
                <w:color w:val="993300"/>
                <w:sz w:val="16"/>
                <w:szCs w:val="16"/>
                <w:lang w:val="es-ES_tradnl"/>
              </w:rPr>
            </w:pPr>
            <w:r w:rsidRPr="00D44D8F">
              <w:rPr>
                <w:color w:val="993300"/>
                <w:sz w:val="16"/>
                <w:szCs w:val="16"/>
                <w:lang w:val="es-ES_tradnl"/>
              </w:rPr>
              <w:t xml:space="preserve">23 proyectos (fin de 2011). </w:t>
            </w:r>
          </w:p>
        </w:tc>
        <w:tc>
          <w:tcPr>
            <w:tcW w:w="1848" w:type="pct"/>
            <w:tcBorders>
              <w:top w:val="nil"/>
              <w:bottom w:val="single" w:sz="4" w:space="0" w:color="auto"/>
            </w:tcBorders>
            <w:shd w:val="clear" w:color="auto" w:fill="FFFFFF"/>
            <w:tcMar>
              <w:top w:w="110" w:type="dxa"/>
            </w:tcMar>
          </w:tcPr>
          <w:p w:rsidR="00B070BF" w:rsidRPr="009577DE" w:rsidRDefault="00B070BF" w:rsidP="00C33D4A">
            <w:pPr>
              <w:widowControl w:val="0"/>
              <w:rPr>
                <w:sz w:val="16"/>
                <w:szCs w:val="16"/>
                <w:lang w:val="es-ES_tradnl" w:bidi="th-TH"/>
              </w:rPr>
            </w:pPr>
            <w:r w:rsidRPr="009577DE">
              <w:rPr>
                <w:sz w:val="16"/>
                <w:szCs w:val="16"/>
                <w:lang w:val="es-ES_tradnl" w:bidi="th-TH"/>
              </w:rPr>
              <w:t>Se aprobaron 4 proyectos adicionales (en total 27 proyectos, mediante los que se aplican 31 de las recomendaciones de la Agenda para el Desarrollo adoptadas por el CDIP).</w:t>
            </w:r>
          </w:p>
        </w:tc>
        <w:tc>
          <w:tcPr>
            <w:tcW w:w="557" w:type="pct"/>
            <w:tcBorders>
              <w:top w:val="nil"/>
              <w:bottom w:val="single" w:sz="4" w:space="0" w:color="auto"/>
              <w:right w:val="single" w:sz="4" w:space="0" w:color="auto"/>
            </w:tcBorders>
            <w:shd w:val="clear" w:color="auto" w:fill="auto"/>
          </w:tcPr>
          <w:p w:rsidR="00B070BF" w:rsidRPr="009577DE" w:rsidRDefault="00B070BF" w:rsidP="00C33D4A">
            <w:pPr>
              <w:widowControl w:val="0"/>
              <w:jc w:val="center"/>
              <w:rPr>
                <w:b/>
                <w:bCs/>
                <w:sz w:val="12"/>
                <w:szCs w:val="12"/>
                <w:lang w:val="es-ES_tradnl"/>
              </w:rPr>
            </w:pPr>
          </w:p>
          <w:p w:rsidR="00B070BF" w:rsidRPr="009577DE" w:rsidRDefault="00B070BF" w:rsidP="00C33D4A">
            <w:pPr>
              <w:widowControl w:val="0"/>
              <w:jc w:val="center"/>
              <w:rPr>
                <w:b/>
                <w:bCs/>
                <w:sz w:val="16"/>
                <w:szCs w:val="16"/>
                <w:lang w:val="es-ES_tradnl"/>
              </w:rPr>
            </w:pPr>
            <w:r w:rsidRPr="009577DE">
              <w:rPr>
                <w:b/>
                <w:bCs/>
                <w:color w:val="008000"/>
                <w:sz w:val="16"/>
                <w:szCs w:val="16"/>
                <w:lang w:val="es-ES_tradnl"/>
              </w:rPr>
              <w:t>Progresa con normalidad</w:t>
            </w:r>
          </w:p>
          <w:p w:rsidR="00B070BF" w:rsidRPr="009577DE" w:rsidRDefault="00B070BF" w:rsidP="00C33D4A">
            <w:pPr>
              <w:widowControl w:val="0"/>
              <w:jc w:val="center"/>
              <w:rPr>
                <w:bCs/>
                <w:sz w:val="16"/>
                <w:szCs w:val="16"/>
                <w:lang w:val="es-ES_tradnl"/>
              </w:rPr>
            </w:pPr>
          </w:p>
          <w:p w:rsidR="00B070BF" w:rsidRPr="009577DE" w:rsidRDefault="00B070BF" w:rsidP="00C33D4A">
            <w:pPr>
              <w:widowControl w:val="0"/>
              <w:jc w:val="center"/>
              <w:rPr>
                <w:bCs/>
                <w:sz w:val="16"/>
                <w:szCs w:val="16"/>
                <w:lang w:val="es-ES_tradnl"/>
              </w:rPr>
            </w:pPr>
          </w:p>
        </w:tc>
      </w:tr>
      <w:tr w:rsidR="00B070BF" w:rsidRPr="009577DE" w:rsidTr="00C33D4A">
        <w:trPr>
          <w:cantSplit/>
        </w:trPr>
        <w:tc>
          <w:tcPr>
            <w:tcW w:w="874" w:type="pct"/>
            <w:tcBorders>
              <w:top w:val="single" w:sz="4" w:space="0" w:color="auto"/>
              <w:left w:val="single" w:sz="4" w:space="0" w:color="auto"/>
              <w:bottom w:val="nil"/>
            </w:tcBorders>
            <w:shd w:val="clear" w:color="auto" w:fill="auto"/>
          </w:tcPr>
          <w:p w:rsidR="00B070BF" w:rsidRPr="009577DE" w:rsidRDefault="00B070BF" w:rsidP="00C33D4A">
            <w:pPr>
              <w:widowControl w:val="0"/>
              <w:rPr>
                <w:sz w:val="16"/>
                <w:szCs w:val="16"/>
                <w:lang w:val="es-ES_tradnl" w:bidi="th-TH"/>
              </w:rPr>
            </w:pPr>
            <w:r w:rsidRPr="009577DE">
              <w:rPr>
                <w:sz w:val="16"/>
                <w:szCs w:val="16"/>
                <w:lang w:val="es-ES_tradnl" w:bidi="th-TH"/>
              </w:rPr>
              <w:t>Número de proyectos sometidos a examen del CDIP propuestos por los Estados miembros.</w:t>
            </w:r>
          </w:p>
        </w:tc>
        <w:tc>
          <w:tcPr>
            <w:tcW w:w="805" w:type="pct"/>
            <w:tcBorders>
              <w:top w:val="single" w:sz="4" w:space="0" w:color="auto"/>
              <w:bottom w:val="nil"/>
            </w:tcBorders>
            <w:shd w:val="clear" w:color="auto" w:fill="B3B3B3"/>
          </w:tcPr>
          <w:p w:rsidR="00B070BF" w:rsidRPr="009577DE" w:rsidRDefault="00B070BF" w:rsidP="00C33D4A">
            <w:pPr>
              <w:widowControl w:val="0"/>
              <w:rPr>
                <w:sz w:val="16"/>
                <w:szCs w:val="16"/>
                <w:lang w:val="es-ES_tradnl" w:bidi="th-TH"/>
              </w:rPr>
            </w:pPr>
            <w:r w:rsidRPr="009577DE">
              <w:rPr>
                <w:sz w:val="16"/>
                <w:szCs w:val="16"/>
                <w:lang w:val="es-ES_tradnl" w:bidi="th-TH"/>
              </w:rPr>
              <w:t>Por determinar.</w:t>
            </w:r>
          </w:p>
        </w:tc>
        <w:tc>
          <w:tcPr>
            <w:tcW w:w="916" w:type="pct"/>
            <w:tcBorders>
              <w:top w:val="single" w:sz="4" w:space="0" w:color="auto"/>
              <w:bottom w:val="nil"/>
            </w:tcBorders>
            <w:shd w:val="clear" w:color="auto" w:fill="auto"/>
            <w:tcMar>
              <w:top w:w="110" w:type="dxa"/>
            </w:tcMar>
          </w:tcPr>
          <w:p w:rsidR="00B070BF" w:rsidRPr="00D44D8F" w:rsidRDefault="00B070BF" w:rsidP="00C33D4A">
            <w:pPr>
              <w:widowControl w:val="0"/>
              <w:rPr>
                <w:color w:val="993300"/>
                <w:sz w:val="16"/>
                <w:szCs w:val="16"/>
                <w:lang w:val="es-ES_tradnl" w:bidi="th-TH"/>
              </w:rPr>
            </w:pPr>
            <w:r w:rsidRPr="00D44D8F">
              <w:rPr>
                <w:color w:val="993300"/>
                <w:sz w:val="16"/>
                <w:szCs w:val="16"/>
                <w:lang w:val="es-ES_tradnl" w:bidi="th-TH"/>
              </w:rPr>
              <w:t>1 proyecto (fin 2011)</w:t>
            </w:r>
          </w:p>
        </w:tc>
        <w:tc>
          <w:tcPr>
            <w:tcW w:w="1848" w:type="pct"/>
            <w:tcBorders>
              <w:top w:val="single" w:sz="4" w:space="0" w:color="auto"/>
              <w:bottom w:val="nil"/>
            </w:tcBorders>
            <w:shd w:val="clear" w:color="auto" w:fill="FFFFFF"/>
            <w:tcMar>
              <w:top w:w="110" w:type="dxa"/>
            </w:tcMar>
          </w:tcPr>
          <w:p w:rsidR="00B070BF" w:rsidRPr="009577DE" w:rsidRDefault="00B070BF" w:rsidP="00C33D4A">
            <w:pPr>
              <w:widowControl w:val="0"/>
              <w:rPr>
                <w:sz w:val="16"/>
                <w:szCs w:val="16"/>
                <w:lang w:val="es-ES_tradnl" w:bidi="th-TH"/>
              </w:rPr>
            </w:pPr>
            <w:r w:rsidRPr="009577DE">
              <w:rPr>
                <w:sz w:val="16"/>
                <w:szCs w:val="16"/>
                <w:lang w:val="es-ES_tradnl" w:bidi="th-TH"/>
              </w:rPr>
              <w:t>1 proyecto propuesto por Burkina Faso.</w:t>
            </w:r>
          </w:p>
        </w:tc>
        <w:tc>
          <w:tcPr>
            <w:tcW w:w="557" w:type="pct"/>
            <w:tcBorders>
              <w:top w:val="single" w:sz="4" w:space="0" w:color="auto"/>
              <w:bottom w:val="nil"/>
              <w:right w:val="single" w:sz="4" w:space="0" w:color="auto"/>
            </w:tcBorders>
            <w:shd w:val="clear" w:color="auto" w:fill="auto"/>
            <w:tcMar>
              <w:top w:w="110" w:type="dxa"/>
            </w:tcMar>
          </w:tcPr>
          <w:p w:rsidR="00B070BF" w:rsidRPr="009577DE" w:rsidRDefault="00B070BF" w:rsidP="00C33D4A">
            <w:pPr>
              <w:widowControl w:val="0"/>
              <w:jc w:val="center"/>
              <w:rPr>
                <w:bCs/>
                <w:sz w:val="16"/>
                <w:szCs w:val="16"/>
                <w:lang w:val="es-ES_tradnl"/>
              </w:rPr>
            </w:pPr>
            <w:r w:rsidRPr="009577DE">
              <w:rPr>
                <w:b/>
                <w:bCs/>
                <w:color w:val="008000"/>
                <w:sz w:val="16"/>
                <w:szCs w:val="16"/>
                <w:lang w:val="es-ES_tradnl"/>
              </w:rPr>
              <w:t>Progresa con normalidad</w:t>
            </w:r>
          </w:p>
        </w:tc>
      </w:tr>
      <w:tr w:rsidR="00B070BF" w:rsidRPr="009577DE" w:rsidTr="00C33D4A">
        <w:trPr>
          <w:cantSplit/>
        </w:trPr>
        <w:tc>
          <w:tcPr>
            <w:tcW w:w="874" w:type="pct"/>
            <w:tcBorders>
              <w:top w:val="nil"/>
              <w:left w:val="single" w:sz="4" w:space="0" w:color="auto"/>
              <w:bottom w:val="nil"/>
            </w:tcBorders>
            <w:shd w:val="clear" w:color="auto" w:fill="auto"/>
          </w:tcPr>
          <w:p w:rsidR="00B070BF" w:rsidRPr="009577DE" w:rsidRDefault="00B070BF" w:rsidP="00C33D4A">
            <w:pPr>
              <w:widowControl w:val="0"/>
              <w:rPr>
                <w:sz w:val="16"/>
                <w:szCs w:val="16"/>
                <w:lang w:val="es-ES_tradnl" w:bidi="th-TH"/>
              </w:rPr>
            </w:pPr>
            <w:r w:rsidRPr="009577DE">
              <w:rPr>
                <w:sz w:val="16"/>
                <w:szCs w:val="16"/>
                <w:lang w:val="es-ES_tradnl" w:bidi="th-TH"/>
              </w:rPr>
              <w:lastRenderedPageBreak/>
              <w:t>Porcentaje de proyectos que son objeto de supervisión sistemática.</w:t>
            </w:r>
          </w:p>
        </w:tc>
        <w:tc>
          <w:tcPr>
            <w:tcW w:w="805" w:type="pct"/>
            <w:tcBorders>
              <w:top w:val="nil"/>
              <w:bottom w:val="nil"/>
            </w:tcBorders>
            <w:shd w:val="clear" w:color="auto" w:fill="B3B3B3"/>
          </w:tcPr>
          <w:p w:rsidR="00B070BF" w:rsidRPr="009577DE" w:rsidRDefault="00B070BF" w:rsidP="00C33D4A">
            <w:pPr>
              <w:widowControl w:val="0"/>
              <w:rPr>
                <w:sz w:val="16"/>
                <w:szCs w:val="16"/>
                <w:lang w:val="es-ES_tradnl" w:bidi="th-TH"/>
              </w:rPr>
            </w:pPr>
            <w:r w:rsidRPr="009577DE">
              <w:rPr>
                <w:sz w:val="16"/>
                <w:szCs w:val="16"/>
                <w:lang w:val="es-ES_tradnl" w:bidi="th-TH"/>
              </w:rPr>
              <w:t>100% (17 proyectos)</w:t>
            </w:r>
          </w:p>
        </w:tc>
        <w:tc>
          <w:tcPr>
            <w:tcW w:w="916" w:type="pct"/>
            <w:tcBorders>
              <w:top w:val="nil"/>
              <w:bottom w:val="nil"/>
            </w:tcBorders>
            <w:shd w:val="clear" w:color="auto" w:fill="auto"/>
            <w:tcMar>
              <w:top w:w="110" w:type="dxa"/>
            </w:tcMar>
          </w:tcPr>
          <w:p w:rsidR="00B070BF" w:rsidRPr="00D44D8F" w:rsidRDefault="00B070BF" w:rsidP="00C33D4A">
            <w:pPr>
              <w:widowControl w:val="0"/>
              <w:rPr>
                <w:color w:val="993300"/>
                <w:sz w:val="16"/>
                <w:szCs w:val="16"/>
                <w:lang w:val="es-ES_tradnl" w:bidi="th-TH"/>
              </w:rPr>
            </w:pPr>
            <w:r w:rsidRPr="00D44D8F">
              <w:rPr>
                <w:color w:val="993300"/>
                <w:sz w:val="16"/>
                <w:szCs w:val="16"/>
                <w:lang w:val="es-ES_tradnl" w:bidi="th-TH"/>
              </w:rPr>
              <w:t xml:space="preserve">100% (23 proyectos) </w:t>
            </w:r>
          </w:p>
        </w:tc>
        <w:tc>
          <w:tcPr>
            <w:tcW w:w="1848" w:type="pct"/>
            <w:tcBorders>
              <w:top w:val="nil"/>
              <w:bottom w:val="nil"/>
            </w:tcBorders>
            <w:shd w:val="clear" w:color="auto" w:fill="FFFFFF"/>
            <w:tcMar>
              <w:top w:w="110" w:type="dxa"/>
            </w:tcMar>
          </w:tcPr>
          <w:p w:rsidR="00B070BF" w:rsidRPr="009577DE" w:rsidRDefault="00B070BF" w:rsidP="00C33D4A">
            <w:pPr>
              <w:widowControl w:val="0"/>
              <w:rPr>
                <w:sz w:val="16"/>
                <w:szCs w:val="16"/>
                <w:lang w:val="es-ES_tradnl" w:bidi="th-TH"/>
              </w:rPr>
            </w:pPr>
            <w:r w:rsidRPr="009577DE">
              <w:rPr>
                <w:sz w:val="16"/>
                <w:szCs w:val="16"/>
                <w:lang w:val="es-ES_tradnl" w:bidi="th-TH"/>
              </w:rPr>
              <w:t xml:space="preserve">Se supervisa el 100% de los 27 proyectos.  Se han elaborado y presentado al CDIP los informes sobre la marcha de los proyectos. </w:t>
            </w:r>
          </w:p>
        </w:tc>
        <w:tc>
          <w:tcPr>
            <w:tcW w:w="557" w:type="pct"/>
            <w:tcBorders>
              <w:top w:val="nil"/>
              <w:bottom w:val="nil"/>
              <w:right w:val="single" w:sz="4" w:space="0" w:color="auto"/>
            </w:tcBorders>
            <w:shd w:val="clear" w:color="auto" w:fill="auto"/>
          </w:tcPr>
          <w:p w:rsidR="00B070BF" w:rsidRPr="009577DE" w:rsidRDefault="00B070BF" w:rsidP="00C33D4A">
            <w:pPr>
              <w:widowControl w:val="0"/>
              <w:jc w:val="center"/>
              <w:rPr>
                <w:bCs/>
                <w:sz w:val="12"/>
                <w:szCs w:val="12"/>
                <w:lang w:val="es-ES_tradnl"/>
              </w:rPr>
            </w:pPr>
          </w:p>
          <w:p w:rsidR="00B070BF" w:rsidRPr="009577DE" w:rsidRDefault="00B070BF" w:rsidP="00C33D4A">
            <w:pPr>
              <w:widowControl w:val="0"/>
              <w:jc w:val="center"/>
              <w:rPr>
                <w:b/>
                <w:bCs/>
                <w:sz w:val="16"/>
                <w:szCs w:val="16"/>
                <w:lang w:val="es-ES_tradnl"/>
              </w:rPr>
            </w:pPr>
            <w:r w:rsidRPr="009577DE">
              <w:rPr>
                <w:b/>
                <w:bCs/>
                <w:color w:val="008000"/>
                <w:sz w:val="16"/>
                <w:szCs w:val="16"/>
                <w:lang w:val="es-ES_tradnl"/>
              </w:rPr>
              <w:t>Progresa con normalidad</w:t>
            </w:r>
          </w:p>
          <w:p w:rsidR="00B070BF" w:rsidRPr="009577DE" w:rsidRDefault="00B070BF" w:rsidP="00C33D4A">
            <w:pPr>
              <w:widowControl w:val="0"/>
              <w:jc w:val="center"/>
              <w:rPr>
                <w:bCs/>
                <w:sz w:val="16"/>
                <w:szCs w:val="16"/>
                <w:lang w:val="es-ES_tradnl"/>
              </w:rPr>
            </w:pPr>
          </w:p>
        </w:tc>
      </w:tr>
      <w:tr w:rsidR="00B070BF" w:rsidRPr="009577DE" w:rsidTr="00C33D4A">
        <w:trPr>
          <w:cantSplit/>
        </w:trPr>
        <w:tc>
          <w:tcPr>
            <w:tcW w:w="874" w:type="pct"/>
            <w:tcBorders>
              <w:top w:val="nil"/>
              <w:left w:val="single" w:sz="4" w:space="0" w:color="auto"/>
              <w:bottom w:val="nil"/>
            </w:tcBorders>
            <w:shd w:val="clear" w:color="auto" w:fill="auto"/>
          </w:tcPr>
          <w:p w:rsidR="00B070BF" w:rsidRPr="009577DE" w:rsidRDefault="00B070BF" w:rsidP="00C33D4A">
            <w:pPr>
              <w:widowControl w:val="0"/>
              <w:rPr>
                <w:sz w:val="16"/>
                <w:szCs w:val="16"/>
                <w:lang w:val="es-ES_tradnl" w:bidi="th-TH"/>
              </w:rPr>
            </w:pPr>
            <w:r w:rsidRPr="009577DE">
              <w:rPr>
                <w:sz w:val="16"/>
                <w:szCs w:val="16"/>
                <w:lang w:val="es-ES_tradnl" w:bidi="th-TH"/>
              </w:rPr>
              <w:t>Porcentaje de proyectos que han sido evaluados durante el bienio.</w:t>
            </w:r>
          </w:p>
        </w:tc>
        <w:tc>
          <w:tcPr>
            <w:tcW w:w="805" w:type="pct"/>
            <w:tcBorders>
              <w:top w:val="nil"/>
              <w:bottom w:val="nil"/>
            </w:tcBorders>
            <w:shd w:val="clear" w:color="auto" w:fill="B3B3B3"/>
          </w:tcPr>
          <w:p w:rsidR="00B070BF" w:rsidRPr="009577DE" w:rsidRDefault="00B070BF" w:rsidP="00C33D4A">
            <w:pPr>
              <w:widowControl w:val="0"/>
              <w:rPr>
                <w:sz w:val="16"/>
                <w:szCs w:val="16"/>
                <w:lang w:val="es-ES_tradnl" w:bidi="th-TH"/>
              </w:rPr>
            </w:pPr>
            <w:r w:rsidRPr="009577DE">
              <w:rPr>
                <w:sz w:val="16"/>
                <w:szCs w:val="16"/>
                <w:lang w:val="es-ES_tradnl" w:bidi="th-TH"/>
              </w:rPr>
              <w:t>100% (14 proyectos)</w:t>
            </w:r>
          </w:p>
        </w:tc>
        <w:tc>
          <w:tcPr>
            <w:tcW w:w="916" w:type="pct"/>
            <w:tcBorders>
              <w:top w:val="nil"/>
              <w:bottom w:val="nil"/>
            </w:tcBorders>
            <w:shd w:val="clear" w:color="auto" w:fill="auto"/>
            <w:tcMar>
              <w:top w:w="110" w:type="dxa"/>
            </w:tcMar>
          </w:tcPr>
          <w:p w:rsidR="00B070BF" w:rsidRPr="00D44D8F" w:rsidRDefault="00B070BF" w:rsidP="00C33D4A">
            <w:pPr>
              <w:widowControl w:val="0"/>
              <w:rPr>
                <w:color w:val="993300"/>
                <w:sz w:val="16"/>
                <w:szCs w:val="16"/>
                <w:lang w:val="es-ES_tradnl" w:bidi="th-TH"/>
              </w:rPr>
            </w:pPr>
            <w:r w:rsidRPr="00D44D8F">
              <w:rPr>
                <w:color w:val="993300"/>
                <w:sz w:val="16"/>
                <w:szCs w:val="16"/>
                <w:lang w:val="es-ES_tradnl" w:bidi="th-TH"/>
              </w:rPr>
              <w:t xml:space="preserve">100% (12 proyectos) </w:t>
            </w:r>
          </w:p>
        </w:tc>
        <w:tc>
          <w:tcPr>
            <w:tcW w:w="1848" w:type="pct"/>
            <w:tcBorders>
              <w:top w:val="nil"/>
              <w:bottom w:val="nil"/>
            </w:tcBorders>
            <w:shd w:val="clear" w:color="auto" w:fill="FFFFFF"/>
            <w:tcMar>
              <w:top w:w="110" w:type="dxa"/>
            </w:tcMar>
          </w:tcPr>
          <w:p w:rsidR="00B070BF" w:rsidRPr="009577DE" w:rsidRDefault="00B070BF" w:rsidP="00C33D4A">
            <w:pPr>
              <w:widowControl w:val="0"/>
              <w:rPr>
                <w:sz w:val="16"/>
                <w:szCs w:val="16"/>
                <w:lang w:val="es-ES_tradnl" w:bidi="th-TH"/>
              </w:rPr>
            </w:pPr>
            <w:r w:rsidRPr="009577DE">
              <w:rPr>
                <w:sz w:val="16"/>
                <w:szCs w:val="16"/>
                <w:lang w:val="es-ES_tradnl" w:bidi="th-TH"/>
              </w:rPr>
              <w:t xml:space="preserve">Se ha evaluado el 100%;  el CDIP examinó 12 informes de evaluación. </w:t>
            </w:r>
          </w:p>
        </w:tc>
        <w:tc>
          <w:tcPr>
            <w:tcW w:w="557" w:type="pct"/>
            <w:tcBorders>
              <w:top w:val="nil"/>
              <w:bottom w:val="nil"/>
              <w:right w:val="single" w:sz="4" w:space="0" w:color="auto"/>
            </w:tcBorders>
            <w:shd w:val="clear" w:color="auto" w:fill="auto"/>
            <w:tcMar>
              <w:top w:w="110" w:type="dxa"/>
            </w:tcMar>
            <w:vAlign w:val="center"/>
          </w:tcPr>
          <w:p w:rsidR="00B070BF" w:rsidRPr="009577DE" w:rsidRDefault="00B070BF" w:rsidP="00C33D4A">
            <w:pPr>
              <w:widowControl w:val="0"/>
              <w:jc w:val="center"/>
              <w:rPr>
                <w:bCs/>
                <w:sz w:val="16"/>
                <w:szCs w:val="16"/>
                <w:lang w:val="es-ES_tradnl"/>
              </w:rPr>
            </w:pPr>
            <w:r w:rsidRPr="009577DE">
              <w:rPr>
                <w:b/>
                <w:bCs/>
                <w:color w:val="008000"/>
                <w:sz w:val="16"/>
                <w:szCs w:val="16"/>
                <w:lang w:val="es-ES_tradnl"/>
              </w:rPr>
              <w:t>Progresa con normalidad</w:t>
            </w:r>
          </w:p>
          <w:p w:rsidR="00B070BF" w:rsidRPr="009577DE" w:rsidRDefault="00B070BF" w:rsidP="00C33D4A">
            <w:pPr>
              <w:widowControl w:val="0"/>
              <w:spacing w:after="120"/>
              <w:jc w:val="center"/>
              <w:rPr>
                <w:bCs/>
                <w:sz w:val="16"/>
                <w:szCs w:val="16"/>
                <w:lang w:val="es-ES_tradnl"/>
              </w:rPr>
            </w:pPr>
          </w:p>
          <w:p w:rsidR="00B070BF" w:rsidRPr="009577DE" w:rsidRDefault="00B070BF" w:rsidP="00C33D4A">
            <w:pPr>
              <w:widowControl w:val="0"/>
              <w:spacing w:after="120"/>
              <w:jc w:val="center"/>
              <w:rPr>
                <w:bCs/>
                <w:sz w:val="16"/>
                <w:szCs w:val="16"/>
                <w:lang w:val="es-ES_tradnl"/>
              </w:rPr>
            </w:pPr>
          </w:p>
        </w:tc>
      </w:tr>
      <w:tr w:rsidR="00B070BF" w:rsidRPr="009577DE" w:rsidTr="00C33D4A">
        <w:trPr>
          <w:cantSplit/>
        </w:trPr>
        <w:tc>
          <w:tcPr>
            <w:tcW w:w="874" w:type="pct"/>
            <w:tcBorders>
              <w:top w:val="nil"/>
              <w:left w:val="single" w:sz="4" w:space="0" w:color="auto"/>
              <w:bottom w:val="single" w:sz="4" w:space="0" w:color="auto"/>
            </w:tcBorders>
            <w:shd w:val="clear" w:color="auto" w:fill="auto"/>
          </w:tcPr>
          <w:p w:rsidR="00B070BF" w:rsidRPr="009577DE" w:rsidRDefault="00B070BF" w:rsidP="00C33D4A">
            <w:pPr>
              <w:widowControl w:val="0"/>
              <w:rPr>
                <w:sz w:val="16"/>
                <w:szCs w:val="16"/>
                <w:lang w:val="es-ES_tradnl" w:bidi="th-TH"/>
              </w:rPr>
            </w:pPr>
            <w:r w:rsidRPr="009577DE">
              <w:rPr>
                <w:sz w:val="16"/>
                <w:szCs w:val="16"/>
                <w:lang w:val="es-ES_tradnl" w:bidi="th-TH"/>
              </w:rPr>
              <w:t>Información recibida acerca de la calidad de los informes presentados al CDIP sobre la aplicación de las recomendaciones de la Agenda para el Desarrollo.</w:t>
            </w:r>
          </w:p>
        </w:tc>
        <w:tc>
          <w:tcPr>
            <w:tcW w:w="805" w:type="pct"/>
            <w:tcBorders>
              <w:top w:val="nil"/>
              <w:bottom w:val="single" w:sz="4" w:space="0" w:color="auto"/>
            </w:tcBorders>
            <w:shd w:val="clear" w:color="auto" w:fill="B3B3B3"/>
          </w:tcPr>
          <w:p w:rsidR="00B070BF" w:rsidRPr="009577DE" w:rsidRDefault="00B070BF" w:rsidP="00C33D4A">
            <w:pPr>
              <w:widowControl w:val="0"/>
              <w:rPr>
                <w:sz w:val="16"/>
                <w:szCs w:val="16"/>
                <w:lang w:val="es-ES_tradnl" w:bidi="th-TH"/>
              </w:rPr>
            </w:pPr>
            <w:r w:rsidRPr="009577DE">
              <w:rPr>
                <w:sz w:val="16"/>
                <w:szCs w:val="16"/>
                <w:lang w:val="es-ES_tradnl" w:bidi="th-TH"/>
              </w:rPr>
              <w:t>No se dispone de datos.</w:t>
            </w:r>
          </w:p>
        </w:tc>
        <w:tc>
          <w:tcPr>
            <w:tcW w:w="916" w:type="pct"/>
            <w:tcBorders>
              <w:top w:val="nil"/>
              <w:bottom w:val="single" w:sz="4" w:space="0" w:color="auto"/>
            </w:tcBorders>
            <w:shd w:val="clear" w:color="auto" w:fill="auto"/>
            <w:tcMar>
              <w:top w:w="110" w:type="dxa"/>
            </w:tcMar>
          </w:tcPr>
          <w:p w:rsidR="00B070BF" w:rsidRPr="00D44D8F" w:rsidRDefault="00B070BF" w:rsidP="00C33D4A">
            <w:pPr>
              <w:widowControl w:val="0"/>
              <w:rPr>
                <w:color w:val="993300"/>
                <w:sz w:val="16"/>
                <w:szCs w:val="16"/>
                <w:lang w:val="es-ES_tradnl" w:bidi="th-TH"/>
              </w:rPr>
            </w:pPr>
            <w:r w:rsidRPr="00D44D8F">
              <w:rPr>
                <w:color w:val="993300"/>
                <w:sz w:val="16"/>
                <w:szCs w:val="16"/>
                <w:lang w:val="es-ES_tradnl" w:bidi="th-TH"/>
              </w:rPr>
              <w:t>Comentarios favorables recibidos del CDIP.  Petición específica de que los informes contengan mayor cantidad de información analítica.</w:t>
            </w:r>
          </w:p>
        </w:tc>
        <w:tc>
          <w:tcPr>
            <w:tcW w:w="1848" w:type="pct"/>
            <w:tcBorders>
              <w:top w:val="nil"/>
              <w:bottom w:val="single" w:sz="4" w:space="0" w:color="auto"/>
            </w:tcBorders>
            <w:shd w:val="clear" w:color="auto" w:fill="FFFFFF"/>
            <w:tcMar>
              <w:top w:w="110" w:type="dxa"/>
            </w:tcMar>
          </w:tcPr>
          <w:p w:rsidR="00B070BF" w:rsidRPr="009577DE" w:rsidRDefault="00B070BF" w:rsidP="00C33D4A">
            <w:pPr>
              <w:widowControl w:val="0"/>
              <w:rPr>
                <w:sz w:val="16"/>
                <w:szCs w:val="16"/>
                <w:lang w:val="es-ES_tradnl" w:bidi="th-TH"/>
              </w:rPr>
            </w:pPr>
            <w:r w:rsidRPr="009577DE">
              <w:rPr>
                <w:sz w:val="16"/>
                <w:szCs w:val="16"/>
                <w:lang w:val="es-ES_tradnl" w:bidi="th-TH"/>
              </w:rPr>
              <w:t>Comentarios favorables recibidos del CDIP.  Se ha continuado pidiendo específicamente que los informes contengan mayor cantidad de información analítica (en los informes finales de las sesiones novena y décima del CDIP figuran más detalles al respecto).</w:t>
            </w:r>
          </w:p>
          <w:p w:rsidR="00B070BF" w:rsidRPr="009577DE" w:rsidRDefault="00B070BF" w:rsidP="00C33D4A">
            <w:pPr>
              <w:widowControl w:val="0"/>
              <w:rPr>
                <w:sz w:val="16"/>
                <w:szCs w:val="16"/>
                <w:highlight w:val="yellow"/>
                <w:lang w:val="es-ES_tradnl"/>
              </w:rPr>
            </w:pPr>
          </w:p>
        </w:tc>
        <w:tc>
          <w:tcPr>
            <w:tcW w:w="557" w:type="pct"/>
            <w:tcBorders>
              <w:top w:val="nil"/>
              <w:bottom w:val="single" w:sz="4" w:space="0" w:color="auto"/>
              <w:right w:val="single" w:sz="4" w:space="0" w:color="auto"/>
            </w:tcBorders>
            <w:shd w:val="clear" w:color="auto" w:fill="auto"/>
          </w:tcPr>
          <w:p w:rsidR="00B070BF" w:rsidRPr="009577DE" w:rsidRDefault="00B070BF" w:rsidP="00C33D4A">
            <w:pPr>
              <w:widowControl w:val="0"/>
              <w:jc w:val="center"/>
              <w:rPr>
                <w:b/>
                <w:sz w:val="16"/>
                <w:szCs w:val="16"/>
                <w:lang w:val="es-ES_tradnl"/>
              </w:rPr>
            </w:pPr>
            <w:r w:rsidRPr="009577DE">
              <w:rPr>
                <w:b/>
                <w:color w:val="008000"/>
                <w:sz w:val="16"/>
                <w:szCs w:val="16"/>
                <w:lang w:val="es-ES_tradnl"/>
              </w:rPr>
              <w:t>Progresa con normalidad</w:t>
            </w:r>
          </w:p>
          <w:p w:rsidR="00B070BF" w:rsidRPr="009577DE" w:rsidRDefault="00B070BF" w:rsidP="00C33D4A">
            <w:pPr>
              <w:widowControl w:val="0"/>
              <w:jc w:val="center"/>
              <w:rPr>
                <w:bCs/>
                <w:sz w:val="16"/>
                <w:szCs w:val="16"/>
                <w:lang w:val="es-ES_tradnl"/>
              </w:rPr>
            </w:pPr>
          </w:p>
        </w:tc>
      </w:tr>
      <w:tr w:rsidR="00B070BF" w:rsidRPr="009577DE" w:rsidTr="00C33D4A">
        <w:trPr>
          <w:cantSplit/>
        </w:trPr>
        <w:tc>
          <w:tcPr>
            <w:tcW w:w="5000" w:type="pct"/>
            <w:gridSpan w:val="5"/>
            <w:tcBorders>
              <w:top w:val="single" w:sz="4" w:space="0" w:color="auto"/>
              <w:left w:val="single" w:sz="4" w:space="0" w:color="auto"/>
              <w:bottom w:val="single" w:sz="4" w:space="0" w:color="auto"/>
              <w:right w:val="single" w:sz="4" w:space="0" w:color="auto"/>
            </w:tcBorders>
            <w:shd w:val="clear" w:color="auto" w:fill="CCFFFF"/>
            <w:vAlign w:val="center"/>
          </w:tcPr>
          <w:p w:rsidR="00B070BF" w:rsidRPr="009577DE" w:rsidRDefault="00B070BF" w:rsidP="00C33D4A">
            <w:pPr>
              <w:widowControl w:val="0"/>
              <w:tabs>
                <w:tab w:val="left" w:pos="1452"/>
              </w:tabs>
              <w:spacing w:before="120" w:after="120"/>
              <w:ind w:left="1452" w:hanging="1452"/>
              <w:rPr>
                <w:b/>
                <w:bCs/>
                <w:sz w:val="16"/>
                <w:szCs w:val="16"/>
                <w:lang w:val="es-ES_tradnl"/>
              </w:rPr>
            </w:pPr>
            <w:r w:rsidRPr="009577DE">
              <w:rPr>
                <w:b/>
                <w:bCs/>
                <w:sz w:val="16"/>
                <w:szCs w:val="16"/>
                <w:lang w:val="es-ES_tradnl"/>
              </w:rPr>
              <w:t>Resultado previsto:</w:t>
            </w:r>
            <w:r w:rsidRPr="009577DE">
              <w:rPr>
                <w:b/>
                <w:bCs/>
                <w:sz w:val="16"/>
                <w:szCs w:val="16"/>
                <w:lang w:val="es-ES_tradnl"/>
              </w:rPr>
              <w:tab/>
            </w:r>
            <w:r w:rsidRPr="009577DE">
              <w:rPr>
                <w:bCs/>
                <w:sz w:val="16"/>
                <w:szCs w:val="16"/>
                <w:lang w:val="es-ES_tradnl"/>
              </w:rPr>
              <w:t xml:space="preserve"> Mejor comprensión de la Agenda para el Desarrollo por los Estados miembros, las OIG, la sociedad civil y demás sectores interesados.</w:t>
            </w:r>
          </w:p>
        </w:tc>
      </w:tr>
      <w:tr w:rsidR="00B070BF" w:rsidRPr="009577DE" w:rsidTr="00C33D4A">
        <w:trPr>
          <w:cantSplit/>
          <w:trHeight w:val="699"/>
        </w:trPr>
        <w:tc>
          <w:tcPr>
            <w:tcW w:w="874" w:type="pct"/>
            <w:tcBorders>
              <w:top w:val="single" w:sz="4" w:space="0" w:color="auto"/>
              <w:left w:val="single" w:sz="4" w:space="0" w:color="auto"/>
              <w:bottom w:val="nil"/>
            </w:tcBorders>
            <w:shd w:val="clear" w:color="auto" w:fill="auto"/>
            <w:vAlign w:val="center"/>
          </w:tcPr>
          <w:p w:rsidR="00B070BF" w:rsidRPr="009577DE" w:rsidRDefault="00B070BF" w:rsidP="00C33D4A">
            <w:pPr>
              <w:widowControl w:val="0"/>
              <w:spacing w:after="120"/>
              <w:rPr>
                <w:sz w:val="16"/>
                <w:szCs w:val="16"/>
                <w:lang w:val="es-ES_tradnl"/>
              </w:rPr>
            </w:pPr>
            <w:r w:rsidRPr="009577DE">
              <w:rPr>
                <w:b/>
                <w:bCs/>
                <w:sz w:val="16"/>
                <w:szCs w:val="16"/>
                <w:lang w:val="es-ES_tradnl"/>
              </w:rPr>
              <w:t>Indicadores de rendimiento</w:t>
            </w:r>
          </w:p>
        </w:tc>
        <w:tc>
          <w:tcPr>
            <w:tcW w:w="805" w:type="pct"/>
            <w:tcBorders>
              <w:top w:val="single" w:sz="4" w:space="0" w:color="auto"/>
              <w:bottom w:val="nil"/>
            </w:tcBorders>
            <w:shd w:val="clear" w:color="auto" w:fill="C0C0C0"/>
          </w:tcPr>
          <w:p w:rsidR="00B070BF" w:rsidRPr="009577DE" w:rsidRDefault="00B070BF" w:rsidP="00C33D4A">
            <w:pPr>
              <w:widowControl w:val="0"/>
              <w:spacing w:after="120"/>
              <w:rPr>
                <w:b/>
                <w:bCs/>
                <w:sz w:val="16"/>
                <w:szCs w:val="16"/>
                <w:lang w:val="es-ES_tradnl"/>
              </w:rPr>
            </w:pPr>
            <w:r w:rsidRPr="009577DE">
              <w:rPr>
                <w:b/>
                <w:bCs/>
                <w:sz w:val="16"/>
                <w:szCs w:val="16"/>
                <w:lang w:val="es-ES_tradnl"/>
              </w:rPr>
              <w:t>Referencia (</w:t>
            </w:r>
            <w:proofErr w:type="spellStart"/>
            <w:r w:rsidRPr="009577DE">
              <w:rPr>
                <w:b/>
                <w:bCs/>
                <w:sz w:val="16"/>
                <w:szCs w:val="16"/>
                <w:lang w:val="es-ES_tradnl"/>
              </w:rPr>
              <w:t>Presup</w:t>
            </w:r>
            <w:proofErr w:type="spellEnd"/>
            <w:r w:rsidRPr="009577DE">
              <w:rPr>
                <w:b/>
                <w:bCs/>
                <w:sz w:val="16"/>
                <w:szCs w:val="16"/>
                <w:lang w:val="es-ES_tradnl"/>
              </w:rPr>
              <w:t xml:space="preserve">. por </w:t>
            </w:r>
            <w:proofErr w:type="spellStart"/>
            <w:r w:rsidRPr="009577DE">
              <w:rPr>
                <w:b/>
                <w:bCs/>
                <w:sz w:val="16"/>
                <w:szCs w:val="16"/>
                <w:lang w:val="es-ES_tradnl"/>
              </w:rPr>
              <w:t>prog</w:t>
            </w:r>
            <w:proofErr w:type="spellEnd"/>
            <w:r w:rsidRPr="009577DE">
              <w:rPr>
                <w:b/>
                <w:bCs/>
                <w:sz w:val="16"/>
                <w:szCs w:val="16"/>
                <w:lang w:val="es-ES_tradnl"/>
              </w:rPr>
              <w:t>. 2012/13)</w:t>
            </w:r>
          </w:p>
        </w:tc>
        <w:tc>
          <w:tcPr>
            <w:tcW w:w="916" w:type="pct"/>
            <w:tcBorders>
              <w:top w:val="single" w:sz="4" w:space="0" w:color="auto"/>
              <w:bottom w:val="nil"/>
            </w:tcBorders>
            <w:shd w:val="clear" w:color="auto" w:fill="auto"/>
            <w:tcMar>
              <w:top w:w="110" w:type="dxa"/>
            </w:tcMar>
            <w:vAlign w:val="center"/>
          </w:tcPr>
          <w:p w:rsidR="00B070BF" w:rsidRPr="009577DE" w:rsidRDefault="00B070BF" w:rsidP="00C33D4A">
            <w:pPr>
              <w:widowControl w:val="0"/>
              <w:spacing w:after="120"/>
              <w:rPr>
                <w:b/>
                <w:sz w:val="16"/>
                <w:szCs w:val="16"/>
                <w:lang w:val="es-ES_tradnl"/>
              </w:rPr>
            </w:pPr>
            <w:r w:rsidRPr="00BF138D">
              <w:rPr>
                <w:b/>
                <w:color w:val="993300"/>
                <w:sz w:val="16"/>
                <w:szCs w:val="16"/>
                <w:lang w:val="es-ES_tradnl"/>
              </w:rPr>
              <w:t>Referencia actualizada a finales de 2011</w:t>
            </w:r>
          </w:p>
        </w:tc>
        <w:tc>
          <w:tcPr>
            <w:tcW w:w="1848" w:type="pct"/>
            <w:tcBorders>
              <w:top w:val="single" w:sz="4" w:space="0" w:color="auto"/>
              <w:bottom w:val="nil"/>
            </w:tcBorders>
            <w:shd w:val="clear" w:color="auto" w:fill="FFFFFF"/>
            <w:tcMar>
              <w:top w:w="110" w:type="dxa"/>
            </w:tcMar>
            <w:vAlign w:val="center"/>
          </w:tcPr>
          <w:p w:rsidR="00B070BF" w:rsidRPr="009577DE" w:rsidRDefault="00B070BF" w:rsidP="00C33D4A">
            <w:pPr>
              <w:widowControl w:val="0"/>
              <w:spacing w:after="120"/>
              <w:rPr>
                <w:sz w:val="16"/>
                <w:szCs w:val="16"/>
                <w:lang w:val="es-ES_tradnl"/>
              </w:rPr>
            </w:pPr>
            <w:r w:rsidRPr="009577DE">
              <w:rPr>
                <w:b/>
                <w:bCs/>
                <w:sz w:val="16"/>
                <w:szCs w:val="16"/>
                <w:lang w:val="es-ES_tradnl"/>
              </w:rPr>
              <w:t>Datos sobre el rendimiento</w:t>
            </w:r>
          </w:p>
        </w:tc>
        <w:tc>
          <w:tcPr>
            <w:tcW w:w="557" w:type="pct"/>
            <w:tcBorders>
              <w:top w:val="single" w:sz="4" w:space="0" w:color="auto"/>
              <w:bottom w:val="nil"/>
              <w:right w:val="single" w:sz="4" w:space="0" w:color="auto"/>
            </w:tcBorders>
            <w:shd w:val="clear" w:color="auto" w:fill="auto"/>
            <w:tcMar>
              <w:top w:w="110" w:type="dxa"/>
            </w:tcMar>
            <w:vAlign w:val="center"/>
          </w:tcPr>
          <w:p w:rsidR="00B070BF" w:rsidRPr="009577DE" w:rsidRDefault="00B070BF" w:rsidP="00C33D4A">
            <w:pPr>
              <w:widowControl w:val="0"/>
              <w:spacing w:after="120"/>
              <w:jc w:val="center"/>
              <w:rPr>
                <w:b/>
                <w:bCs/>
                <w:sz w:val="16"/>
                <w:szCs w:val="16"/>
                <w:lang w:val="es-ES_tradnl"/>
              </w:rPr>
            </w:pPr>
            <w:r w:rsidRPr="009577DE">
              <w:rPr>
                <w:b/>
                <w:bCs/>
                <w:sz w:val="16"/>
                <w:szCs w:val="16"/>
                <w:lang w:val="es-ES_tradnl"/>
              </w:rPr>
              <w:t>Clave de colores</w:t>
            </w:r>
          </w:p>
        </w:tc>
      </w:tr>
      <w:tr w:rsidR="00B070BF" w:rsidRPr="009577DE" w:rsidTr="00C33D4A">
        <w:trPr>
          <w:cantSplit/>
        </w:trPr>
        <w:tc>
          <w:tcPr>
            <w:tcW w:w="874" w:type="pct"/>
            <w:tcBorders>
              <w:top w:val="nil"/>
              <w:left w:val="single" w:sz="4" w:space="0" w:color="auto"/>
              <w:bottom w:val="single" w:sz="4" w:space="0" w:color="auto"/>
            </w:tcBorders>
            <w:shd w:val="clear" w:color="auto" w:fill="FFFFFF"/>
          </w:tcPr>
          <w:p w:rsidR="00B070BF" w:rsidRPr="009577DE" w:rsidRDefault="00B070BF" w:rsidP="00C33D4A">
            <w:pPr>
              <w:widowControl w:val="0"/>
              <w:rPr>
                <w:sz w:val="16"/>
                <w:szCs w:val="16"/>
                <w:lang w:val="es-ES_tradnl" w:bidi="th-TH"/>
              </w:rPr>
            </w:pPr>
            <w:r w:rsidRPr="009577DE">
              <w:rPr>
                <w:sz w:val="16"/>
                <w:szCs w:val="16"/>
                <w:lang w:val="es-ES_tradnl" w:bidi="th-TH"/>
              </w:rPr>
              <w:t>Número de países que solicitan asistencia técnica mediante proyectos de la Agenda para el Desarrollo y que expresan interés en las actividades relacionadas con la Agenda para el Desarrollo.</w:t>
            </w:r>
          </w:p>
        </w:tc>
        <w:tc>
          <w:tcPr>
            <w:tcW w:w="805" w:type="pct"/>
            <w:tcBorders>
              <w:top w:val="nil"/>
              <w:bottom w:val="single" w:sz="4" w:space="0" w:color="auto"/>
            </w:tcBorders>
            <w:shd w:val="clear" w:color="auto" w:fill="C0C0C0"/>
          </w:tcPr>
          <w:p w:rsidR="00B070BF" w:rsidRPr="009577DE" w:rsidRDefault="00B070BF" w:rsidP="00C33D4A">
            <w:pPr>
              <w:widowControl w:val="0"/>
              <w:rPr>
                <w:sz w:val="16"/>
                <w:szCs w:val="16"/>
                <w:lang w:val="es-ES_tradnl" w:bidi="th-TH"/>
              </w:rPr>
            </w:pPr>
            <w:r w:rsidRPr="009577DE">
              <w:rPr>
                <w:sz w:val="16"/>
                <w:szCs w:val="16"/>
                <w:lang w:val="es-ES_tradnl" w:bidi="th-TH"/>
              </w:rPr>
              <w:t>Proyectos y actividades relacionados con la Agenda para el Desarrollo en 50 países.</w:t>
            </w:r>
          </w:p>
        </w:tc>
        <w:tc>
          <w:tcPr>
            <w:tcW w:w="916" w:type="pct"/>
            <w:tcBorders>
              <w:top w:val="nil"/>
              <w:bottom w:val="single" w:sz="4" w:space="0" w:color="auto"/>
            </w:tcBorders>
            <w:shd w:val="clear" w:color="auto" w:fill="auto"/>
            <w:tcMar>
              <w:top w:w="110" w:type="dxa"/>
            </w:tcMar>
          </w:tcPr>
          <w:p w:rsidR="00B070BF" w:rsidRPr="009577DE" w:rsidRDefault="00B070BF" w:rsidP="00C33D4A">
            <w:pPr>
              <w:widowControl w:val="0"/>
              <w:rPr>
                <w:sz w:val="16"/>
                <w:szCs w:val="16"/>
                <w:lang w:val="es-ES_tradnl" w:bidi="th-TH"/>
              </w:rPr>
            </w:pPr>
            <w:r w:rsidRPr="00D44D8F">
              <w:rPr>
                <w:color w:val="993300"/>
                <w:sz w:val="16"/>
                <w:szCs w:val="16"/>
                <w:lang w:val="es-ES_tradnl" w:bidi="th-TH"/>
              </w:rPr>
              <w:t>Proyectos y actividades relacionados con la Agenda para el Desarrollo en 50 países.</w:t>
            </w:r>
          </w:p>
        </w:tc>
        <w:tc>
          <w:tcPr>
            <w:tcW w:w="1848" w:type="pct"/>
            <w:tcBorders>
              <w:top w:val="nil"/>
              <w:bottom w:val="single" w:sz="4" w:space="0" w:color="auto"/>
            </w:tcBorders>
            <w:shd w:val="clear" w:color="auto" w:fill="FFFFFF"/>
            <w:tcMar>
              <w:top w:w="110" w:type="dxa"/>
            </w:tcMar>
          </w:tcPr>
          <w:p w:rsidR="00B070BF" w:rsidRPr="009577DE" w:rsidRDefault="00B070BF" w:rsidP="00C33D4A">
            <w:pPr>
              <w:widowControl w:val="0"/>
              <w:rPr>
                <w:sz w:val="16"/>
                <w:szCs w:val="16"/>
                <w:lang w:val="es-ES_tradnl" w:bidi="th-TH"/>
              </w:rPr>
            </w:pPr>
            <w:r w:rsidRPr="009577DE">
              <w:rPr>
                <w:sz w:val="16"/>
                <w:szCs w:val="16"/>
                <w:lang w:val="es-ES_tradnl" w:bidi="th-TH"/>
              </w:rPr>
              <w:t>Proyectos y actividades relacionados con la Agenda para el Desarrollo en 43 países.</w:t>
            </w:r>
            <w:r w:rsidRPr="009577DE" w:rsidDel="00657E61">
              <w:rPr>
                <w:sz w:val="16"/>
                <w:szCs w:val="16"/>
                <w:lang w:val="es-ES_tradnl" w:bidi="th-TH"/>
              </w:rPr>
              <w:t xml:space="preserve"> </w:t>
            </w:r>
          </w:p>
          <w:p w:rsidR="00B070BF" w:rsidRPr="009577DE" w:rsidRDefault="00B070BF" w:rsidP="00C33D4A">
            <w:pPr>
              <w:widowControl w:val="0"/>
              <w:rPr>
                <w:sz w:val="16"/>
                <w:szCs w:val="16"/>
                <w:lang w:val="es-ES_tradnl" w:bidi="th-TH"/>
              </w:rPr>
            </w:pPr>
          </w:p>
          <w:p w:rsidR="00B070BF" w:rsidRPr="009577DE" w:rsidRDefault="00B070BF" w:rsidP="00C33D4A">
            <w:pPr>
              <w:widowControl w:val="0"/>
              <w:rPr>
                <w:sz w:val="16"/>
                <w:szCs w:val="16"/>
                <w:lang w:val="es-ES_tradnl" w:bidi="th-TH"/>
              </w:rPr>
            </w:pPr>
          </w:p>
          <w:p w:rsidR="00B070BF" w:rsidRPr="009577DE" w:rsidRDefault="00B070BF" w:rsidP="00C33D4A">
            <w:pPr>
              <w:widowControl w:val="0"/>
              <w:rPr>
                <w:sz w:val="16"/>
                <w:szCs w:val="16"/>
                <w:lang w:val="es-ES_tradnl" w:bidi="th-TH"/>
              </w:rPr>
            </w:pPr>
          </w:p>
          <w:p w:rsidR="00B070BF" w:rsidRPr="009577DE" w:rsidRDefault="00B070BF" w:rsidP="00C33D4A">
            <w:pPr>
              <w:widowControl w:val="0"/>
              <w:rPr>
                <w:sz w:val="16"/>
                <w:szCs w:val="16"/>
                <w:lang w:val="es-ES_tradnl" w:bidi="th-TH"/>
              </w:rPr>
            </w:pPr>
          </w:p>
        </w:tc>
        <w:tc>
          <w:tcPr>
            <w:tcW w:w="557" w:type="pct"/>
            <w:tcBorders>
              <w:top w:val="nil"/>
              <w:bottom w:val="single" w:sz="4" w:space="0" w:color="auto"/>
              <w:right w:val="single" w:sz="4" w:space="0" w:color="auto"/>
            </w:tcBorders>
            <w:shd w:val="clear" w:color="auto" w:fill="auto"/>
            <w:tcMar>
              <w:top w:w="110" w:type="dxa"/>
            </w:tcMar>
          </w:tcPr>
          <w:p w:rsidR="00B070BF" w:rsidRPr="009577DE" w:rsidRDefault="00B070BF" w:rsidP="00C33D4A">
            <w:pPr>
              <w:widowControl w:val="0"/>
              <w:jc w:val="center"/>
              <w:rPr>
                <w:b/>
                <w:sz w:val="16"/>
                <w:szCs w:val="16"/>
                <w:lang w:val="es-ES_tradnl"/>
              </w:rPr>
            </w:pPr>
            <w:r w:rsidRPr="009577DE">
              <w:rPr>
                <w:b/>
                <w:color w:val="008000"/>
                <w:sz w:val="16"/>
                <w:szCs w:val="16"/>
                <w:lang w:val="es-ES_tradnl"/>
              </w:rPr>
              <w:t>Progresa con normalidad</w:t>
            </w:r>
          </w:p>
          <w:p w:rsidR="00B070BF" w:rsidRPr="009577DE" w:rsidRDefault="00B070BF" w:rsidP="00C33D4A">
            <w:pPr>
              <w:widowControl w:val="0"/>
              <w:jc w:val="center"/>
              <w:rPr>
                <w:bCs/>
                <w:sz w:val="16"/>
                <w:szCs w:val="16"/>
                <w:lang w:val="es-ES_tradnl"/>
              </w:rPr>
            </w:pPr>
          </w:p>
          <w:p w:rsidR="00B070BF" w:rsidRPr="009577DE" w:rsidRDefault="00B070BF" w:rsidP="00C33D4A">
            <w:pPr>
              <w:widowControl w:val="0"/>
              <w:jc w:val="center"/>
              <w:rPr>
                <w:bCs/>
                <w:sz w:val="16"/>
                <w:szCs w:val="16"/>
                <w:lang w:val="es-ES_tradnl"/>
              </w:rPr>
            </w:pPr>
          </w:p>
        </w:tc>
      </w:tr>
    </w:tbl>
    <w:p w:rsidR="00B070BF" w:rsidRDefault="00B070BF" w:rsidP="00B070BF">
      <w:pPr>
        <w:widowControl w:val="0"/>
        <w:rPr>
          <w:sz w:val="18"/>
          <w:szCs w:val="18"/>
          <w:lang w:val="es-ES_tradnl"/>
        </w:rPr>
      </w:pPr>
    </w:p>
    <w:p w:rsidR="00B070BF" w:rsidRPr="009577DE" w:rsidRDefault="00B070BF" w:rsidP="00B070BF">
      <w:pPr>
        <w:widowControl w:val="0"/>
        <w:rPr>
          <w:sz w:val="18"/>
          <w:szCs w:val="18"/>
          <w:lang w:val="es-ES_tradnl"/>
        </w:rPr>
      </w:pPr>
    </w:p>
    <w:p w:rsidR="00B070BF" w:rsidRPr="00EC1FF8" w:rsidRDefault="00B070BF" w:rsidP="00B070BF">
      <w:pPr>
        <w:widowControl w:val="0"/>
        <w:rPr>
          <w:sz w:val="20"/>
          <w:lang w:val="es-ES_tradnl"/>
        </w:rPr>
      </w:pPr>
      <w:r w:rsidRPr="00EC1FF8">
        <w:rPr>
          <w:sz w:val="20"/>
          <w:lang w:val="es-ES_tradnl"/>
        </w:rPr>
        <w:t>PRESUPUESTO Y GASTOS REALES</w:t>
      </w:r>
    </w:p>
    <w:p w:rsidR="00B070BF" w:rsidRPr="00EC1FF8" w:rsidRDefault="00B070BF" w:rsidP="00B070BF">
      <w:pPr>
        <w:widowControl w:val="0"/>
        <w:rPr>
          <w:sz w:val="20"/>
          <w:lang w:val="es-ES_tradnl"/>
        </w:rPr>
      </w:pPr>
    </w:p>
    <w:p w:rsidR="00B070BF" w:rsidRPr="0028075A" w:rsidRDefault="00B070BF" w:rsidP="00B070BF">
      <w:pPr>
        <w:widowControl w:val="0"/>
        <w:jc w:val="center"/>
        <w:rPr>
          <w:sz w:val="20"/>
          <w:lang w:val="es-ES_tradnl"/>
        </w:rPr>
      </w:pPr>
      <w:r w:rsidRPr="0028075A">
        <w:rPr>
          <w:sz w:val="20"/>
          <w:lang w:val="es-ES_tradnl"/>
        </w:rPr>
        <w:t>Presupuesto y gastos reales (por resultado)</w:t>
      </w:r>
    </w:p>
    <w:p w:rsidR="00B070BF" w:rsidRPr="009577DE" w:rsidRDefault="00B070BF" w:rsidP="00B070BF">
      <w:pPr>
        <w:widowControl w:val="0"/>
        <w:jc w:val="center"/>
        <w:rPr>
          <w:sz w:val="20"/>
          <w:lang w:val="es-ES_tradnl"/>
        </w:rPr>
      </w:pPr>
      <w:r w:rsidRPr="0028075A">
        <w:rPr>
          <w:i/>
          <w:iCs/>
          <w:sz w:val="20"/>
          <w:lang w:val="es-ES_tradnl"/>
        </w:rPr>
        <w:t>(en miles de francos suizos)</w:t>
      </w:r>
      <w:r w:rsidRPr="0028075A">
        <w:rPr>
          <w:i/>
          <w:iCs/>
          <w:sz w:val="20"/>
          <w:lang w:val="es-ES_tradnl"/>
        </w:rPr>
        <w:br/>
      </w:r>
      <w:r w:rsidRPr="0028075A">
        <w:rPr>
          <w:i/>
          <w:iCs/>
          <w:sz w:val="20"/>
          <w:lang w:val="es-ES_tradnl"/>
        </w:rPr>
        <w:br/>
      </w:r>
      <w:r w:rsidRPr="009577DE">
        <w:rPr>
          <w:noProof/>
          <w:lang w:val="en-US" w:eastAsia="en-US"/>
        </w:rPr>
        <w:drawing>
          <wp:inline distT="0" distB="0" distL="0" distR="0" wp14:anchorId="4A4B868C" wp14:editId="4E757F2D">
            <wp:extent cx="5902325" cy="1686560"/>
            <wp:effectExtent l="0" t="0" r="3175" b="8890"/>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902325" cy="1686560"/>
                    </a:xfrm>
                    <a:prstGeom prst="rect">
                      <a:avLst/>
                    </a:prstGeom>
                    <a:noFill/>
                    <a:ln>
                      <a:noFill/>
                    </a:ln>
                  </pic:spPr>
                </pic:pic>
              </a:graphicData>
            </a:graphic>
          </wp:inline>
        </w:drawing>
      </w:r>
    </w:p>
    <w:p w:rsidR="00B070BF" w:rsidRPr="009577DE" w:rsidRDefault="00B070BF" w:rsidP="00B070BF">
      <w:pPr>
        <w:widowControl w:val="0"/>
        <w:rPr>
          <w:sz w:val="20"/>
          <w:lang w:val="es-ES_tradnl"/>
        </w:rPr>
      </w:pPr>
    </w:p>
    <w:p w:rsidR="00B070BF" w:rsidRDefault="00B070BF" w:rsidP="00B070BF">
      <w:pPr>
        <w:rPr>
          <w:sz w:val="20"/>
          <w:lang w:val="es-ES_tradnl"/>
        </w:rPr>
      </w:pPr>
      <w:r>
        <w:rPr>
          <w:sz w:val="20"/>
          <w:lang w:val="es-ES_tradnl"/>
        </w:rPr>
        <w:br w:type="page"/>
      </w:r>
    </w:p>
    <w:p w:rsidR="00B070BF" w:rsidRPr="0028075A" w:rsidRDefault="00B070BF" w:rsidP="00B070BF">
      <w:pPr>
        <w:widowControl w:val="0"/>
        <w:rPr>
          <w:sz w:val="20"/>
          <w:lang w:val="es-ES_tradnl"/>
        </w:rPr>
      </w:pPr>
    </w:p>
    <w:p w:rsidR="00B070BF" w:rsidRPr="009577DE" w:rsidRDefault="00B070BF" w:rsidP="00B070BF">
      <w:pPr>
        <w:widowControl w:val="0"/>
        <w:jc w:val="center"/>
        <w:rPr>
          <w:sz w:val="20"/>
          <w:lang w:val="es-ES_tradnl"/>
        </w:rPr>
      </w:pPr>
      <w:r w:rsidRPr="0028075A">
        <w:rPr>
          <w:sz w:val="20"/>
          <w:lang w:val="es-ES_tradnl"/>
        </w:rPr>
        <w:t>Presupuesto y gastos reales (de personal y no relativos al personal)</w:t>
      </w:r>
      <w:r w:rsidRPr="0028075A">
        <w:rPr>
          <w:sz w:val="20"/>
          <w:lang w:val="es-ES_tradnl"/>
        </w:rPr>
        <w:br/>
      </w:r>
      <w:r w:rsidRPr="0028075A">
        <w:rPr>
          <w:i/>
          <w:sz w:val="20"/>
          <w:lang w:val="es-ES_tradnl"/>
        </w:rPr>
        <w:t>(en miles de francos suizos)</w:t>
      </w:r>
      <w:r w:rsidRPr="0028075A">
        <w:rPr>
          <w:sz w:val="20"/>
          <w:lang w:val="es-ES_tradnl"/>
        </w:rPr>
        <w:br/>
      </w:r>
      <w:r w:rsidRPr="0028075A">
        <w:rPr>
          <w:sz w:val="20"/>
          <w:lang w:val="es-ES_tradnl"/>
        </w:rPr>
        <w:br/>
      </w:r>
      <w:r w:rsidRPr="009577DE">
        <w:rPr>
          <w:noProof/>
          <w:lang w:val="en-US" w:eastAsia="en-US"/>
        </w:rPr>
        <w:drawing>
          <wp:inline distT="0" distB="0" distL="0" distR="0" wp14:anchorId="0C9CC4C8" wp14:editId="7535E18D">
            <wp:extent cx="5902325" cy="1247140"/>
            <wp:effectExtent l="0" t="0" r="3175" b="0"/>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902325" cy="1247140"/>
                    </a:xfrm>
                    <a:prstGeom prst="rect">
                      <a:avLst/>
                    </a:prstGeom>
                    <a:noFill/>
                    <a:ln>
                      <a:noFill/>
                    </a:ln>
                  </pic:spPr>
                </pic:pic>
              </a:graphicData>
            </a:graphic>
          </wp:inline>
        </w:drawing>
      </w:r>
    </w:p>
    <w:p w:rsidR="00B070BF" w:rsidRPr="009577DE" w:rsidRDefault="00B070BF" w:rsidP="00B070BF">
      <w:pPr>
        <w:widowControl w:val="0"/>
        <w:rPr>
          <w:sz w:val="20"/>
          <w:lang w:val="es-ES_tradnl"/>
        </w:rPr>
      </w:pPr>
    </w:p>
    <w:p w:rsidR="00B070BF" w:rsidRPr="009577DE" w:rsidRDefault="00B070BF" w:rsidP="00B070BF">
      <w:pPr>
        <w:widowControl w:val="0"/>
        <w:autoSpaceDE w:val="0"/>
        <w:autoSpaceDN w:val="0"/>
        <w:adjustRightInd w:val="0"/>
        <w:rPr>
          <w:sz w:val="16"/>
          <w:szCs w:val="16"/>
          <w:lang w:val="es-ES_tradnl"/>
        </w:rPr>
      </w:pPr>
      <w:r w:rsidRPr="009577DE">
        <w:rPr>
          <w:sz w:val="16"/>
          <w:szCs w:val="16"/>
          <w:lang w:val="es-ES_tradnl"/>
        </w:rPr>
        <w:t>NOTAS:</w:t>
      </w:r>
    </w:p>
    <w:p w:rsidR="00B070BF" w:rsidRPr="009577DE" w:rsidRDefault="00B070BF" w:rsidP="00B070BF">
      <w:pPr>
        <w:widowControl w:val="0"/>
        <w:autoSpaceDE w:val="0"/>
        <w:autoSpaceDN w:val="0"/>
        <w:adjustRightInd w:val="0"/>
        <w:rPr>
          <w:sz w:val="16"/>
          <w:szCs w:val="16"/>
          <w:lang w:val="es-ES_tradnl"/>
        </w:rPr>
      </w:pPr>
    </w:p>
    <w:p w:rsidR="00B070BF" w:rsidRPr="009577DE" w:rsidRDefault="00B070BF" w:rsidP="00B070BF">
      <w:pPr>
        <w:widowControl w:val="0"/>
        <w:autoSpaceDE w:val="0"/>
        <w:autoSpaceDN w:val="0"/>
        <w:adjustRightInd w:val="0"/>
        <w:rPr>
          <w:sz w:val="16"/>
          <w:szCs w:val="16"/>
          <w:lang w:val="es-ES_tradnl"/>
        </w:rPr>
      </w:pPr>
      <w:r w:rsidRPr="009577DE">
        <w:rPr>
          <w:sz w:val="16"/>
          <w:szCs w:val="16"/>
          <w:lang w:val="es-ES_tradnl"/>
        </w:rPr>
        <w:t>1) El presupuesto después de las transferencias refleja el presupuesto de los programas ajustado después de las transferencias efectuadas en 2012/13 en virtud del artículo 5.5 del Reglamento Financiero.</w:t>
      </w:r>
    </w:p>
    <w:p w:rsidR="00B070BF" w:rsidRPr="009577DE" w:rsidRDefault="00B070BF" w:rsidP="00B070BF">
      <w:pPr>
        <w:widowControl w:val="0"/>
        <w:autoSpaceDE w:val="0"/>
        <w:autoSpaceDN w:val="0"/>
        <w:adjustRightInd w:val="0"/>
        <w:rPr>
          <w:sz w:val="16"/>
          <w:szCs w:val="16"/>
          <w:lang w:val="es-ES_tradnl"/>
        </w:rPr>
      </w:pPr>
    </w:p>
    <w:p w:rsidR="00B070BF" w:rsidRPr="009577DE" w:rsidRDefault="00B070BF" w:rsidP="00B070BF">
      <w:pPr>
        <w:widowControl w:val="0"/>
        <w:autoSpaceDE w:val="0"/>
        <w:autoSpaceDN w:val="0"/>
        <w:adjustRightInd w:val="0"/>
        <w:rPr>
          <w:sz w:val="16"/>
          <w:szCs w:val="16"/>
          <w:lang w:val="es-ES_tradnl"/>
        </w:rPr>
      </w:pPr>
      <w:r w:rsidRPr="009577DE">
        <w:rPr>
          <w:sz w:val="16"/>
          <w:szCs w:val="16"/>
          <w:lang w:val="es-ES_tradnl"/>
        </w:rPr>
        <w:t xml:space="preserve">2) La asignación para el personal del presupuesto de 2012/13 después de las transferencias representa los gastos reales efectuados hasta el 31 de marzo de 2013 y los importes presupuestados para los nueve meses restantes de 2013, sobre la base de costos estándar. </w:t>
      </w:r>
    </w:p>
    <w:p w:rsidR="00B070BF" w:rsidRPr="009577DE" w:rsidRDefault="00B070BF" w:rsidP="00B070BF">
      <w:pPr>
        <w:widowControl w:val="0"/>
        <w:autoSpaceDE w:val="0"/>
        <w:autoSpaceDN w:val="0"/>
        <w:adjustRightInd w:val="0"/>
        <w:rPr>
          <w:sz w:val="16"/>
          <w:szCs w:val="16"/>
          <w:lang w:val="es-ES_tradnl"/>
        </w:rPr>
      </w:pPr>
    </w:p>
    <w:p w:rsidR="00B070BF" w:rsidRPr="009577DE" w:rsidRDefault="00B070BF" w:rsidP="00B070BF">
      <w:pPr>
        <w:widowControl w:val="0"/>
        <w:autoSpaceDE w:val="0"/>
        <w:autoSpaceDN w:val="0"/>
        <w:adjustRightInd w:val="0"/>
        <w:rPr>
          <w:sz w:val="16"/>
          <w:szCs w:val="16"/>
          <w:lang w:val="es-ES_tradnl"/>
        </w:rPr>
      </w:pPr>
      <w:r w:rsidRPr="009577DE">
        <w:rPr>
          <w:sz w:val="16"/>
          <w:szCs w:val="16"/>
          <w:lang w:val="es-ES_tradnl"/>
        </w:rPr>
        <w:t>3) La asignación no relativa al personal del presupuesto de 2012/13 después de las transferencias refleja los ajustes a la baja efectuados para aumentar la eficacia en función de los costos, de conformidad con el compromiso de la Organización de reducir gastos por un importe de 10,2 millones de francos suizos en el bienio 2012/13.</w:t>
      </w:r>
    </w:p>
    <w:p w:rsidR="00B070BF" w:rsidRPr="009577DE" w:rsidRDefault="00B070BF" w:rsidP="00B070BF">
      <w:pPr>
        <w:widowControl w:val="0"/>
        <w:rPr>
          <w:sz w:val="20"/>
          <w:lang w:val="es-ES_tradnl"/>
        </w:rPr>
      </w:pPr>
    </w:p>
    <w:p w:rsidR="00B070BF" w:rsidRPr="009577DE" w:rsidRDefault="00B070BF" w:rsidP="00B070BF">
      <w:pPr>
        <w:widowControl w:val="0"/>
        <w:rPr>
          <w:sz w:val="20"/>
          <w:lang w:val="es-ES_tradnl"/>
        </w:rPr>
      </w:pPr>
    </w:p>
    <w:p w:rsidR="00B070BF" w:rsidRPr="009577DE" w:rsidRDefault="00B070BF" w:rsidP="00B070BF">
      <w:pPr>
        <w:widowControl w:val="0"/>
        <w:rPr>
          <w:sz w:val="20"/>
          <w:u w:val="single"/>
          <w:lang w:val="es-ES_tradnl"/>
        </w:rPr>
      </w:pPr>
      <w:r w:rsidRPr="009577DE">
        <w:rPr>
          <w:sz w:val="20"/>
          <w:lang w:val="es-ES_tradnl"/>
        </w:rPr>
        <w:t xml:space="preserve">A.  </w:t>
      </w:r>
      <w:r w:rsidRPr="009577DE">
        <w:rPr>
          <w:sz w:val="20"/>
          <w:u w:val="single"/>
          <w:lang w:val="es-ES_tradnl"/>
        </w:rPr>
        <w:t xml:space="preserve">Presupuesto </w:t>
      </w:r>
      <w:r>
        <w:rPr>
          <w:sz w:val="20"/>
          <w:u w:val="single"/>
          <w:lang w:val="es-ES_tradnl"/>
        </w:rPr>
        <w:t>2012/13</w:t>
      </w:r>
      <w:r w:rsidRPr="009577DE">
        <w:rPr>
          <w:sz w:val="20"/>
          <w:u w:val="single"/>
          <w:lang w:val="es-ES_tradnl"/>
        </w:rPr>
        <w:t xml:space="preserve"> después de las transferencias</w:t>
      </w:r>
    </w:p>
    <w:p w:rsidR="00B070BF" w:rsidRPr="009577DE" w:rsidRDefault="00B070BF" w:rsidP="00B070BF">
      <w:pPr>
        <w:widowControl w:val="0"/>
        <w:rPr>
          <w:sz w:val="20"/>
          <w:lang w:val="es-ES_tradnl"/>
        </w:rPr>
      </w:pPr>
    </w:p>
    <w:p w:rsidR="00B070BF" w:rsidRPr="009577DE" w:rsidRDefault="00B070BF" w:rsidP="00B070BF">
      <w:pPr>
        <w:widowControl w:val="0"/>
        <w:numPr>
          <w:ilvl w:val="0"/>
          <w:numId w:val="24"/>
        </w:numPr>
        <w:tabs>
          <w:tab w:val="clear" w:pos="680"/>
          <w:tab w:val="num" w:pos="567"/>
        </w:tabs>
        <w:autoSpaceDE w:val="0"/>
        <w:autoSpaceDN w:val="0"/>
        <w:adjustRightInd w:val="0"/>
        <w:jc w:val="both"/>
        <w:rPr>
          <w:sz w:val="20"/>
          <w:lang w:val="es-ES_tradnl"/>
        </w:rPr>
      </w:pPr>
      <w:r w:rsidRPr="009577DE">
        <w:rPr>
          <w:rFonts w:eastAsia="Batang"/>
          <w:sz w:val="20"/>
          <w:lang w:val="es-ES_tradnl" w:eastAsia="ko-KR"/>
        </w:rPr>
        <w:t>El presupuesto de 2012/13 después de las transferencias refleja los ajustes que se detallan en las notas precedentes.</w:t>
      </w:r>
    </w:p>
    <w:p w:rsidR="00B070BF" w:rsidRPr="009577DE" w:rsidRDefault="00B070BF" w:rsidP="00B070BF">
      <w:pPr>
        <w:widowControl w:val="0"/>
        <w:jc w:val="both"/>
        <w:rPr>
          <w:rFonts w:eastAsia="Batang"/>
          <w:sz w:val="20"/>
          <w:lang w:val="es-ES_tradnl" w:eastAsia="ko-KR"/>
        </w:rPr>
      </w:pPr>
    </w:p>
    <w:p w:rsidR="00B070BF" w:rsidRPr="009577DE" w:rsidRDefault="00B070BF" w:rsidP="00B070BF">
      <w:pPr>
        <w:widowControl w:val="0"/>
        <w:jc w:val="both"/>
        <w:rPr>
          <w:rFonts w:eastAsia="Batang"/>
          <w:sz w:val="20"/>
          <w:u w:val="single"/>
          <w:lang w:val="es-ES_tradnl" w:eastAsia="ko-KR"/>
        </w:rPr>
      </w:pPr>
      <w:r w:rsidRPr="009577DE">
        <w:rPr>
          <w:rFonts w:eastAsia="Batang"/>
          <w:sz w:val="20"/>
          <w:lang w:val="es-ES_tradnl" w:eastAsia="ko-KR"/>
        </w:rPr>
        <w:t xml:space="preserve">B.  </w:t>
      </w:r>
      <w:r w:rsidRPr="009577DE">
        <w:rPr>
          <w:rFonts w:eastAsia="Batang"/>
          <w:sz w:val="20"/>
          <w:u w:val="single"/>
          <w:lang w:val="es-ES_tradnl" w:eastAsia="ko-KR"/>
        </w:rPr>
        <w:t>Utilización del presupuesto 2012</w:t>
      </w:r>
    </w:p>
    <w:p w:rsidR="00B070BF" w:rsidRPr="009577DE" w:rsidRDefault="00B070BF" w:rsidP="00B070BF">
      <w:pPr>
        <w:widowControl w:val="0"/>
        <w:jc w:val="both"/>
        <w:rPr>
          <w:rFonts w:eastAsia="Batang"/>
          <w:sz w:val="20"/>
          <w:lang w:val="es-ES_tradnl" w:eastAsia="ko-KR"/>
        </w:rPr>
      </w:pPr>
    </w:p>
    <w:p w:rsidR="00B070BF" w:rsidRPr="009577DE" w:rsidRDefault="00B070BF" w:rsidP="00B070BF">
      <w:pPr>
        <w:widowControl w:val="0"/>
        <w:numPr>
          <w:ilvl w:val="0"/>
          <w:numId w:val="24"/>
        </w:numPr>
        <w:tabs>
          <w:tab w:val="clear" w:pos="680"/>
          <w:tab w:val="num" w:pos="567"/>
        </w:tabs>
        <w:autoSpaceDE w:val="0"/>
        <w:autoSpaceDN w:val="0"/>
        <w:adjustRightInd w:val="0"/>
        <w:jc w:val="both"/>
        <w:rPr>
          <w:rFonts w:eastAsia="Batang"/>
          <w:sz w:val="20"/>
          <w:lang w:val="es-ES_tradnl" w:eastAsia="ko-KR"/>
        </w:rPr>
      </w:pPr>
      <w:r w:rsidRPr="009577DE">
        <w:rPr>
          <w:rFonts w:eastAsia="Batang"/>
          <w:sz w:val="20"/>
          <w:lang w:val="es-ES_tradnl" w:eastAsia="ko-KR"/>
        </w:rPr>
        <w:t>La utilización del presupuesto se mantiene entre el 40% y el 60% en el primer año del bienio y progresa con normalidad.</w:t>
      </w:r>
    </w:p>
    <w:p w:rsidR="00B070BF" w:rsidRPr="009577DE" w:rsidRDefault="00B070BF" w:rsidP="00B070BF">
      <w:pPr>
        <w:widowControl w:val="0"/>
        <w:rPr>
          <w:sz w:val="20"/>
          <w:lang w:val="es-ES_tradnl"/>
        </w:rPr>
      </w:pPr>
    </w:p>
    <w:p w:rsidR="00B070BF" w:rsidRPr="009577DE" w:rsidRDefault="00B070BF" w:rsidP="00B070BF">
      <w:pPr>
        <w:widowControl w:val="0"/>
        <w:rPr>
          <w:b/>
          <w:sz w:val="16"/>
          <w:szCs w:val="16"/>
          <w:lang w:val="es-ES_tradnl"/>
        </w:rPr>
      </w:pPr>
    </w:p>
    <w:p w:rsidR="00B070BF" w:rsidRPr="009577DE" w:rsidRDefault="00B070BF" w:rsidP="00B070BF">
      <w:pPr>
        <w:pStyle w:val="Heading2"/>
        <w:ind w:left="2835" w:hanging="2835"/>
        <w:rPr>
          <w:b/>
          <w:lang w:val="es-ES_tradnl"/>
        </w:rPr>
      </w:pPr>
      <w:r w:rsidRPr="009577DE">
        <w:rPr>
          <w:sz w:val="20"/>
          <w:lang w:val="es-ES_tradnl"/>
        </w:rPr>
        <w:br w:type="page"/>
      </w:r>
      <w:bookmarkStart w:id="28" w:name="_Toc359846794"/>
      <w:bookmarkStart w:id="29" w:name="_Toc359949318"/>
      <w:r w:rsidRPr="009577DE">
        <w:rPr>
          <w:b/>
          <w:lang w:val="es-ES_tradnl"/>
        </w:rPr>
        <w:lastRenderedPageBreak/>
        <w:t>PROGRAMA 9</w:t>
      </w:r>
      <w:r w:rsidRPr="009577DE">
        <w:rPr>
          <w:b/>
          <w:lang w:val="es-ES_tradnl"/>
        </w:rPr>
        <w:tab/>
        <w:t>PAÍSES AFRICANOS, ÁRABES, DE AMÉRICA LATINA Y EL CARIBE, DE ASIA Y EL PACÍFICO Y PAÍSES MENOS ADELANTADOS</w:t>
      </w:r>
      <w:bookmarkEnd w:id="28"/>
      <w:bookmarkEnd w:id="29"/>
    </w:p>
    <w:p w:rsidR="00B070BF" w:rsidRPr="00246395" w:rsidRDefault="00B070BF" w:rsidP="00B070BF">
      <w:pPr>
        <w:widowControl w:val="0"/>
        <w:rPr>
          <w:sz w:val="20"/>
          <w:lang w:val="es-ES_tradnl"/>
        </w:rPr>
      </w:pPr>
    </w:p>
    <w:p w:rsidR="00B070BF" w:rsidRPr="00246395" w:rsidRDefault="00B070BF" w:rsidP="00B070BF">
      <w:pPr>
        <w:widowControl w:val="0"/>
        <w:rPr>
          <w:sz w:val="20"/>
          <w:lang w:val="es-ES_tradnl"/>
        </w:rPr>
      </w:pPr>
    </w:p>
    <w:p w:rsidR="00B070BF" w:rsidRPr="009577DE" w:rsidRDefault="00B070BF" w:rsidP="00B070BF">
      <w:pPr>
        <w:widowControl w:val="0"/>
        <w:tabs>
          <w:tab w:val="left" w:pos="2268"/>
        </w:tabs>
        <w:rPr>
          <w:b/>
          <w:szCs w:val="22"/>
          <w:lang w:val="es-ES_tradnl"/>
        </w:rPr>
      </w:pPr>
      <w:r w:rsidRPr="009577DE">
        <w:rPr>
          <w:b/>
          <w:szCs w:val="22"/>
          <w:lang w:val="es-ES_tradnl"/>
        </w:rPr>
        <w:t>Director del Programa</w:t>
      </w:r>
      <w:r w:rsidRPr="009577DE">
        <w:rPr>
          <w:b/>
          <w:szCs w:val="22"/>
          <w:lang w:val="es-ES_tradnl"/>
        </w:rPr>
        <w:tab/>
        <w:t>Sr. G. Onyeama</w:t>
      </w:r>
    </w:p>
    <w:p w:rsidR="00B070BF" w:rsidRPr="009577DE" w:rsidRDefault="00B070BF" w:rsidP="00B070BF">
      <w:pPr>
        <w:widowControl w:val="0"/>
        <w:spacing w:line="260" w:lineRule="atLeast"/>
        <w:rPr>
          <w:sz w:val="20"/>
          <w:szCs w:val="22"/>
          <w:lang w:val="es-ES_tradnl"/>
        </w:rPr>
      </w:pPr>
    </w:p>
    <w:p w:rsidR="00B070BF" w:rsidRPr="009577DE" w:rsidRDefault="00B070BF" w:rsidP="00B070BF">
      <w:pPr>
        <w:widowControl w:val="0"/>
        <w:spacing w:line="260" w:lineRule="atLeast"/>
        <w:rPr>
          <w:sz w:val="20"/>
          <w:szCs w:val="22"/>
          <w:lang w:val="es-ES_tradnl"/>
        </w:rPr>
      </w:pPr>
    </w:p>
    <w:p w:rsidR="00B070BF" w:rsidRPr="009577DE" w:rsidRDefault="00B070BF" w:rsidP="00B070BF">
      <w:pPr>
        <w:widowControl w:val="0"/>
        <w:spacing w:line="260" w:lineRule="atLeast"/>
        <w:jc w:val="both"/>
        <w:rPr>
          <w:bCs/>
          <w:sz w:val="20"/>
          <w:lang w:val="es-ES_tradnl"/>
        </w:rPr>
      </w:pPr>
      <w:r w:rsidRPr="009577DE">
        <w:rPr>
          <w:bCs/>
          <w:sz w:val="20"/>
          <w:lang w:val="es-ES_tradnl"/>
        </w:rPr>
        <w:t>RESEÑA DE LOS AVANCES LOGRADOS EN 2012</w:t>
      </w:r>
    </w:p>
    <w:p w:rsidR="00B070BF" w:rsidRPr="009577DE" w:rsidRDefault="00B070BF" w:rsidP="00B070BF">
      <w:pPr>
        <w:widowControl w:val="0"/>
        <w:jc w:val="both"/>
        <w:rPr>
          <w:sz w:val="20"/>
          <w:lang w:val="es-ES_tradnl"/>
        </w:rPr>
      </w:pPr>
    </w:p>
    <w:p w:rsidR="00B070BF" w:rsidRPr="009577DE" w:rsidRDefault="00B070BF" w:rsidP="00B070BF">
      <w:pPr>
        <w:widowControl w:val="0"/>
        <w:numPr>
          <w:ilvl w:val="0"/>
          <w:numId w:val="25"/>
        </w:numPr>
        <w:jc w:val="both"/>
        <w:rPr>
          <w:sz w:val="20"/>
        </w:rPr>
      </w:pPr>
      <w:r w:rsidRPr="009577DE">
        <w:rPr>
          <w:sz w:val="20"/>
        </w:rPr>
        <w:t>Facilitar el uso de la P.I. en aras del desarrollo y potenciar a los países en desarrollo y los PMA para que utilicen la P.I. para aumentar el potencial y las capacidades de la innovación nacional siguieron siendo los objetivos que guiaron la labor del programa en 2012.  El programa que sirvió de interfaz principal,</w:t>
      </w:r>
      <w:r w:rsidRPr="009577DE">
        <w:t xml:space="preserve"> </w:t>
      </w:r>
      <w:r w:rsidRPr="009577DE">
        <w:rPr>
          <w:sz w:val="20"/>
        </w:rPr>
        <w:t>por una parte, entre esos Estados miembros y, por otra, entre los distintos programas de la OMPI.  El programa fue de suma importancia para garantizar una prestación de asistencia técnica específica para cada país, basada en las necesidades, coherente y bien coordinada.</w:t>
      </w:r>
    </w:p>
    <w:p w:rsidR="00B070BF" w:rsidRPr="009577DE" w:rsidRDefault="00B070BF" w:rsidP="00B070BF">
      <w:pPr>
        <w:widowControl w:val="0"/>
        <w:jc w:val="both"/>
        <w:rPr>
          <w:sz w:val="20"/>
        </w:rPr>
      </w:pPr>
    </w:p>
    <w:p w:rsidR="00B070BF" w:rsidRPr="009577DE" w:rsidRDefault="00B070BF" w:rsidP="00B070BF">
      <w:pPr>
        <w:widowControl w:val="0"/>
        <w:numPr>
          <w:ilvl w:val="0"/>
          <w:numId w:val="25"/>
        </w:numPr>
        <w:jc w:val="both"/>
        <w:rPr>
          <w:sz w:val="20"/>
        </w:rPr>
      </w:pPr>
      <w:r w:rsidRPr="009577DE">
        <w:rPr>
          <w:sz w:val="20"/>
        </w:rPr>
        <w:t>El uso de distintos instrumentos, tales como las evaluaciones de necesidades y las misiones de programación, como fundamento de los planes nacionales ha fortalecido el programa de cooperación técnica y mejorado la ejecución de las actividades orientadas al desarrollo destinadas a los países en desarrollo y los PMA, al tiempo que ha permitido que se tenga en cuenta la diversidad y las crecientes necesidades de los países beneficiarios.  Por lo general, se ha producido una mayor incorporación del desarrollo en los diversos programas especializados de la Organización, en concordancia con las recomendaciones de la Agenda para el Desarrollo.</w:t>
      </w:r>
    </w:p>
    <w:p w:rsidR="00B070BF" w:rsidRPr="009577DE" w:rsidRDefault="00B070BF" w:rsidP="00B070BF">
      <w:pPr>
        <w:widowControl w:val="0"/>
        <w:jc w:val="both"/>
        <w:rPr>
          <w:sz w:val="20"/>
        </w:rPr>
      </w:pPr>
    </w:p>
    <w:p w:rsidR="00B070BF" w:rsidRPr="009577DE" w:rsidRDefault="00B070BF" w:rsidP="00B070BF">
      <w:pPr>
        <w:widowControl w:val="0"/>
        <w:numPr>
          <w:ilvl w:val="0"/>
          <w:numId w:val="25"/>
        </w:numPr>
        <w:jc w:val="both"/>
        <w:rPr>
          <w:sz w:val="20"/>
        </w:rPr>
      </w:pPr>
      <w:r w:rsidRPr="009577DE">
        <w:rPr>
          <w:sz w:val="20"/>
        </w:rPr>
        <w:t xml:space="preserve">Además de seguir fortaleciendo las alianzas existentes, se establecieron nuevas alianzas con comunidades económicas regionales e instituciones intergubernamentales, a saber, el Consejo de Cooperación del Golfo, la Unión Económica y Monetaria del África del Oeste (UEMOA) y la Organización Internacional de la </w:t>
      </w:r>
      <w:proofErr w:type="spellStart"/>
      <w:r w:rsidRPr="009577DE">
        <w:rPr>
          <w:sz w:val="20"/>
        </w:rPr>
        <w:t>Francofonía</w:t>
      </w:r>
      <w:proofErr w:type="spellEnd"/>
      <w:r w:rsidRPr="009577DE">
        <w:rPr>
          <w:sz w:val="20"/>
        </w:rPr>
        <w:t xml:space="preserve"> (OIF) con el fin de crear y/o mejorar las sinergias y obtener mejores resultados en materia de desarrollo.</w:t>
      </w:r>
    </w:p>
    <w:p w:rsidR="00B070BF" w:rsidRPr="009577DE" w:rsidRDefault="00B070BF" w:rsidP="00B070BF">
      <w:pPr>
        <w:widowControl w:val="0"/>
        <w:jc w:val="both"/>
        <w:rPr>
          <w:sz w:val="20"/>
        </w:rPr>
      </w:pPr>
    </w:p>
    <w:p w:rsidR="00B070BF" w:rsidRPr="009577DE" w:rsidRDefault="00B070BF" w:rsidP="00B070BF">
      <w:pPr>
        <w:widowControl w:val="0"/>
        <w:numPr>
          <w:ilvl w:val="0"/>
          <w:numId w:val="25"/>
        </w:numPr>
        <w:jc w:val="both"/>
        <w:rPr>
          <w:sz w:val="20"/>
        </w:rPr>
      </w:pPr>
      <w:r w:rsidRPr="009577DE">
        <w:rPr>
          <w:sz w:val="20"/>
        </w:rPr>
        <w:t>Asimismo, el programa continuó centrando sus esfuerzos en los cuatro pilares indicados en el PEMP para 2010/15.  Se encargó principalmente de las estrategias y políticas nacionales de P.I., del fortalecimiento de las capacidades en el ámbito de los recursos humanos y de coordinar las actividades relacionadas con la infraestructura institucional y técnica y con los marcos legislativos y reglamentarios.</w:t>
      </w:r>
    </w:p>
    <w:p w:rsidR="00B070BF" w:rsidRPr="009577DE" w:rsidRDefault="00B070BF" w:rsidP="00B070BF">
      <w:pPr>
        <w:widowControl w:val="0"/>
        <w:jc w:val="both"/>
        <w:rPr>
          <w:sz w:val="20"/>
        </w:rPr>
      </w:pPr>
    </w:p>
    <w:p w:rsidR="00B070BF" w:rsidRPr="009577DE" w:rsidRDefault="00B070BF" w:rsidP="00B070BF">
      <w:pPr>
        <w:widowControl w:val="0"/>
        <w:numPr>
          <w:ilvl w:val="0"/>
          <w:numId w:val="25"/>
        </w:numPr>
        <w:jc w:val="both"/>
        <w:rPr>
          <w:sz w:val="20"/>
        </w:rPr>
      </w:pPr>
      <w:r w:rsidRPr="009577DE">
        <w:rPr>
          <w:sz w:val="20"/>
        </w:rPr>
        <w:t>Durante el año 2012, la OMPI siguió asistiendo a los países en desarrollo y los PMA en el diseño, desarrollo y aplicación de estrategias nacionales de P.I coherentes con sus planes generales de desarrollo y al mismo tiempo capaces de fomentar la innovación y la creatividad.  Mediante el proyecto de mejora de la capacidad de las instituciones de P.I. de ámbito nacional, subregional y regional y de los respectivos usuarios que finalizó en mayo de 2012, se creó un método normalizado y flexible, así como un conjunto de instrumentos prácticos para la formulación de estrategias y planes nacionales en materia de P.I.  Actualmente el método y los instrumentos están siendo incorporados para ser utilizados en los procesos de formulación de estrategias nacionales de P.I. en los países en desarrollo y los PMA.  Los procesos de formulación de estrategias de P.I. y de aplicación se iniciaron en 32 países (cinco en África, cinco en la región árabe, nueve en la región de Asia y el Pacífico y 13 en la región de América Latina y el Caribe).  Tres PMA han incluido consideraciones de P.I. propias de los PMA en sus estrategias y/o políticas nacionales de P.I.</w:t>
      </w:r>
    </w:p>
    <w:p w:rsidR="00B070BF" w:rsidRPr="009577DE" w:rsidRDefault="00B070BF" w:rsidP="00B070BF">
      <w:pPr>
        <w:widowControl w:val="0"/>
        <w:jc w:val="both"/>
        <w:rPr>
          <w:sz w:val="20"/>
        </w:rPr>
      </w:pPr>
    </w:p>
    <w:p w:rsidR="00B070BF" w:rsidRPr="009577DE" w:rsidRDefault="00B070BF" w:rsidP="00B070BF">
      <w:pPr>
        <w:widowControl w:val="0"/>
        <w:numPr>
          <w:ilvl w:val="0"/>
          <w:numId w:val="25"/>
        </w:numPr>
        <w:jc w:val="both"/>
        <w:rPr>
          <w:sz w:val="20"/>
        </w:rPr>
      </w:pPr>
      <w:r w:rsidRPr="009577DE">
        <w:rPr>
          <w:sz w:val="20"/>
        </w:rPr>
        <w:t xml:space="preserve">El programa también atribuyó gran importancia a la mejora de las capacidades en el ámbito de los recursos humanos para hacer frente al amplio espectro de exigencias que supone la utilización de la P.I. en aras del desarrollo y el fomento de la innovación y la creatividad.  Las actividades ejecutadas han conducido a un aumento del número de formadores a nivel nacional y ha ampliado la diversidad de los mismos.  En 2012, el alcance y la estructura de las actividades de formación y desarrollo de capacidades abarcaron temas como la concienciación y programas centrados en la creación de capacidad destinados a grupos específicos como los encargados de la adopción de políticas, los profesionales de la P.I., los investigadores y académicos, los empresarios e industriales en el ámbito nacional, subregional y regional. </w:t>
      </w:r>
    </w:p>
    <w:p w:rsidR="00B070BF" w:rsidRPr="009577DE" w:rsidRDefault="00B070BF" w:rsidP="00B070BF">
      <w:pPr>
        <w:widowControl w:val="0"/>
        <w:jc w:val="both"/>
        <w:rPr>
          <w:sz w:val="20"/>
        </w:rPr>
      </w:pPr>
    </w:p>
    <w:p w:rsidR="00B070BF" w:rsidRPr="009577DE" w:rsidRDefault="00B070BF" w:rsidP="00B070BF">
      <w:pPr>
        <w:widowControl w:val="0"/>
        <w:numPr>
          <w:ilvl w:val="0"/>
          <w:numId w:val="25"/>
        </w:numPr>
        <w:jc w:val="both"/>
        <w:rPr>
          <w:sz w:val="20"/>
        </w:rPr>
      </w:pPr>
      <w:r w:rsidRPr="009577DE">
        <w:rPr>
          <w:sz w:val="20"/>
        </w:rPr>
        <w:t xml:space="preserve">Dos academias nacionales iniciaron sus actividades en la región árabe (Egipto y Túnez). </w:t>
      </w:r>
    </w:p>
    <w:p w:rsidR="00B070BF" w:rsidRPr="009577DE" w:rsidRDefault="00B070BF" w:rsidP="00B070BF">
      <w:pPr>
        <w:widowControl w:val="0"/>
        <w:jc w:val="both"/>
        <w:rPr>
          <w:sz w:val="20"/>
        </w:rPr>
      </w:pPr>
    </w:p>
    <w:p w:rsidR="00B070BF" w:rsidRPr="009577DE" w:rsidRDefault="00B070BF" w:rsidP="00B070BF">
      <w:pPr>
        <w:widowControl w:val="0"/>
        <w:numPr>
          <w:ilvl w:val="0"/>
          <w:numId w:val="25"/>
        </w:numPr>
        <w:jc w:val="both"/>
        <w:rPr>
          <w:sz w:val="20"/>
        </w:rPr>
      </w:pPr>
      <w:r w:rsidRPr="009577DE">
        <w:rPr>
          <w:sz w:val="20"/>
        </w:rPr>
        <w:t>Una de las principales prioridades también siguió siendo facilitar el acceso a bases de datos de información mundial sobre tecnología.  Se establecieron centros de apoyo a la tecnología y la innovación (CATI), en 12 países.</w:t>
      </w:r>
    </w:p>
    <w:p w:rsidR="00B070BF" w:rsidRPr="009577DE" w:rsidRDefault="00B070BF" w:rsidP="00B070BF">
      <w:pPr>
        <w:widowControl w:val="0"/>
        <w:jc w:val="both"/>
        <w:rPr>
          <w:sz w:val="20"/>
        </w:rPr>
      </w:pPr>
    </w:p>
    <w:p w:rsidR="00B070BF" w:rsidRPr="009577DE" w:rsidRDefault="00B070BF" w:rsidP="00B070BF">
      <w:pPr>
        <w:widowControl w:val="0"/>
        <w:numPr>
          <w:ilvl w:val="0"/>
          <w:numId w:val="25"/>
        </w:numPr>
        <w:jc w:val="both"/>
        <w:rPr>
          <w:sz w:val="20"/>
        </w:rPr>
      </w:pPr>
      <w:r w:rsidRPr="009577DE">
        <w:rPr>
          <w:sz w:val="20"/>
        </w:rPr>
        <w:t xml:space="preserve">La OMPI también fortaleció su asistencia a las oficinas de P.I. en los países en desarrollo y los PMA para permitirles prestar servicios más eficaces en función de los costos y de mejor calidad a las partes interesadas.  La introducción de herramientas como el Sistema de Automatización de la Propiedad Industrial (IPAS) y el sistema de digitalización </w:t>
      </w:r>
      <w:proofErr w:type="spellStart"/>
      <w:r w:rsidRPr="009577DE">
        <w:rPr>
          <w:sz w:val="20"/>
        </w:rPr>
        <w:t>WIPOScan</w:t>
      </w:r>
      <w:proofErr w:type="spellEnd"/>
      <w:r w:rsidRPr="009577DE">
        <w:rPr>
          <w:sz w:val="20"/>
        </w:rPr>
        <w:t xml:space="preserve"> han producido resultados importantes.</w:t>
      </w:r>
    </w:p>
    <w:p w:rsidR="00B070BF" w:rsidRPr="009577DE" w:rsidRDefault="00B070BF" w:rsidP="00B070BF">
      <w:pPr>
        <w:widowControl w:val="0"/>
        <w:jc w:val="both"/>
        <w:rPr>
          <w:sz w:val="20"/>
        </w:rPr>
      </w:pPr>
    </w:p>
    <w:p w:rsidR="00B070BF" w:rsidRPr="009577DE" w:rsidRDefault="00B070BF" w:rsidP="00B070BF">
      <w:pPr>
        <w:widowControl w:val="0"/>
        <w:numPr>
          <w:ilvl w:val="0"/>
          <w:numId w:val="25"/>
        </w:numPr>
        <w:jc w:val="both"/>
        <w:rPr>
          <w:sz w:val="20"/>
        </w:rPr>
      </w:pPr>
      <w:r w:rsidRPr="009577DE">
        <w:rPr>
          <w:sz w:val="20"/>
        </w:rPr>
        <w:t>La OMPI continuó prestando asistencia técnica a los países en desarrollo y los PMA en materia de formulación y de modernización de la legislación en el ámbito de P.I., teniendo en cuenta los requisitos nacionales específicos y las flexibilidades internacionales en materia de P.I.  La atención especial que se prestó a los PMA también incluyó la ejecución de actividades específicas de cooperación en los ámbitos de la innovación, la creatividad y el desarrollo.  Las aportaciones concretas de la OMPI a los PMA que fueron aprobadas durante la Cuarta Conferencia de las Naciones Unidas para los Países Menos Adelantados siguieron infundiendo mayor cohesión y atención a la prestación de asistencia técnica para los PMA.</w:t>
      </w:r>
    </w:p>
    <w:p w:rsidR="00B070BF" w:rsidRPr="009577DE" w:rsidRDefault="00B070BF" w:rsidP="00B070BF">
      <w:pPr>
        <w:widowControl w:val="0"/>
        <w:jc w:val="both"/>
        <w:rPr>
          <w:sz w:val="20"/>
        </w:rPr>
      </w:pPr>
    </w:p>
    <w:p w:rsidR="00B070BF" w:rsidRPr="009577DE" w:rsidRDefault="00B070BF" w:rsidP="00B070BF">
      <w:pPr>
        <w:widowControl w:val="0"/>
        <w:numPr>
          <w:ilvl w:val="0"/>
          <w:numId w:val="25"/>
        </w:numPr>
        <w:jc w:val="both"/>
        <w:rPr>
          <w:sz w:val="20"/>
        </w:rPr>
      </w:pPr>
      <w:r w:rsidRPr="009577DE">
        <w:rPr>
          <w:sz w:val="20"/>
        </w:rPr>
        <w:t>En mayo de 2012, se creó una nueva División en el marco del programa 9 con el fin de desarrollar proyectos para la innovación en materia de P.I. y de desarrollo en coordinación con los Sectores especializados, las Divisiones y las Oficinas Regionales pertinentes.  Se continuó incorporando la gestión y las operaciones de las bases de datos del Sector de Desarrollo, a saber, la base de datos de asistencia técnica en materia de P.I. (IP-TAD), la lista de consultores de la OMPI (ROC) y la b</w:t>
      </w:r>
      <w:r w:rsidRPr="009577DE">
        <w:rPr>
          <w:bCs/>
          <w:sz w:val="20"/>
          <w:lang w:val="es-ES_tradnl"/>
        </w:rPr>
        <w:t>ase de datos de vinculación para atender las necesidades de desarrollo en materia de P.I.</w:t>
      </w:r>
      <w:r w:rsidRPr="009577DE">
        <w:rPr>
          <w:sz w:val="20"/>
        </w:rPr>
        <w:t xml:space="preserve"> (IP-DMD).  Asimismo, se estudió la viabilidad de desarrollar dos nuevas bases de datos, a saber, una base datos para recabar datos de referencia para los procesos nacionales que facilitarían la formulación de estrategias nacionales de P.I. y la base datos del proyecto Sur-Sur.</w:t>
      </w:r>
    </w:p>
    <w:p w:rsidR="00B070BF" w:rsidRPr="009577DE" w:rsidRDefault="00B070BF" w:rsidP="00B070BF">
      <w:pPr>
        <w:widowControl w:val="0"/>
        <w:jc w:val="both"/>
        <w:rPr>
          <w:sz w:val="20"/>
        </w:rPr>
      </w:pPr>
    </w:p>
    <w:p w:rsidR="00B070BF" w:rsidRPr="009577DE" w:rsidRDefault="00B070BF" w:rsidP="00B070BF">
      <w:pPr>
        <w:widowControl w:val="0"/>
        <w:numPr>
          <w:ilvl w:val="0"/>
          <w:numId w:val="25"/>
        </w:numPr>
        <w:jc w:val="both"/>
        <w:rPr>
          <w:sz w:val="20"/>
        </w:rPr>
      </w:pPr>
      <w:r w:rsidRPr="009577DE">
        <w:rPr>
          <w:sz w:val="20"/>
        </w:rPr>
        <w:t>En 2012, se registraron en la Base de datos de asistencia técnica en materia de P.I. (IP-TAD) 794 actividades de asistencia técnica ejecutadas en 153 países en desarrollo, PMA y países en transición.  Aproximadamente 1.426 conferenciantes expertos y consultores registrados en la Lista de consultores de la OMPI (ROC) fueron contratados por la Organización, en 2012, para ejecutar actividades en el Sector de Desarrollo.</w:t>
      </w:r>
    </w:p>
    <w:p w:rsidR="00B070BF" w:rsidRPr="009577DE" w:rsidRDefault="00B070BF" w:rsidP="00B070BF">
      <w:pPr>
        <w:widowControl w:val="0"/>
        <w:jc w:val="both"/>
        <w:rPr>
          <w:bCs/>
          <w:sz w:val="20"/>
        </w:rPr>
      </w:pPr>
    </w:p>
    <w:p w:rsidR="00B070BF" w:rsidRPr="009577DE" w:rsidRDefault="00B070BF" w:rsidP="00B070BF">
      <w:pPr>
        <w:widowControl w:val="0"/>
        <w:jc w:val="both"/>
        <w:rPr>
          <w:bCs/>
          <w:sz w:val="20"/>
        </w:rPr>
      </w:pPr>
    </w:p>
    <w:p w:rsidR="00B070BF" w:rsidRPr="009577DE" w:rsidRDefault="00B070BF" w:rsidP="00B070BF">
      <w:pPr>
        <w:widowControl w:val="0"/>
        <w:jc w:val="both"/>
        <w:rPr>
          <w:bCs/>
          <w:sz w:val="20"/>
          <w:lang w:val="es-ES_tradnl"/>
        </w:rPr>
      </w:pPr>
      <w:r w:rsidRPr="009577DE">
        <w:rPr>
          <w:bCs/>
          <w:sz w:val="20"/>
          <w:lang w:val="es-ES_tradnl"/>
        </w:rPr>
        <w:t xml:space="preserve">APLICACIÓN DE LA AGENDA PARA EL DESARROLLO </w:t>
      </w:r>
    </w:p>
    <w:p w:rsidR="00B070BF" w:rsidRPr="009577DE" w:rsidRDefault="00B070BF" w:rsidP="00B070BF">
      <w:pPr>
        <w:widowControl w:val="0"/>
        <w:autoSpaceDE w:val="0"/>
        <w:autoSpaceDN w:val="0"/>
        <w:adjustRightInd w:val="0"/>
        <w:jc w:val="both"/>
        <w:rPr>
          <w:b/>
          <w:bCs/>
          <w:sz w:val="20"/>
          <w:lang w:val="es-ES_tradnl"/>
        </w:rPr>
      </w:pPr>
    </w:p>
    <w:p w:rsidR="00B070BF" w:rsidRPr="009577DE" w:rsidRDefault="00B070BF" w:rsidP="00B070BF">
      <w:pPr>
        <w:widowControl w:val="0"/>
        <w:numPr>
          <w:ilvl w:val="0"/>
          <w:numId w:val="25"/>
        </w:numPr>
        <w:jc w:val="both"/>
        <w:rPr>
          <w:bCs/>
          <w:sz w:val="20"/>
        </w:rPr>
      </w:pPr>
      <w:r w:rsidRPr="009577DE">
        <w:rPr>
          <w:bCs/>
          <w:sz w:val="20"/>
        </w:rPr>
        <w:t>El programa 9 siguió siendo uno de los principales encargados de llevar a la práctica la Agenda de la OMPI para el Desarrollo.  El diseño, la planificación y la ejecución de las actividades de este programa se basaron y se guiaron por las recomendaciones pertinentes de la Agenda para el Desarrollo, en particular por las recomendaciones enunciadas en la Categoría A sobre la asistencia técnica y el fortalecimiento de la capacidad de la OMPI.</w:t>
      </w:r>
    </w:p>
    <w:p w:rsidR="00B070BF" w:rsidRPr="009577DE" w:rsidRDefault="00B070BF" w:rsidP="00B070BF">
      <w:pPr>
        <w:widowControl w:val="0"/>
        <w:jc w:val="both"/>
        <w:rPr>
          <w:bCs/>
          <w:sz w:val="20"/>
        </w:rPr>
      </w:pPr>
    </w:p>
    <w:p w:rsidR="00B070BF" w:rsidRPr="009577DE" w:rsidRDefault="00B070BF" w:rsidP="00B070BF">
      <w:pPr>
        <w:widowControl w:val="0"/>
        <w:numPr>
          <w:ilvl w:val="0"/>
          <w:numId w:val="25"/>
        </w:numPr>
        <w:jc w:val="both"/>
        <w:rPr>
          <w:bCs/>
          <w:sz w:val="20"/>
        </w:rPr>
      </w:pPr>
      <w:r w:rsidRPr="009577DE">
        <w:rPr>
          <w:bCs/>
          <w:sz w:val="20"/>
        </w:rPr>
        <w:t xml:space="preserve">En el marco del proyecto DA_05_01 se estableció la Base de datos de asistencia técnica en materia de P.I. (IP TAD) (accesible en </w:t>
      </w:r>
      <w:hyperlink r:id="rId49" w:history="1">
        <w:r w:rsidRPr="009577DE">
          <w:rPr>
            <w:bCs/>
            <w:sz w:val="20"/>
            <w:u w:val="single"/>
          </w:rPr>
          <w:t>http://www.wipo.int/tad/es/</w:t>
        </w:r>
      </w:hyperlink>
      <w:r w:rsidRPr="009577DE">
        <w:rPr>
          <w:bCs/>
          <w:sz w:val="20"/>
        </w:rPr>
        <w:t xml:space="preserve">) en la que se encuentra plenamente integrada la Lista de Consultores (ROC) (la lista está disponible en </w:t>
      </w:r>
      <w:hyperlink r:id="rId50" w:history="1">
        <w:r w:rsidRPr="009577DE">
          <w:rPr>
            <w:bCs/>
            <w:sz w:val="20"/>
            <w:u w:val="single"/>
          </w:rPr>
          <w:t>http://www.wipo.int/roc/es/</w:t>
        </w:r>
      </w:hyperlink>
      <w:r w:rsidRPr="009577DE">
        <w:rPr>
          <w:bCs/>
          <w:sz w:val="20"/>
        </w:rPr>
        <w:t>).  El proyecto fue evaluado de forma independiente y se presentó un informe de evaluación al respecto que fue debatido en el CDIP.  Además, se puso en funcionamiento la Base de datos destinada a responder con los recursos disponibles a las necesidades de desarrollo relacionadas con la P.I. (</w:t>
      </w:r>
      <w:hyperlink r:id="rId51" w:tooltip="http://www.wipo.int/dmd" w:history="1">
        <w:r w:rsidRPr="009577DE">
          <w:rPr>
            <w:bCs/>
            <w:sz w:val="20"/>
            <w:u w:val="single"/>
          </w:rPr>
          <w:t>www.wipo.int/dmd</w:t>
        </w:r>
      </w:hyperlink>
      <w:r w:rsidRPr="009577DE">
        <w:rPr>
          <w:bCs/>
          <w:sz w:val="20"/>
        </w:rPr>
        <w:t>).  El proyecto fue evaluado y la evaluación fue examinada por el CDIP.</w:t>
      </w:r>
    </w:p>
    <w:p w:rsidR="00B070BF" w:rsidRPr="009577DE" w:rsidRDefault="00B070BF" w:rsidP="00B070BF">
      <w:pPr>
        <w:widowControl w:val="0"/>
        <w:jc w:val="both"/>
        <w:rPr>
          <w:bCs/>
          <w:sz w:val="20"/>
        </w:rPr>
      </w:pPr>
    </w:p>
    <w:p w:rsidR="00B070BF" w:rsidRPr="009577DE" w:rsidRDefault="00B070BF" w:rsidP="00B070BF">
      <w:pPr>
        <w:widowControl w:val="0"/>
        <w:numPr>
          <w:ilvl w:val="0"/>
          <w:numId w:val="25"/>
        </w:numPr>
        <w:jc w:val="both"/>
        <w:rPr>
          <w:bCs/>
          <w:sz w:val="20"/>
        </w:rPr>
      </w:pPr>
      <w:r w:rsidRPr="009577DE">
        <w:rPr>
          <w:bCs/>
          <w:sz w:val="20"/>
        </w:rPr>
        <w:t>En el marco de proyecto de la Agenda para el Desarrollo para la mejora de la capacidad de las instituciones de P.I. de ámbito nacional, subregional y regional y de los respectivos usuarios, seis países piloto concluyeron la formulación de estrategias nacionales de P.I. y planes de acción utilizando la metodología de la OMPI propuesta, y remitieron los documentos de estrategia a sus respectivos gobiernos para su aprobación.  Además, fue creado un grupo de expertos nacionales e internacionales que constituirán un recurso muy valioso para ayudar a otros países potencialmente interesados en la formulación de estrategias de P.I.</w:t>
      </w:r>
    </w:p>
    <w:p w:rsidR="00B070BF" w:rsidRPr="009577DE" w:rsidRDefault="00B070BF" w:rsidP="00B070BF">
      <w:pPr>
        <w:widowControl w:val="0"/>
        <w:jc w:val="both"/>
        <w:rPr>
          <w:bCs/>
          <w:sz w:val="20"/>
        </w:rPr>
      </w:pPr>
    </w:p>
    <w:p w:rsidR="00B070BF" w:rsidRPr="009577DE" w:rsidRDefault="00B070BF" w:rsidP="00B070BF">
      <w:pPr>
        <w:widowControl w:val="0"/>
        <w:numPr>
          <w:ilvl w:val="0"/>
          <w:numId w:val="25"/>
        </w:numPr>
        <w:jc w:val="both"/>
        <w:rPr>
          <w:sz w:val="20"/>
        </w:rPr>
      </w:pPr>
      <w:r w:rsidRPr="009577DE">
        <w:rPr>
          <w:sz w:val="20"/>
        </w:rPr>
        <w:t>El proyecto de la Agenda para el Desarrollo sobre</w:t>
      </w:r>
      <w:r w:rsidRPr="009577DE">
        <w:t xml:space="preserve"> </w:t>
      </w:r>
      <w:r w:rsidRPr="009577DE">
        <w:rPr>
          <w:sz w:val="20"/>
        </w:rPr>
        <w:t xml:space="preserve">la propiedad intelectual y el desarrollo de </w:t>
      </w:r>
      <w:r w:rsidRPr="009577DE">
        <w:rPr>
          <w:sz w:val="20"/>
        </w:rPr>
        <w:lastRenderedPageBreak/>
        <w:t>marcas de productos para fomentar las actividades comerciales en los países en desarrollo y los PMA siguió siendo ejecutado en tres países piloto seleccionados, a saber, Panamá, Tailandia y Uganda.  Se elaboraron productos específicos a la P.I. y estrategias de desarrollo de marcas con el fin de conferir valor a las características únicas y al gran potencial de las marcas de los productos.</w:t>
      </w:r>
    </w:p>
    <w:p w:rsidR="00B070BF" w:rsidRPr="009577DE" w:rsidRDefault="00B070BF" w:rsidP="00B070BF">
      <w:pPr>
        <w:widowControl w:val="0"/>
        <w:jc w:val="both"/>
        <w:rPr>
          <w:sz w:val="20"/>
        </w:rPr>
      </w:pPr>
    </w:p>
    <w:p w:rsidR="00B070BF" w:rsidRPr="009577DE" w:rsidRDefault="00B070BF" w:rsidP="00B070BF">
      <w:pPr>
        <w:widowControl w:val="0"/>
        <w:numPr>
          <w:ilvl w:val="0"/>
          <w:numId w:val="25"/>
        </w:numPr>
        <w:jc w:val="both"/>
        <w:rPr>
          <w:bCs/>
          <w:sz w:val="20"/>
          <w:lang w:val="es-ES_tradnl"/>
        </w:rPr>
      </w:pPr>
      <w:r w:rsidRPr="009577DE">
        <w:rPr>
          <w:bCs/>
          <w:sz w:val="20"/>
          <w:lang w:val="es-ES_tradnl"/>
        </w:rPr>
        <w:t xml:space="preserve">El proyecto de la Agenda para el Desarrollo sobre el fortalecimiento de capacidades en el uso de información técnica y científica relativa a tecnologías apropiadas para solucionar determinados problemas de desarrollo comenzó a ejecutarse en tres países piloto, a saber, Bangladesh, Nepal y Zambia.  Grupos de expertos en el plano nacional de estos países detectaron las necesidades prioritarias de cada uno de los países.  A partir de estas necesidades, la OMPI en cooperación con la Oficina Europea de Patentes (OEP), la Oficina de Patentes y Marcas de los Estados Unidos (USPTO), la Oficina Japonesa de Patentes (JPO), Alemania y la India determinaron soluciones tecnológicas pertinentes para los ámbitos problemáticos detectados con el fin de elaborar informes de análisis de la actividad de </w:t>
      </w:r>
      <w:proofErr w:type="spellStart"/>
      <w:r w:rsidRPr="009577DE">
        <w:rPr>
          <w:bCs/>
          <w:sz w:val="20"/>
          <w:lang w:val="es-ES_tradnl"/>
        </w:rPr>
        <w:t>patentamiento</w:t>
      </w:r>
      <w:proofErr w:type="spellEnd"/>
      <w:r w:rsidRPr="009577DE">
        <w:rPr>
          <w:bCs/>
          <w:sz w:val="20"/>
          <w:lang w:val="es-ES_tradnl"/>
        </w:rPr>
        <w:t>.  Después de que los expertos nacionales determinaron cuáles eran las tecnologías más apropiadas, se procedió a la elaboración de planes de trabajo para cada uno de los ámbitos de necesidad con el fin de ejecutar los proyectos.  A continuación, se sometió este proceso a consultas nacionales y foros de múltiples interesados para realizar un examen crítico y refrendar dicho enfoque.</w:t>
      </w:r>
    </w:p>
    <w:p w:rsidR="00B070BF" w:rsidRPr="009577DE" w:rsidRDefault="00B070BF" w:rsidP="00B070BF">
      <w:pPr>
        <w:widowControl w:val="0"/>
        <w:jc w:val="both"/>
        <w:rPr>
          <w:bCs/>
          <w:sz w:val="20"/>
          <w:lang w:val="es-ES_tradnl"/>
        </w:rPr>
      </w:pPr>
    </w:p>
    <w:p w:rsidR="00B070BF" w:rsidRPr="009577DE" w:rsidRDefault="00B070BF" w:rsidP="00B070BF">
      <w:pPr>
        <w:widowControl w:val="0"/>
        <w:numPr>
          <w:ilvl w:val="0"/>
          <w:numId w:val="25"/>
        </w:numPr>
        <w:jc w:val="both"/>
        <w:rPr>
          <w:bCs/>
          <w:sz w:val="20"/>
          <w:lang w:val="es-ES_tradnl"/>
        </w:rPr>
      </w:pPr>
      <w:r w:rsidRPr="009577DE">
        <w:rPr>
          <w:bCs/>
          <w:sz w:val="20"/>
          <w:lang w:val="es-ES_tradnl"/>
        </w:rPr>
        <w:t>En el marco del proyecto relativo a la intensificación de la cooperación Sur–Sur en materia de P.I. y desarrollo entre los países en desarrollo y los PMA, se celebró en Brasilia, en agosto de 2012 la primera Reunión Interregional sobre cuestiones de gobernanza en materia de P.I., recursos genéticos, conocimientos tradicionales y folclore, y derecho de autor y derechos conexos.  Asimismo, se celebró en Ginebra en septiembre de 2012 la Primera Conferencia anual sobre Cooperación Sur-Sur en materia de propiedad intelectual (P.I.) y desarrollo, brindando la oportunidad de resaltar y debatir la importancia del fortalecimiento de la cooperación Sur-Sur en los ámbitos de la protección de los recursos genéticos, los conocimientos tradicionales y el folclore, la gobernanza de la P.I. y el derecho de autor y derechos conexos.</w:t>
      </w:r>
    </w:p>
    <w:p w:rsidR="00B070BF" w:rsidRPr="009577DE" w:rsidRDefault="00B070BF" w:rsidP="00B070BF">
      <w:pPr>
        <w:widowControl w:val="0"/>
        <w:jc w:val="both"/>
        <w:rPr>
          <w:bCs/>
          <w:sz w:val="20"/>
          <w:lang w:val="es-ES_tradnl"/>
        </w:rPr>
      </w:pPr>
    </w:p>
    <w:p w:rsidR="00B070BF" w:rsidRPr="009577DE" w:rsidRDefault="00B070BF" w:rsidP="00B070BF">
      <w:pPr>
        <w:widowControl w:val="0"/>
        <w:numPr>
          <w:ilvl w:val="0"/>
          <w:numId w:val="25"/>
        </w:numPr>
        <w:jc w:val="both"/>
        <w:rPr>
          <w:bCs/>
          <w:sz w:val="20"/>
          <w:lang w:val="es-ES_tradnl"/>
        </w:rPr>
      </w:pPr>
      <w:r w:rsidRPr="009577DE">
        <w:rPr>
          <w:bCs/>
          <w:sz w:val="20"/>
          <w:lang w:val="es-ES_tradnl"/>
        </w:rPr>
        <w:t>Este programa también participó fundamentalmente en el proyecto de la Agenda para el Desarrollo relativo a la mejora del marco de la OMPI de gestión por resultados para respaldar la supervisión y evaluación de las actividades de desarrollo.</w:t>
      </w:r>
    </w:p>
    <w:p w:rsidR="00B070BF" w:rsidRPr="009577DE" w:rsidRDefault="00B070BF" w:rsidP="00B070BF">
      <w:pPr>
        <w:widowControl w:val="0"/>
        <w:rPr>
          <w:bCs/>
          <w:sz w:val="20"/>
          <w:lang w:val="es-ES_tradnl"/>
        </w:rPr>
      </w:pPr>
    </w:p>
    <w:p w:rsidR="00B070BF" w:rsidRPr="009577DE" w:rsidRDefault="00B070BF" w:rsidP="00B070BF">
      <w:pPr>
        <w:widowControl w:val="0"/>
        <w:rPr>
          <w:bCs/>
          <w:sz w:val="20"/>
          <w:lang w:val="es-ES_tradnl"/>
        </w:rPr>
      </w:pPr>
    </w:p>
    <w:p w:rsidR="00B070BF" w:rsidRPr="009577DE" w:rsidRDefault="00B070BF" w:rsidP="00B070BF">
      <w:pPr>
        <w:widowControl w:val="0"/>
        <w:rPr>
          <w:sz w:val="20"/>
          <w:lang w:val="es-ES_tradnl"/>
        </w:rPr>
      </w:pPr>
      <w:r w:rsidRPr="009577DE">
        <w:rPr>
          <w:sz w:val="20"/>
          <w:lang w:val="es-ES_tradnl"/>
        </w:rPr>
        <w:t>DATOS SOBRE EL RENDIMIENTO</w:t>
      </w:r>
    </w:p>
    <w:p w:rsidR="00B070BF" w:rsidRPr="009577DE" w:rsidRDefault="00B070BF" w:rsidP="00B070BF">
      <w:pPr>
        <w:widowControl w:val="0"/>
        <w:autoSpaceDE w:val="0"/>
        <w:autoSpaceDN w:val="0"/>
        <w:adjustRightInd w:val="0"/>
        <w:rPr>
          <w:sz w:val="20"/>
          <w:szCs w:val="22"/>
          <w:lang w:val="es-ES_tradnl"/>
        </w:rPr>
      </w:pPr>
    </w:p>
    <w:tbl>
      <w:tblPr>
        <w:tblW w:w="5000" w:type="pct"/>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986"/>
        <w:gridCol w:w="1986"/>
        <w:gridCol w:w="1335"/>
        <w:gridCol w:w="3025"/>
        <w:gridCol w:w="105"/>
        <w:gridCol w:w="1134"/>
      </w:tblGrid>
      <w:tr w:rsidR="00B070BF" w:rsidRPr="009577DE" w:rsidTr="00C33D4A">
        <w:trPr>
          <w:cantSplit/>
        </w:trPr>
        <w:tc>
          <w:tcPr>
            <w:tcW w:w="5000" w:type="pct"/>
            <w:gridSpan w:val="6"/>
            <w:tcBorders>
              <w:top w:val="single" w:sz="4" w:space="0" w:color="auto"/>
              <w:bottom w:val="single" w:sz="4" w:space="0" w:color="auto"/>
            </w:tcBorders>
            <w:shd w:val="clear" w:color="auto" w:fill="CCFFFF"/>
            <w:vAlign w:val="center"/>
          </w:tcPr>
          <w:p w:rsidR="00B070BF" w:rsidRPr="009577DE" w:rsidRDefault="00B070BF" w:rsidP="00C33D4A">
            <w:pPr>
              <w:widowControl w:val="0"/>
              <w:spacing w:before="120" w:after="120"/>
              <w:ind w:left="1735" w:hanging="1735"/>
              <w:rPr>
                <w:b/>
                <w:bCs/>
                <w:sz w:val="16"/>
                <w:szCs w:val="16"/>
                <w:lang w:val="es-ES_tradnl"/>
              </w:rPr>
            </w:pPr>
            <w:r w:rsidRPr="009577DE">
              <w:rPr>
                <w:b/>
                <w:bCs/>
                <w:sz w:val="16"/>
                <w:szCs w:val="16"/>
                <w:lang w:val="es-ES_tradnl"/>
              </w:rPr>
              <w:t>Resultado previsto:</w:t>
            </w:r>
            <w:r w:rsidRPr="009577DE">
              <w:rPr>
                <w:b/>
                <w:bCs/>
                <w:sz w:val="16"/>
                <w:szCs w:val="16"/>
                <w:lang w:val="es-ES_tradnl"/>
              </w:rPr>
              <w:tab/>
            </w:r>
            <w:r w:rsidRPr="009577DE">
              <w:rPr>
                <w:bCs/>
                <w:sz w:val="16"/>
                <w:szCs w:val="16"/>
                <w:lang w:val="es-ES_tradnl"/>
              </w:rPr>
              <w:t xml:space="preserve"> Políticas nacionales de innovación y de P.I. claramente definidas y coherentes, estrategias y planes de desarrollo que estén en sintonía con las metas y los objetivos nacionales de desarrollo.</w:t>
            </w:r>
          </w:p>
        </w:tc>
      </w:tr>
      <w:tr w:rsidR="00B070BF" w:rsidRPr="009577DE" w:rsidTr="00C33D4A">
        <w:trPr>
          <w:cantSplit/>
        </w:trPr>
        <w:tc>
          <w:tcPr>
            <w:tcW w:w="887" w:type="pct"/>
            <w:tcBorders>
              <w:top w:val="single" w:sz="4" w:space="0" w:color="auto"/>
            </w:tcBorders>
            <w:shd w:val="clear" w:color="auto" w:fill="auto"/>
            <w:vAlign w:val="center"/>
          </w:tcPr>
          <w:p w:rsidR="00B070BF" w:rsidRPr="009577DE" w:rsidRDefault="00B070BF" w:rsidP="00C33D4A">
            <w:pPr>
              <w:widowControl w:val="0"/>
              <w:spacing w:after="120"/>
              <w:rPr>
                <w:sz w:val="16"/>
                <w:szCs w:val="16"/>
                <w:lang w:val="es-ES_tradnl"/>
              </w:rPr>
            </w:pPr>
            <w:r w:rsidRPr="009577DE">
              <w:rPr>
                <w:b/>
                <w:bCs/>
                <w:sz w:val="16"/>
                <w:szCs w:val="16"/>
                <w:lang w:val="es-ES_tradnl"/>
              </w:rPr>
              <w:t>Indicadores de rendimiento</w:t>
            </w:r>
          </w:p>
        </w:tc>
        <w:tc>
          <w:tcPr>
            <w:tcW w:w="887" w:type="pct"/>
            <w:tcBorders>
              <w:top w:val="single" w:sz="4" w:space="0" w:color="auto"/>
            </w:tcBorders>
            <w:shd w:val="clear" w:color="auto" w:fill="C0C0C0"/>
          </w:tcPr>
          <w:p w:rsidR="00B070BF" w:rsidRPr="009577DE" w:rsidRDefault="00B070BF" w:rsidP="00C33D4A">
            <w:pPr>
              <w:widowControl w:val="0"/>
              <w:spacing w:after="120"/>
              <w:rPr>
                <w:b/>
                <w:bCs/>
                <w:sz w:val="16"/>
                <w:szCs w:val="16"/>
                <w:lang w:val="es-ES_tradnl"/>
              </w:rPr>
            </w:pPr>
            <w:r w:rsidRPr="009577DE">
              <w:rPr>
                <w:b/>
                <w:bCs/>
                <w:sz w:val="16"/>
                <w:szCs w:val="16"/>
                <w:lang w:val="es-ES_tradnl"/>
              </w:rPr>
              <w:t>Referencia (</w:t>
            </w:r>
            <w:proofErr w:type="spellStart"/>
            <w:r w:rsidRPr="009577DE">
              <w:rPr>
                <w:b/>
                <w:bCs/>
                <w:sz w:val="16"/>
                <w:szCs w:val="16"/>
                <w:lang w:val="es-ES_tradnl"/>
              </w:rPr>
              <w:t>Presup</w:t>
            </w:r>
            <w:proofErr w:type="spellEnd"/>
            <w:r w:rsidRPr="009577DE">
              <w:rPr>
                <w:b/>
                <w:bCs/>
                <w:sz w:val="16"/>
                <w:szCs w:val="16"/>
                <w:lang w:val="es-ES_tradnl"/>
              </w:rPr>
              <w:t xml:space="preserve">. por </w:t>
            </w:r>
            <w:proofErr w:type="spellStart"/>
            <w:r w:rsidRPr="009577DE">
              <w:rPr>
                <w:b/>
                <w:bCs/>
                <w:sz w:val="16"/>
                <w:szCs w:val="16"/>
                <w:lang w:val="es-ES_tradnl"/>
              </w:rPr>
              <w:t>prog</w:t>
            </w:r>
            <w:proofErr w:type="spellEnd"/>
            <w:r w:rsidRPr="009577DE">
              <w:rPr>
                <w:b/>
                <w:bCs/>
                <w:sz w:val="16"/>
                <w:szCs w:val="16"/>
                <w:lang w:val="es-ES_tradnl"/>
              </w:rPr>
              <w:t>. 2012/13)</w:t>
            </w:r>
          </w:p>
        </w:tc>
        <w:tc>
          <w:tcPr>
            <w:tcW w:w="885" w:type="pct"/>
            <w:tcBorders>
              <w:top w:val="single" w:sz="4" w:space="0" w:color="auto"/>
            </w:tcBorders>
            <w:shd w:val="clear" w:color="auto" w:fill="auto"/>
            <w:tcMar>
              <w:top w:w="110" w:type="dxa"/>
            </w:tcMar>
            <w:vAlign w:val="center"/>
          </w:tcPr>
          <w:p w:rsidR="00B070BF" w:rsidRPr="009577DE" w:rsidRDefault="00B070BF" w:rsidP="00C33D4A">
            <w:pPr>
              <w:widowControl w:val="0"/>
              <w:spacing w:after="120"/>
              <w:rPr>
                <w:b/>
                <w:sz w:val="16"/>
                <w:szCs w:val="16"/>
                <w:lang w:val="es-ES_tradnl"/>
              </w:rPr>
            </w:pPr>
            <w:r w:rsidRPr="00BF138D">
              <w:rPr>
                <w:b/>
                <w:color w:val="993300"/>
                <w:sz w:val="16"/>
                <w:szCs w:val="16"/>
                <w:lang w:val="es-ES_tradnl"/>
              </w:rPr>
              <w:t>Referencia actualizada a finales de 2011</w:t>
            </w:r>
            <w:r w:rsidRPr="009577DE">
              <w:rPr>
                <w:b/>
                <w:sz w:val="16"/>
                <w:szCs w:val="16"/>
                <w:lang w:val="es-ES_tradnl"/>
              </w:rPr>
              <w:t xml:space="preserve"> </w:t>
            </w:r>
          </w:p>
        </w:tc>
        <w:tc>
          <w:tcPr>
            <w:tcW w:w="1817" w:type="pct"/>
            <w:gridSpan w:val="2"/>
            <w:tcBorders>
              <w:top w:val="single" w:sz="4" w:space="0" w:color="auto"/>
            </w:tcBorders>
            <w:shd w:val="clear" w:color="auto" w:fill="FFFFFF"/>
            <w:tcMar>
              <w:top w:w="110" w:type="dxa"/>
            </w:tcMar>
            <w:vAlign w:val="center"/>
          </w:tcPr>
          <w:p w:rsidR="00B070BF" w:rsidRPr="009577DE" w:rsidRDefault="00B070BF" w:rsidP="00C33D4A">
            <w:pPr>
              <w:widowControl w:val="0"/>
              <w:spacing w:after="120"/>
              <w:rPr>
                <w:sz w:val="16"/>
                <w:szCs w:val="16"/>
                <w:lang w:val="es-ES_tradnl"/>
              </w:rPr>
            </w:pPr>
            <w:r w:rsidRPr="009577DE">
              <w:rPr>
                <w:b/>
                <w:bCs/>
                <w:sz w:val="16"/>
                <w:szCs w:val="16"/>
                <w:lang w:val="es-ES_tradnl"/>
              </w:rPr>
              <w:t>Datos sobre el rendimiento</w:t>
            </w:r>
          </w:p>
        </w:tc>
        <w:tc>
          <w:tcPr>
            <w:tcW w:w="524" w:type="pct"/>
            <w:tcBorders>
              <w:top w:val="single" w:sz="4" w:space="0" w:color="auto"/>
            </w:tcBorders>
            <w:shd w:val="clear" w:color="auto" w:fill="auto"/>
            <w:tcMar>
              <w:top w:w="110" w:type="dxa"/>
            </w:tcMar>
            <w:vAlign w:val="center"/>
          </w:tcPr>
          <w:p w:rsidR="00B070BF" w:rsidRPr="009577DE" w:rsidRDefault="00B070BF" w:rsidP="00C33D4A">
            <w:pPr>
              <w:widowControl w:val="0"/>
              <w:spacing w:after="120"/>
              <w:jc w:val="center"/>
              <w:rPr>
                <w:b/>
                <w:bCs/>
                <w:sz w:val="16"/>
                <w:szCs w:val="16"/>
                <w:lang w:val="es-ES_tradnl"/>
              </w:rPr>
            </w:pPr>
            <w:r w:rsidRPr="009577DE">
              <w:rPr>
                <w:b/>
                <w:bCs/>
                <w:sz w:val="16"/>
                <w:szCs w:val="16"/>
                <w:lang w:val="es-ES_tradnl"/>
              </w:rPr>
              <w:t>Clave de colores</w:t>
            </w:r>
          </w:p>
        </w:tc>
      </w:tr>
      <w:tr w:rsidR="00B070BF" w:rsidRPr="009577DE" w:rsidTr="00C33D4A">
        <w:trPr>
          <w:cantSplit/>
        </w:trPr>
        <w:tc>
          <w:tcPr>
            <w:tcW w:w="887" w:type="pct"/>
            <w:shd w:val="clear" w:color="auto" w:fill="auto"/>
          </w:tcPr>
          <w:p w:rsidR="00B070BF" w:rsidRPr="009577DE" w:rsidRDefault="00B070BF" w:rsidP="00C33D4A">
            <w:pPr>
              <w:widowControl w:val="0"/>
              <w:rPr>
                <w:sz w:val="16"/>
                <w:szCs w:val="16"/>
                <w:lang w:val="es-ES_tradnl" w:bidi="th-TH"/>
              </w:rPr>
            </w:pPr>
            <w:r w:rsidRPr="009577DE">
              <w:rPr>
                <w:sz w:val="16"/>
                <w:szCs w:val="16"/>
                <w:lang w:val="es-ES_tradnl" w:bidi="th-TH"/>
              </w:rPr>
              <w:t>Número de países que cada año han formulado políticas, estrategias y/o planes de P.I., o los están aplicando (África).</w:t>
            </w:r>
          </w:p>
          <w:p w:rsidR="00B070BF" w:rsidRPr="009577DE" w:rsidRDefault="00B070BF" w:rsidP="00C33D4A">
            <w:pPr>
              <w:widowControl w:val="0"/>
              <w:rPr>
                <w:sz w:val="16"/>
                <w:szCs w:val="16"/>
                <w:lang w:val="es-ES_tradnl"/>
              </w:rPr>
            </w:pPr>
          </w:p>
        </w:tc>
        <w:tc>
          <w:tcPr>
            <w:tcW w:w="887" w:type="pct"/>
            <w:shd w:val="clear" w:color="auto" w:fill="C0C0C0"/>
          </w:tcPr>
          <w:p w:rsidR="00B070BF" w:rsidRPr="009577DE" w:rsidRDefault="00B070BF" w:rsidP="00C33D4A">
            <w:pPr>
              <w:widowControl w:val="0"/>
              <w:rPr>
                <w:sz w:val="16"/>
                <w:szCs w:val="16"/>
                <w:lang w:val="es-ES_tradnl" w:bidi="th-TH"/>
              </w:rPr>
            </w:pPr>
            <w:r w:rsidRPr="009577DE">
              <w:rPr>
                <w:sz w:val="16"/>
                <w:szCs w:val="16"/>
                <w:lang w:val="es-ES_tradnl" w:bidi="th-TH"/>
              </w:rPr>
              <w:t>Dos países han adoptado políticas de P.I.</w:t>
            </w:r>
            <w:r w:rsidRPr="009577DE">
              <w:rPr>
                <w:sz w:val="16"/>
                <w:szCs w:val="16"/>
                <w:lang w:val="es-ES_tradnl" w:bidi="th-TH"/>
              </w:rPr>
              <w:br/>
            </w:r>
            <w:r w:rsidRPr="009577DE">
              <w:rPr>
                <w:sz w:val="16"/>
                <w:szCs w:val="16"/>
                <w:lang w:val="es-ES_tradnl" w:bidi="th-TH"/>
              </w:rPr>
              <w:br/>
            </w:r>
            <w:r w:rsidRPr="009577DE">
              <w:rPr>
                <w:sz w:val="16"/>
                <w:szCs w:val="16"/>
                <w:lang w:val="es-ES_tradnl" w:bidi="th-TH"/>
              </w:rPr>
              <w:br/>
            </w:r>
          </w:p>
        </w:tc>
        <w:tc>
          <w:tcPr>
            <w:tcW w:w="885" w:type="pct"/>
            <w:shd w:val="clear" w:color="auto" w:fill="auto"/>
            <w:tcMar>
              <w:top w:w="110" w:type="dxa"/>
            </w:tcMar>
          </w:tcPr>
          <w:p w:rsidR="00B070BF" w:rsidRPr="009577DE" w:rsidRDefault="00B070BF" w:rsidP="00C33D4A">
            <w:pPr>
              <w:widowControl w:val="0"/>
              <w:rPr>
                <w:sz w:val="16"/>
                <w:szCs w:val="16"/>
                <w:lang w:val="es-ES_tradnl"/>
              </w:rPr>
            </w:pPr>
          </w:p>
        </w:tc>
        <w:tc>
          <w:tcPr>
            <w:tcW w:w="1817" w:type="pct"/>
            <w:gridSpan w:val="2"/>
            <w:shd w:val="clear" w:color="auto" w:fill="FFFFFF"/>
            <w:tcMar>
              <w:top w:w="110" w:type="dxa"/>
            </w:tcMar>
          </w:tcPr>
          <w:p w:rsidR="00B070BF" w:rsidRPr="009577DE" w:rsidRDefault="00B070BF" w:rsidP="00B070BF">
            <w:pPr>
              <w:widowControl w:val="0"/>
              <w:numPr>
                <w:ilvl w:val="0"/>
                <w:numId w:val="49"/>
              </w:numPr>
              <w:rPr>
                <w:bCs/>
                <w:sz w:val="16"/>
                <w:szCs w:val="16"/>
                <w:lang w:val="es-ES_tradnl" w:bidi="th-TH"/>
              </w:rPr>
            </w:pPr>
            <w:r w:rsidRPr="009577DE">
              <w:rPr>
                <w:sz w:val="16"/>
                <w:szCs w:val="16"/>
                <w:lang w:val="es-ES_tradnl" w:bidi="th-TH"/>
              </w:rPr>
              <w:t xml:space="preserve">Mauricio </w:t>
            </w:r>
            <w:r w:rsidRPr="009577DE">
              <w:rPr>
                <w:bCs/>
                <w:sz w:val="16"/>
                <w:szCs w:val="16"/>
                <w:lang w:val="es-ES_tradnl" w:bidi="th-TH"/>
              </w:rPr>
              <w:t>(pendiente de su aprobación por el Parlamento)</w:t>
            </w:r>
          </w:p>
          <w:p w:rsidR="00B070BF" w:rsidRPr="009577DE" w:rsidRDefault="00B070BF" w:rsidP="00B070BF">
            <w:pPr>
              <w:widowControl w:val="0"/>
              <w:numPr>
                <w:ilvl w:val="0"/>
                <w:numId w:val="49"/>
              </w:numPr>
              <w:rPr>
                <w:bCs/>
                <w:sz w:val="16"/>
                <w:szCs w:val="16"/>
                <w:lang w:val="es-ES_tradnl" w:bidi="th-TH"/>
              </w:rPr>
            </w:pPr>
            <w:r w:rsidRPr="009577DE">
              <w:rPr>
                <w:bCs/>
                <w:sz w:val="16"/>
                <w:szCs w:val="16"/>
                <w:lang w:val="es-ES_tradnl" w:bidi="th-TH"/>
              </w:rPr>
              <w:t>el Senegal (memorando de entendimiento firmado en 2011;  aplicación en curso)</w:t>
            </w:r>
          </w:p>
          <w:p w:rsidR="00B070BF" w:rsidRPr="009577DE" w:rsidRDefault="00B070BF" w:rsidP="00B070BF">
            <w:pPr>
              <w:widowControl w:val="0"/>
              <w:numPr>
                <w:ilvl w:val="0"/>
                <w:numId w:val="49"/>
              </w:numPr>
              <w:rPr>
                <w:bCs/>
                <w:sz w:val="16"/>
                <w:szCs w:val="16"/>
                <w:lang w:val="es-ES_tradnl" w:bidi="th-TH"/>
              </w:rPr>
            </w:pPr>
            <w:r w:rsidRPr="009577DE">
              <w:rPr>
                <w:bCs/>
                <w:sz w:val="16"/>
                <w:szCs w:val="16"/>
                <w:lang w:val="es-ES_tradnl" w:bidi="th-TH"/>
              </w:rPr>
              <w:t>Seychelles (se está revisando el memorando de entendimiento)</w:t>
            </w:r>
          </w:p>
          <w:p w:rsidR="00B070BF" w:rsidRPr="009577DE" w:rsidRDefault="00B070BF" w:rsidP="00B070BF">
            <w:pPr>
              <w:widowControl w:val="0"/>
              <w:numPr>
                <w:ilvl w:val="0"/>
                <w:numId w:val="49"/>
              </w:numPr>
              <w:rPr>
                <w:bCs/>
                <w:sz w:val="16"/>
                <w:szCs w:val="16"/>
                <w:lang w:val="es-ES_tradnl" w:bidi="th-TH"/>
              </w:rPr>
            </w:pPr>
            <w:r w:rsidRPr="009577DE">
              <w:rPr>
                <w:bCs/>
                <w:sz w:val="16"/>
                <w:szCs w:val="16"/>
                <w:lang w:val="es-ES_tradnl" w:bidi="th-TH"/>
              </w:rPr>
              <w:t xml:space="preserve">República Unida de </w:t>
            </w:r>
            <w:proofErr w:type="spellStart"/>
            <w:r w:rsidRPr="009577DE">
              <w:rPr>
                <w:bCs/>
                <w:sz w:val="16"/>
                <w:szCs w:val="16"/>
                <w:lang w:val="es-ES_tradnl" w:bidi="th-TH"/>
              </w:rPr>
              <w:t>Tanzanía</w:t>
            </w:r>
            <w:proofErr w:type="spellEnd"/>
            <w:r w:rsidRPr="009577DE">
              <w:rPr>
                <w:bCs/>
                <w:sz w:val="16"/>
                <w:szCs w:val="16"/>
                <w:lang w:val="es-ES_tradnl" w:bidi="th-TH"/>
              </w:rPr>
              <w:t xml:space="preserve"> (aplicación en curso)</w:t>
            </w:r>
          </w:p>
          <w:p w:rsidR="00B070BF" w:rsidRPr="009577DE" w:rsidRDefault="00B070BF" w:rsidP="00B070BF">
            <w:pPr>
              <w:widowControl w:val="0"/>
              <w:numPr>
                <w:ilvl w:val="0"/>
                <w:numId w:val="49"/>
              </w:numPr>
              <w:rPr>
                <w:bCs/>
                <w:sz w:val="16"/>
                <w:szCs w:val="16"/>
                <w:lang w:val="es-ES_tradnl" w:bidi="th-TH"/>
              </w:rPr>
            </w:pPr>
            <w:r w:rsidRPr="009577DE">
              <w:rPr>
                <w:bCs/>
                <w:sz w:val="16"/>
                <w:szCs w:val="16"/>
                <w:lang w:val="es-ES_tradnl" w:bidi="th-TH"/>
              </w:rPr>
              <w:t>Ghana (en curso)</w:t>
            </w:r>
          </w:p>
          <w:p w:rsidR="00B070BF" w:rsidRPr="009577DE" w:rsidRDefault="00B070BF" w:rsidP="00C33D4A">
            <w:pPr>
              <w:widowControl w:val="0"/>
              <w:rPr>
                <w:sz w:val="16"/>
                <w:szCs w:val="16"/>
                <w:lang w:val="es-ES_tradnl"/>
              </w:rPr>
            </w:pPr>
          </w:p>
        </w:tc>
        <w:tc>
          <w:tcPr>
            <w:tcW w:w="524" w:type="pct"/>
            <w:shd w:val="clear" w:color="auto" w:fill="auto"/>
            <w:tcMar>
              <w:top w:w="110" w:type="dxa"/>
            </w:tcMar>
          </w:tcPr>
          <w:p w:rsidR="00B070BF" w:rsidRPr="009577DE" w:rsidRDefault="00B070BF" w:rsidP="00C33D4A">
            <w:pPr>
              <w:widowControl w:val="0"/>
              <w:jc w:val="center"/>
              <w:rPr>
                <w:b/>
                <w:bCs/>
                <w:sz w:val="16"/>
                <w:szCs w:val="16"/>
                <w:lang w:val="es-ES_tradnl"/>
              </w:rPr>
            </w:pPr>
            <w:r w:rsidRPr="009577DE">
              <w:rPr>
                <w:b/>
                <w:bCs/>
                <w:color w:val="008000"/>
                <w:sz w:val="16"/>
                <w:szCs w:val="16"/>
                <w:lang w:val="es-ES_tradnl"/>
              </w:rPr>
              <w:t>Progresa con normalidad</w:t>
            </w:r>
          </w:p>
          <w:p w:rsidR="00B070BF" w:rsidRPr="009577DE" w:rsidRDefault="00B070BF" w:rsidP="00C33D4A">
            <w:pPr>
              <w:widowControl w:val="0"/>
              <w:jc w:val="center"/>
              <w:rPr>
                <w:bCs/>
                <w:sz w:val="16"/>
                <w:szCs w:val="16"/>
                <w:lang w:val="es-ES_tradnl"/>
              </w:rPr>
            </w:pPr>
          </w:p>
          <w:p w:rsidR="00B070BF" w:rsidRPr="009577DE" w:rsidRDefault="00B070BF" w:rsidP="00C33D4A">
            <w:pPr>
              <w:widowControl w:val="0"/>
              <w:jc w:val="center"/>
              <w:rPr>
                <w:bCs/>
                <w:sz w:val="16"/>
                <w:szCs w:val="16"/>
                <w:lang w:val="es-ES_tradnl"/>
              </w:rPr>
            </w:pPr>
          </w:p>
        </w:tc>
      </w:tr>
      <w:tr w:rsidR="00B070BF" w:rsidRPr="009577DE" w:rsidTr="00C33D4A">
        <w:trPr>
          <w:cantSplit/>
        </w:trPr>
        <w:tc>
          <w:tcPr>
            <w:tcW w:w="887" w:type="pct"/>
            <w:shd w:val="clear" w:color="auto" w:fill="auto"/>
          </w:tcPr>
          <w:p w:rsidR="00B070BF" w:rsidRPr="009577DE" w:rsidRDefault="00B070BF" w:rsidP="00C33D4A">
            <w:pPr>
              <w:widowControl w:val="0"/>
              <w:rPr>
                <w:sz w:val="16"/>
                <w:szCs w:val="16"/>
                <w:lang w:val="es-ES_tradnl"/>
              </w:rPr>
            </w:pPr>
          </w:p>
        </w:tc>
        <w:tc>
          <w:tcPr>
            <w:tcW w:w="887" w:type="pct"/>
            <w:shd w:val="clear" w:color="auto" w:fill="C0C0C0"/>
          </w:tcPr>
          <w:p w:rsidR="00B070BF" w:rsidRPr="009577DE" w:rsidRDefault="00B070BF" w:rsidP="00C33D4A">
            <w:pPr>
              <w:widowControl w:val="0"/>
              <w:ind w:leftChars="-6" w:left="1" w:hangingChars="9" w:hanging="14"/>
              <w:rPr>
                <w:sz w:val="16"/>
                <w:szCs w:val="16"/>
                <w:lang w:val="es-ES_tradnl" w:bidi="th-TH"/>
              </w:rPr>
            </w:pPr>
            <w:r w:rsidRPr="009577DE">
              <w:rPr>
                <w:sz w:val="16"/>
                <w:szCs w:val="16"/>
                <w:lang w:val="es-ES_tradnl" w:bidi="th-TH"/>
              </w:rPr>
              <w:t xml:space="preserve">Cuatro países han adoptado planes nacionales para el desarrollo de la P.I. </w:t>
            </w:r>
          </w:p>
          <w:p w:rsidR="00B070BF" w:rsidRPr="009577DE" w:rsidRDefault="00B070BF" w:rsidP="00C33D4A">
            <w:pPr>
              <w:widowControl w:val="0"/>
              <w:ind w:leftChars="-6" w:left="1" w:hangingChars="9" w:hanging="14"/>
              <w:rPr>
                <w:sz w:val="16"/>
                <w:szCs w:val="16"/>
                <w:lang w:val="es-ES_tradnl" w:bidi="th-TH"/>
              </w:rPr>
            </w:pPr>
          </w:p>
        </w:tc>
        <w:tc>
          <w:tcPr>
            <w:tcW w:w="885" w:type="pct"/>
            <w:shd w:val="clear" w:color="auto" w:fill="auto"/>
            <w:tcMar>
              <w:top w:w="110" w:type="dxa"/>
            </w:tcMar>
          </w:tcPr>
          <w:p w:rsidR="00B070BF" w:rsidRPr="009577DE" w:rsidRDefault="00B070BF" w:rsidP="00C33D4A">
            <w:pPr>
              <w:widowControl w:val="0"/>
              <w:rPr>
                <w:lang w:val="es-ES_tradnl"/>
              </w:rPr>
            </w:pPr>
          </w:p>
        </w:tc>
        <w:tc>
          <w:tcPr>
            <w:tcW w:w="1817" w:type="pct"/>
            <w:gridSpan w:val="2"/>
            <w:shd w:val="clear" w:color="auto" w:fill="FFFFFF"/>
            <w:tcMar>
              <w:top w:w="110" w:type="dxa"/>
            </w:tcMar>
          </w:tcPr>
          <w:p w:rsidR="00B070BF" w:rsidRPr="009577DE" w:rsidRDefault="00B070BF" w:rsidP="00C33D4A">
            <w:pPr>
              <w:widowControl w:val="0"/>
              <w:rPr>
                <w:sz w:val="16"/>
                <w:szCs w:val="16"/>
                <w:lang w:val="es-ES_tradnl"/>
              </w:rPr>
            </w:pPr>
            <w:r w:rsidRPr="009577DE">
              <w:rPr>
                <w:sz w:val="16"/>
                <w:szCs w:val="16"/>
                <w:lang w:val="es-ES_tradnl"/>
              </w:rPr>
              <w:t>Consultas en curso con ocho países (</w:t>
            </w:r>
            <w:proofErr w:type="spellStart"/>
            <w:r w:rsidRPr="009577DE">
              <w:rPr>
                <w:sz w:val="16"/>
                <w:szCs w:val="16"/>
                <w:lang w:val="es-ES_tradnl"/>
              </w:rPr>
              <w:t>Botswana</w:t>
            </w:r>
            <w:proofErr w:type="spellEnd"/>
            <w:r w:rsidRPr="009577DE">
              <w:rPr>
                <w:sz w:val="16"/>
                <w:szCs w:val="16"/>
                <w:lang w:val="es-ES_tradnl"/>
              </w:rPr>
              <w:t xml:space="preserve">, Burundi, Chad, Congo, Gambia, Mauricio, Seychelles y República Unida de </w:t>
            </w:r>
            <w:proofErr w:type="spellStart"/>
            <w:r w:rsidRPr="009577DE">
              <w:rPr>
                <w:sz w:val="16"/>
                <w:szCs w:val="16"/>
                <w:lang w:val="es-ES_tradnl"/>
              </w:rPr>
              <w:t>Tanzanía</w:t>
            </w:r>
            <w:proofErr w:type="spellEnd"/>
            <w:r w:rsidRPr="009577DE">
              <w:rPr>
                <w:sz w:val="16"/>
                <w:szCs w:val="16"/>
                <w:lang w:val="es-ES_tradnl"/>
              </w:rPr>
              <w:t>)</w:t>
            </w:r>
          </w:p>
          <w:p w:rsidR="00B070BF" w:rsidRPr="009577DE" w:rsidRDefault="00B070BF" w:rsidP="00C33D4A">
            <w:pPr>
              <w:widowControl w:val="0"/>
              <w:rPr>
                <w:sz w:val="16"/>
                <w:szCs w:val="16"/>
                <w:lang w:val="es-ES_tradnl"/>
              </w:rPr>
            </w:pPr>
          </w:p>
        </w:tc>
        <w:tc>
          <w:tcPr>
            <w:tcW w:w="524" w:type="pct"/>
            <w:shd w:val="clear" w:color="auto" w:fill="auto"/>
            <w:tcMar>
              <w:top w:w="110" w:type="dxa"/>
            </w:tcMar>
          </w:tcPr>
          <w:p w:rsidR="00B070BF" w:rsidRPr="009577DE" w:rsidRDefault="00B070BF" w:rsidP="00C33D4A">
            <w:pPr>
              <w:widowControl w:val="0"/>
              <w:jc w:val="center"/>
              <w:rPr>
                <w:b/>
                <w:bCs/>
                <w:sz w:val="16"/>
                <w:szCs w:val="16"/>
                <w:lang w:val="es-ES_tradnl"/>
              </w:rPr>
            </w:pPr>
            <w:r w:rsidRPr="009577DE">
              <w:rPr>
                <w:b/>
                <w:bCs/>
                <w:color w:val="008000"/>
                <w:sz w:val="16"/>
                <w:szCs w:val="16"/>
                <w:lang w:val="es-ES_tradnl"/>
              </w:rPr>
              <w:t>Progresa con normalidad</w:t>
            </w:r>
          </w:p>
          <w:p w:rsidR="00B070BF" w:rsidRPr="009577DE" w:rsidRDefault="00B070BF" w:rsidP="00C33D4A">
            <w:pPr>
              <w:widowControl w:val="0"/>
              <w:jc w:val="center"/>
              <w:rPr>
                <w:bCs/>
                <w:sz w:val="16"/>
                <w:szCs w:val="16"/>
                <w:lang w:val="es-ES_tradnl"/>
              </w:rPr>
            </w:pPr>
          </w:p>
          <w:p w:rsidR="00B070BF" w:rsidRPr="009577DE" w:rsidRDefault="00B070BF" w:rsidP="00C33D4A">
            <w:pPr>
              <w:widowControl w:val="0"/>
              <w:rPr>
                <w:bCs/>
                <w:sz w:val="16"/>
                <w:szCs w:val="16"/>
                <w:lang w:val="es-ES_tradnl"/>
              </w:rPr>
            </w:pPr>
          </w:p>
        </w:tc>
      </w:tr>
      <w:tr w:rsidR="00B070BF" w:rsidRPr="009577DE" w:rsidTr="00C33D4A">
        <w:trPr>
          <w:cantSplit/>
        </w:trPr>
        <w:tc>
          <w:tcPr>
            <w:tcW w:w="887" w:type="pct"/>
            <w:shd w:val="clear" w:color="auto" w:fill="auto"/>
          </w:tcPr>
          <w:p w:rsidR="00B070BF" w:rsidRPr="009577DE" w:rsidRDefault="00B070BF" w:rsidP="00C33D4A">
            <w:pPr>
              <w:widowControl w:val="0"/>
              <w:rPr>
                <w:sz w:val="16"/>
                <w:szCs w:val="16"/>
                <w:lang w:val="es-ES_tradnl"/>
              </w:rPr>
            </w:pPr>
          </w:p>
        </w:tc>
        <w:tc>
          <w:tcPr>
            <w:tcW w:w="887" w:type="pct"/>
            <w:shd w:val="clear" w:color="auto" w:fill="C0C0C0"/>
          </w:tcPr>
          <w:p w:rsidR="00B070BF" w:rsidRPr="009577DE" w:rsidRDefault="00B070BF" w:rsidP="00C33D4A">
            <w:pPr>
              <w:widowControl w:val="0"/>
              <w:ind w:leftChars="-6" w:left="1" w:hangingChars="9" w:hanging="14"/>
              <w:rPr>
                <w:sz w:val="16"/>
                <w:szCs w:val="16"/>
                <w:lang w:val="es-ES_tradnl" w:bidi="th-TH"/>
              </w:rPr>
            </w:pPr>
            <w:r w:rsidRPr="009577DE">
              <w:rPr>
                <w:sz w:val="16"/>
                <w:szCs w:val="16"/>
                <w:lang w:val="es-ES_tradnl" w:bidi="th-TH"/>
              </w:rPr>
              <w:t xml:space="preserve">Tres países han terminado de formular sus políticas y estrategias nacionales de P.I. </w:t>
            </w:r>
          </w:p>
        </w:tc>
        <w:tc>
          <w:tcPr>
            <w:tcW w:w="885" w:type="pct"/>
            <w:shd w:val="clear" w:color="auto" w:fill="auto"/>
            <w:tcMar>
              <w:top w:w="110" w:type="dxa"/>
            </w:tcMar>
          </w:tcPr>
          <w:p w:rsidR="00B070BF" w:rsidRPr="009577DE" w:rsidRDefault="00B070BF" w:rsidP="00C33D4A">
            <w:pPr>
              <w:widowControl w:val="0"/>
              <w:rPr>
                <w:lang w:val="es-ES_tradnl"/>
              </w:rPr>
            </w:pPr>
          </w:p>
        </w:tc>
        <w:tc>
          <w:tcPr>
            <w:tcW w:w="1817" w:type="pct"/>
            <w:gridSpan w:val="2"/>
            <w:shd w:val="clear" w:color="auto" w:fill="FFFFFF"/>
            <w:tcMar>
              <w:top w:w="110" w:type="dxa"/>
            </w:tcMar>
          </w:tcPr>
          <w:p w:rsidR="00B070BF" w:rsidRPr="009577DE" w:rsidRDefault="00B070BF" w:rsidP="00B070BF">
            <w:pPr>
              <w:widowControl w:val="0"/>
              <w:numPr>
                <w:ilvl w:val="0"/>
                <w:numId w:val="50"/>
              </w:numPr>
              <w:rPr>
                <w:sz w:val="16"/>
                <w:szCs w:val="16"/>
                <w:lang w:val="es-ES_tradnl" w:bidi="th-TH"/>
              </w:rPr>
            </w:pPr>
            <w:proofErr w:type="spellStart"/>
            <w:r w:rsidRPr="009577DE">
              <w:rPr>
                <w:sz w:val="16"/>
                <w:szCs w:val="16"/>
                <w:lang w:val="es-ES_tradnl" w:bidi="th-TH"/>
              </w:rPr>
              <w:t>Botswana</w:t>
            </w:r>
            <w:proofErr w:type="spellEnd"/>
            <w:r w:rsidRPr="009577DE">
              <w:rPr>
                <w:sz w:val="16"/>
                <w:szCs w:val="16"/>
                <w:lang w:val="es-ES_tradnl" w:bidi="th-TH"/>
              </w:rPr>
              <w:t xml:space="preserve"> (estrategia de P.I.)</w:t>
            </w:r>
          </w:p>
          <w:p w:rsidR="00B070BF" w:rsidRPr="009577DE" w:rsidRDefault="00B070BF" w:rsidP="00B070BF">
            <w:pPr>
              <w:widowControl w:val="0"/>
              <w:numPr>
                <w:ilvl w:val="0"/>
                <w:numId w:val="50"/>
              </w:numPr>
              <w:rPr>
                <w:sz w:val="16"/>
                <w:szCs w:val="16"/>
                <w:lang w:val="es-ES_tradnl" w:bidi="th-TH"/>
              </w:rPr>
            </w:pPr>
            <w:r w:rsidRPr="009577DE">
              <w:rPr>
                <w:sz w:val="16"/>
                <w:szCs w:val="16"/>
                <w:lang w:val="es-ES_tradnl" w:bidi="th-TH"/>
              </w:rPr>
              <w:t>Gambia (estrategia y política de P.I.)</w:t>
            </w:r>
          </w:p>
          <w:p w:rsidR="00B070BF" w:rsidRPr="009577DE" w:rsidRDefault="00B070BF" w:rsidP="00B070BF">
            <w:pPr>
              <w:widowControl w:val="0"/>
              <w:numPr>
                <w:ilvl w:val="0"/>
                <w:numId w:val="50"/>
              </w:numPr>
              <w:rPr>
                <w:sz w:val="16"/>
                <w:szCs w:val="16"/>
                <w:lang w:val="es-ES_tradnl" w:bidi="th-TH"/>
              </w:rPr>
            </w:pPr>
            <w:r w:rsidRPr="009577DE">
              <w:rPr>
                <w:sz w:val="16"/>
                <w:szCs w:val="16"/>
                <w:lang w:val="es-ES_tradnl" w:bidi="th-TH"/>
              </w:rPr>
              <w:t>Seychelles (política de P.I.)</w:t>
            </w:r>
          </w:p>
          <w:p w:rsidR="00B070BF" w:rsidRPr="009577DE" w:rsidRDefault="00B070BF" w:rsidP="00B070BF">
            <w:pPr>
              <w:widowControl w:val="0"/>
              <w:numPr>
                <w:ilvl w:val="0"/>
                <w:numId w:val="50"/>
              </w:numPr>
              <w:rPr>
                <w:sz w:val="16"/>
                <w:szCs w:val="16"/>
                <w:lang w:val="es-ES_tradnl" w:bidi="th-TH"/>
              </w:rPr>
            </w:pPr>
            <w:r w:rsidRPr="009577DE">
              <w:rPr>
                <w:sz w:val="16"/>
                <w:szCs w:val="16"/>
                <w:lang w:val="es-ES_tradnl" w:bidi="th-TH"/>
              </w:rPr>
              <w:t>Mauricio (política de P.I.)</w:t>
            </w:r>
          </w:p>
          <w:p w:rsidR="00B070BF" w:rsidRPr="009577DE" w:rsidRDefault="00B070BF" w:rsidP="00B070BF">
            <w:pPr>
              <w:widowControl w:val="0"/>
              <w:numPr>
                <w:ilvl w:val="0"/>
                <w:numId w:val="50"/>
              </w:numPr>
              <w:rPr>
                <w:sz w:val="16"/>
                <w:szCs w:val="16"/>
                <w:lang w:val="es-ES_tradnl" w:bidi="th-TH"/>
              </w:rPr>
            </w:pPr>
            <w:r w:rsidRPr="009577DE">
              <w:rPr>
                <w:sz w:val="16"/>
                <w:szCs w:val="16"/>
                <w:lang w:val="es-ES_tradnl" w:bidi="th-TH"/>
              </w:rPr>
              <w:t xml:space="preserve">República Unida de </w:t>
            </w:r>
            <w:proofErr w:type="spellStart"/>
            <w:r w:rsidRPr="009577DE">
              <w:rPr>
                <w:sz w:val="16"/>
                <w:szCs w:val="16"/>
                <w:lang w:val="es-ES_tradnl" w:bidi="th-TH"/>
              </w:rPr>
              <w:t>Tanzanía</w:t>
            </w:r>
            <w:proofErr w:type="spellEnd"/>
            <w:r w:rsidRPr="009577DE">
              <w:rPr>
                <w:sz w:val="16"/>
                <w:szCs w:val="16"/>
                <w:lang w:val="es-ES_tradnl" w:bidi="th-TH"/>
              </w:rPr>
              <w:t xml:space="preserve"> (estrategia y política de P.I.)  </w:t>
            </w:r>
          </w:p>
          <w:p w:rsidR="00B070BF" w:rsidRPr="009577DE" w:rsidRDefault="00B070BF" w:rsidP="00C33D4A">
            <w:pPr>
              <w:widowControl w:val="0"/>
              <w:rPr>
                <w:sz w:val="16"/>
                <w:szCs w:val="16"/>
                <w:lang w:val="es-ES_tradnl"/>
              </w:rPr>
            </w:pPr>
          </w:p>
        </w:tc>
        <w:tc>
          <w:tcPr>
            <w:tcW w:w="524" w:type="pct"/>
            <w:shd w:val="clear" w:color="auto" w:fill="auto"/>
            <w:tcMar>
              <w:top w:w="110" w:type="dxa"/>
            </w:tcMar>
          </w:tcPr>
          <w:p w:rsidR="00B070BF" w:rsidRPr="009577DE" w:rsidRDefault="00B070BF" w:rsidP="00C33D4A">
            <w:pPr>
              <w:widowControl w:val="0"/>
              <w:jc w:val="center"/>
              <w:rPr>
                <w:b/>
                <w:bCs/>
                <w:sz w:val="16"/>
                <w:szCs w:val="16"/>
                <w:lang w:val="es-ES_tradnl"/>
              </w:rPr>
            </w:pPr>
            <w:r w:rsidRPr="009577DE">
              <w:rPr>
                <w:b/>
                <w:bCs/>
                <w:color w:val="008000"/>
                <w:sz w:val="16"/>
                <w:szCs w:val="16"/>
                <w:lang w:val="es-ES_tradnl"/>
              </w:rPr>
              <w:t>Progresa con normalidad</w:t>
            </w:r>
          </w:p>
          <w:p w:rsidR="00B070BF" w:rsidRPr="009577DE" w:rsidRDefault="00B070BF" w:rsidP="00C33D4A">
            <w:pPr>
              <w:widowControl w:val="0"/>
              <w:jc w:val="center"/>
              <w:rPr>
                <w:bCs/>
                <w:sz w:val="16"/>
                <w:szCs w:val="16"/>
                <w:lang w:val="es-ES_tradnl"/>
              </w:rPr>
            </w:pPr>
          </w:p>
          <w:p w:rsidR="00B070BF" w:rsidRPr="009577DE" w:rsidRDefault="00B070BF" w:rsidP="00C33D4A">
            <w:pPr>
              <w:widowControl w:val="0"/>
              <w:jc w:val="center"/>
              <w:rPr>
                <w:bCs/>
                <w:sz w:val="16"/>
                <w:szCs w:val="16"/>
                <w:lang w:val="es-ES_tradnl"/>
              </w:rPr>
            </w:pPr>
          </w:p>
          <w:p w:rsidR="00B070BF" w:rsidRPr="009577DE" w:rsidRDefault="00B070BF" w:rsidP="00C33D4A">
            <w:pPr>
              <w:widowControl w:val="0"/>
              <w:jc w:val="center"/>
              <w:rPr>
                <w:bCs/>
                <w:sz w:val="16"/>
                <w:szCs w:val="16"/>
                <w:lang w:val="es-ES_tradnl"/>
              </w:rPr>
            </w:pPr>
          </w:p>
        </w:tc>
      </w:tr>
      <w:tr w:rsidR="00B070BF" w:rsidRPr="009577DE" w:rsidTr="00C33D4A">
        <w:trPr>
          <w:cantSplit/>
        </w:trPr>
        <w:tc>
          <w:tcPr>
            <w:tcW w:w="887" w:type="pct"/>
            <w:shd w:val="clear" w:color="auto" w:fill="auto"/>
          </w:tcPr>
          <w:p w:rsidR="00B070BF" w:rsidRPr="009577DE" w:rsidRDefault="00B070BF" w:rsidP="00C33D4A">
            <w:pPr>
              <w:widowControl w:val="0"/>
              <w:rPr>
                <w:sz w:val="16"/>
                <w:szCs w:val="16"/>
                <w:lang w:val="es-ES_tradnl" w:bidi="th-TH"/>
              </w:rPr>
            </w:pPr>
            <w:r w:rsidRPr="009577DE">
              <w:rPr>
                <w:sz w:val="16"/>
                <w:szCs w:val="16"/>
                <w:lang w:val="es-ES_tradnl" w:bidi="th-TH"/>
              </w:rPr>
              <w:t>Número de países con mecanismos adecuados para el desarrollo y la aplicación de estrategias de P.I. (región de los países árabes)</w:t>
            </w:r>
          </w:p>
          <w:p w:rsidR="00B070BF" w:rsidRPr="009577DE" w:rsidRDefault="00B070BF" w:rsidP="00C33D4A">
            <w:pPr>
              <w:widowControl w:val="0"/>
              <w:rPr>
                <w:sz w:val="16"/>
                <w:szCs w:val="16"/>
                <w:lang w:val="es-ES_tradnl"/>
              </w:rPr>
            </w:pPr>
          </w:p>
        </w:tc>
        <w:tc>
          <w:tcPr>
            <w:tcW w:w="887" w:type="pct"/>
            <w:shd w:val="clear" w:color="auto" w:fill="C0C0C0"/>
          </w:tcPr>
          <w:p w:rsidR="00B070BF" w:rsidRPr="009577DE" w:rsidRDefault="00B070BF" w:rsidP="00C33D4A">
            <w:pPr>
              <w:widowControl w:val="0"/>
              <w:ind w:leftChars="-6" w:left="1" w:hangingChars="9" w:hanging="14"/>
              <w:rPr>
                <w:sz w:val="16"/>
                <w:szCs w:val="16"/>
                <w:lang w:val="es-ES_tradnl" w:bidi="th-TH"/>
              </w:rPr>
            </w:pPr>
            <w:r w:rsidRPr="009577DE">
              <w:rPr>
                <w:sz w:val="16"/>
                <w:szCs w:val="16"/>
                <w:lang w:val="es-ES_tradnl" w:bidi="th-TH"/>
              </w:rPr>
              <w:t xml:space="preserve">Cinco países  </w:t>
            </w:r>
          </w:p>
        </w:tc>
        <w:tc>
          <w:tcPr>
            <w:tcW w:w="885" w:type="pct"/>
            <w:shd w:val="clear" w:color="auto" w:fill="auto"/>
            <w:tcMar>
              <w:top w:w="110" w:type="dxa"/>
            </w:tcMar>
          </w:tcPr>
          <w:p w:rsidR="00B070BF" w:rsidRPr="009577DE" w:rsidRDefault="00B070BF" w:rsidP="00C33D4A">
            <w:pPr>
              <w:widowControl w:val="0"/>
              <w:rPr>
                <w:lang w:val="es-ES_tradnl"/>
              </w:rPr>
            </w:pPr>
          </w:p>
        </w:tc>
        <w:tc>
          <w:tcPr>
            <w:tcW w:w="1817" w:type="pct"/>
            <w:gridSpan w:val="2"/>
            <w:shd w:val="clear" w:color="auto" w:fill="FFFFFF"/>
            <w:tcMar>
              <w:top w:w="110" w:type="dxa"/>
            </w:tcMar>
          </w:tcPr>
          <w:p w:rsidR="00B070BF" w:rsidRPr="009577DE" w:rsidRDefault="00B070BF" w:rsidP="00C33D4A">
            <w:pPr>
              <w:widowControl w:val="0"/>
              <w:rPr>
                <w:sz w:val="16"/>
                <w:szCs w:val="16"/>
                <w:lang w:val="es-ES_tradnl" w:bidi="th-TH"/>
              </w:rPr>
            </w:pPr>
            <w:r w:rsidRPr="009577DE">
              <w:rPr>
                <w:sz w:val="16"/>
                <w:szCs w:val="16"/>
                <w:lang w:val="es-ES_tradnl"/>
              </w:rPr>
              <w:t>Tres países (</w:t>
            </w:r>
            <w:r w:rsidRPr="009577DE">
              <w:rPr>
                <w:sz w:val="16"/>
                <w:szCs w:val="16"/>
                <w:lang w:val="es-ES_tradnl" w:bidi="th-TH"/>
              </w:rPr>
              <w:t xml:space="preserve">Argelia, Omán y Qatar). </w:t>
            </w:r>
          </w:p>
          <w:p w:rsidR="00B070BF" w:rsidRPr="009577DE" w:rsidRDefault="00B070BF" w:rsidP="00C33D4A">
            <w:pPr>
              <w:widowControl w:val="0"/>
              <w:rPr>
                <w:sz w:val="16"/>
                <w:szCs w:val="16"/>
                <w:lang w:val="es-ES_tradnl" w:bidi="th-TH"/>
              </w:rPr>
            </w:pPr>
          </w:p>
          <w:p w:rsidR="00B070BF" w:rsidRPr="009577DE" w:rsidRDefault="00B070BF" w:rsidP="00C33D4A">
            <w:pPr>
              <w:widowControl w:val="0"/>
              <w:rPr>
                <w:sz w:val="16"/>
                <w:szCs w:val="16"/>
                <w:lang w:val="es-ES_tradnl" w:bidi="th-TH"/>
              </w:rPr>
            </w:pPr>
          </w:p>
          <w:p w:rsidR="00B070BF" w:rsidRPr="009577DE" w:rsidRDefault="00B070BF" w:rsidP="00C33D4A">
            <w:pPr>
              <w:widowControl w:val="0"/>
              <w:rPr>
                <w:sz w:val="16"/>
                <w:szCs w:val="16"/>
                <w:lang w:val="es-ES_tradnl" w:bidi="th-TH"/>
              </w:rPr>
            </w:pPr>
          </w:p>
          <w:p w:rsidR="00B070BF" w:rsidRPr="009577DE" w:rsidRDefault="00B070BF" w:rsidP="00C33D4A">
            <w:pPr>
              <w:widowControl w:val="0"/>
              <w:rPr>
                <w:sz w:val="16"/>
                <w:szCs w:val="16"/>
                <w:lang w:val="es-ES_tradnl" w:bidi="th-TH"/>
              </w:rPr>
            </w:pPr>
          </w:p>
          <w:p w:rsidR="00B070BF" w:rsidRPr="009577DE" w:rsidRDefault="00B070BF" w:rsidP="00C33D4A">
            <w:pPr>
              <w:widowControl w:val="0"/>
              <w:rPr>
                <w:sz w:val="16"/>
                <w:szCs w:val="16"/>
                <w:lang w:val="es-ES_tradnl" w:bidi="th-TH"/>
              </w:rPr>
            </w:pPr>
          </w:p>
          <w:p w:rsidR="00B070BF" w:rsidRPr="009577DE" w:rsidRDefault="00B070BF" w:rsidP="00C33D4A">
            <w:pPr>
              <w:widowControl w:val="0"/>
              <w:rPr>
                <w:sz w:val="16"/>
                <w:szCs w:val="16"/>
                <w:lang w:val="es-ES_tradnl"/>
              </w:rPr>
            </w:pPr>
          </w:p>
        </w:tc>
        <w:tc>
          <w:tcPr>
            <w:tcW w:w="524" w:type="pct"/>
            <w:shd w:val="clear" w:color="auto" w:fill="auto"/>
            <w:tcMar>
              <w:top w:w="110" w:type="dxa"/>
            </w:tcMar>
          </w:tcPr>
          <w:p w:rsidR="00B070BF" w:rsidRPr="009577DE" w:rsidRDefault="00B070BF" w:rsidP="00C33D4A">
            <w:pPr>
              <w:widowControl w:val="0"/>
              <w:jc w:val="center"/>
              <w:rPr>
                <w:b/>
                <w:bCs/>
                <w:sz w:val="16"/>
                <w:szCs w:val="16"/>
                <w:lang w:val="es-ES_tradnl"/>
              </w:rPr>
            </w:pPr>
            <w:r w:rsidRPr="009577DE">
              <w:rPr>
                <w:b/>
                <w:bCs/>
                <w:color w:val="008000"/>
                <w:sz w:val="16"/>
                <w:szCs w:val="16"/>
                <w:lang w:val="es-ES_tradnl"/>
              </w:rPr>
              <w:t>Progresa con normalidad</w:t>
            </w:r>
          </w:p>
          <w:p w:rsidR="00B070BF" w:rsidRPr="009577DE" w:rsidRDefault="00B070BF" w:rsidP="00C33D4A">
            <w:pPr>
              <w:widowControl w:val="0"/>
              <w:jc w:val="center"/>
              <w:rPr>
                <w:bCs/>
                <w:sz w:val="16"/>
                <w:szCs w:val="16"/>
                <w:lang w:val="es-ES_tradnl"/>
              </w:rPr>
            </w:pPr>
          </w:p>
          <w:p w:rsidR="00B070BF" w:rsidRPr="009577DE" w:rsidRDefault="00B070BF" w:rsidP="00C33D4A">
            <w:pPr>
              <w:widowControl w:val="0"/>
              <w:jc w:val="center"/>
              <w:rPr>
                <w:bCs/>
                <w:sz w:val="16"/>
                <w:szCs w:val="16"/>
                <w:lang w:val="es-ES_tradnl"/>
              </w:rPr>
            </w:pPr>
          </w:p>
        </w:tc>
      </w:tr>
      <w:tr w:rsidR="00B070BF" w:rsidRPr="009577DE" w:rsidTr="00C33D4A">
        <w:trPr>
          <w:cantSplit/>
        </w:trPr>
        <w:tc>
          <w:tcPr>
            <w:tcW w:w="887" w:type="pct"/>
            <w:shd w:val="clear" w:color="auto" w:fill="auto"/>
          </w:tcPr>
          <w:p w:rsidR="00B070BF" w:rsidRPr="009577DE" w:rsidRDefault="00B070BF" w:rsidP="00C33D4A">
            <w:pPr>
              <w:widowControl w:val="0"/>
              <w:rPr>
                <w:sz w:val="16"/>
                <w:szCs w:val="16"/>
                <w:lang w:val="es-ES_tradnl" w:bidi="th-TH"/>
              </w:rPr>
            </w:pPr>
            <w:r w:rsidRPr="009577DE">
              <w:rPr>
                <w:sz w:val="16"/>
                <w:szCs w:val="16"/>
                <w:lang w:val="es-ES_tradnl" w:bidi="th-TH"/>
              </w:rPr>
              <w:t>Número de países con iniciativas vinculadas a los planes nacionales de P.I. (región de los países árabes)</w:t>
            </w:r>
          </w:p>
          <w:p w:rsidR="00B070BF" w:rsidRPr="009577DE" w:rsidRDefault="00B070BF" w:rsidP="00C33D4A">
            <w:pPr>
              <w:widowControl w:val="0"/>
              <w:rPr>
                <w:sz w:val="16"/>
                <w:szCs w:val="16"/>
                <w:lang w:val="es-ES_tradnl" w:bidi="th-TH"/>
              </w:rPr>
            </w:pPr>
          </w:p>
        </w:tc>
        <w:tc>
          <w:tcPr>
            <w:tcW w:w="887" w:type="pct"/>
            <w:shd w:val="clear" w:color="auto" w:fill="C0C0C0"/>
          </w:tcPr>
          <w:p w:rsidR="00B070BF" w:rsidRPr="009577DE" w:rsidRDefault="00B070BF" w:rsidP="00C33D4A">
            <w:pPr>
              <w:widowControl w:val="0"/>
              <w:ind w:leftChars="-6" w:left="1" w:hangingChars="9" w:hanging="14"/>
              <w:rPr>
                <w:sz w:val="16"/>
                <w:szCs w:val="16"/>
                <w:lang w:val="es-ES_tradnl" w:bidi="th-TH"/>
              </w:rPr>
            </w:pPr>
            <w:r w:rsidRPr="009577DE">
              <w:rPr>
                <w:sz w:val="16"/>
                <w:szCs w:val="16"/>
                <w:lang w:val="es-ES_tradnl" w:bidi="th-TH"/>
              </w:rPr>
              <w:t>Dos países</w:t>
            </w:r>
          </w:p>
        </w:tc>
        <w:tc>
          <w:tcPr>
            <w:tcW w:w="885" w:type="pct"/>
            <w:shd w:val="clear" w:color="auto" w:fill="auto"/>
            <w:tcMar>
              <w:top w:w="110" w:type="dxa"/>
            </w:tcMar>
          </w:tcPr>
          <w:p w:rsidR="00B070BF" w:rsidRPr="009577DE" w:rsidRDefault="00B070BF" w:rsidP="00C33D4A">
            <w:pPr>
              <w:widowControl w:val="0"/>
              <w:rPr>
                <w:lang w:val="es-ES_tradnl"/>
              </w:rPr>
            </w:pPr>
          </w:p>
        </w:tc>
        <w:tc>
          <w:tcPr>
            <w:tcW w:w="1817" w:type="pct"/>
            <w:gridSpan w:val="2"/>
            <w:shd w:val="clear" w:color="auto" w:fill="FFFFFF"/>
            <w:tcMar>
              <w:top w:w="110" w:type="dxa"/>
            </w:tcMar>
          </w:tcPr>
          <w:p w:rsidR="00B070BF" w:rsidRPr="009577DE" w:rsidRDefault="00B070BF" w:rsidP="00C33D4A">
            <w:pPr>
              <w:widowControl w:val="0"/>
              <w:rPr>
                <w:sz w:val="16"/>
                <w:szCs w:val="16"/>
                <w:lang w:val="es-ES_tradnl" w:bidi="th-TH"/>
              </w:rPr>
            </w:pPr>
            <w:r w:rsidRPr="009577DE">
              <w:rPr>
                <w:sz w:val="16"/>
                <w:szCs w:val="16"/>
                <w:lang w:val="es-ES_tradnl"/>
              </w:rPr>
              <w:t>Tres países (</w:t>
            </w:r>
            <w:r w:rsidRPr="009577DE">
              <w:rPr>
                <w:sz w:val="16"/>
                <w:szCs w:val="16"/>
                <w:lang w:val="es-ES_tradnl" w:bidi="th-TH"/>
              </w:rPr>
              <w:t xml:space="preserve">Argelia, Egipto y el Yemen). </w:t>
            </w:r>
          </w:p>
          <w:p w:rsidR="00B070BF" w:rsidRPr="009577DE" w:rsidRDefault="00B070BF" w:rsidP="00C33D4A">
            <w:pPr>
              <w:widowControl w:val="0"/>
              <w:rPr>
                <w:sz w:val="16"/>
                <w:szCs w:val="16"/>
                <w:lang w:val="es-ES_tradnl" w:bidi="th-TH"/>
              </w:rPr>
            </w:pPr>
          </w:p>
          <w:p w:rsidR="00B070BF" w:rsidRPr="009577DE" w:rsidRDefault="00B070BF" w:rsidP="00C33D4A">
            <w:pPr>
              <w:widowControl w:val="0"/>
              <w:rPr>
                <w:sz w:val="16"/>
                <w:szCs w:val="16"/>
                <w:lang w:val="es-ES_tradnl" w:bidi="th-TH"/>
              </w:rPr>
            </w:pPr>
          </w:p>
          <w:p w:rsidR="00B070BF" w:rsidRPr="009577DE" w:rsidRDefault="00B070BF" w:rsidP="00C33D4A">
            <w:pPr>
              <w:widowControl w:val="0"/>
              <w:rPr>
                <w:sz w:val="16"/>
                <w:szCs w:val="16"/>
                <w:lang w:val="es-ES_tradnl"/>
              </w:rPr>
            </w:pPr>
          </w:p>
        </w:tc>
        <w:tc>
          <w:tcPr>
            <w:tcW w:w="524" w:type="pct"/>
            <w:shd w:val="clear" w:color="auto" w:fill="auto"/>
            <w:tcMar>
              <w:top w:w="110" w:type="dxa"/>
            </w:tcMar>
          </w:tcPr>
          <w:p w:rsidR="00B070BF" w:rsidRPr="009577DE" w:rsidRDefault="00B070BF" w:rsidP="00C33D4A">
            <w:pPr>
              <w:widowControl w:val="0"/>
              <w:jc w:val="center"/>
              <w:rPr>
                <w:b/>
                <w:bCs/>
                <w:sz w:val="16"/>
                <w:szCs w:val="16"/>
                <w:lang w:val="es-ES_tradnl"/>
              </w:rPr>
            </w:pPr>
            <w:r w:rsidRPr="009577DE">
              <w:rPr>
                <w:b/>
                <w:bCs/>
                <w:color w:val="008000"/>
                <w:sz w:val="16"/>
                <w:szCs w:val="16"/>
                <w:lang w:val="es-ES_tradnl"/>
              </w:rPr>
              <w:t>Progresa con normalidad</w:t>
            </w:r>
          </w:p>
          <w:p w:rsidR="00B070BF" w:rsidRPr="009577DE" w:rsidRDefault="00B070BF" w:rsidP="00C33D4A">
            <w:pPr>
              <w:widowControl w:val="0"/>
              <w:jc w:val="center"/>
              <w:rPr>
                <w:bCs/>
                <w:sz w:val="16"/>
                <w:szCs w:val="16"/>
                <w:lang w:val="es-ES_tradnl"/>
              </w:rPr>
            </w:pPr>
          </w:p>
          <w:p w:rsidR="00B070BF" w:rsidRPr="009577DE" w:rsidRDefault="00B070BF" w:rsidP="00C33D4A">
            <w:pPr>
              <w:widowControl w:val="0"/>
              <w:jc w:val="center"/>
              <w:rPr>
                <w:bCs/>
                <w:sz w:val="16"/>
                <w:szCs w:val="16"/>
                <w:lang w:val="es-ES_tradnl"/>
              </w:rPr>
            </w:pPr>
          </w:p>
        </w:tc>
      </w:tr>
      <w:tr w:rsidR="00B070BF" w:rsidRPr="009577DE" w:rsidTr="00C33D4A">
        <w:trPr>
          <w:cantSplit/>
        </w:trPr>
        <w:tc>
          <w:tcPr>
            <w:tcW w:w="887" w:type="pct"/>
            <w:shd w:val="clear" w:color="auto" w:fill="auto"/>
          </w:tcPr>
          <w:p w:rsidR="00B070BF" w:rsidRPr="009577DE" w:rsidRDefault="00B070BF" w:rsidP="00C33D4A">
            <w:pPr>
              <w:widowControl w:val="0"/>
              <w:rPr>
                <w:sz w:val="16"/>
                <w:szCs w:val="16"/>
                <w:lang w:val="es-ES_tradnl" w:bidi="th-TH"/>
              </w:rPr>
            </w:pPr>
            <w:r w:rsidRPr="009577DE">
              <w:rPr>
                <w:sz w:val="16"/>
                <w:szCs w:val="16"/>
                <w:lang w:val="es-ES_tradnl" w:bidi="th-TH"/>
              </w:rPr>
              <w:t>Número de países con políticas y estrategias de P.I. en curso de aprobación (Asia y el Pacífico).</w:t>
            </w:r>
          </w:p>
          <w:p w:rsidR="00B070BF" w:rsidRPr="009577DE" w:rsidRDefault="00B070BF" w:rsidP="00C33D4A">
            <w:pPr>
              <w:widowControl w:val="0"/>
              <w:rPr>
                <w:sz w:val="16"/>
                <w:szCs w:val="16"/>
                <w:lang w:val="es-ES_tradnl" w:bidi="th-TH"/>
              </w:rPr>
            </w:pPr>
          </w:p>
        </w:tc>
        <w:tc>
          <w:tcPr>
            <w:tcW w:w="887" w:type="pct"/>
            <w:shd w:val="clear" w:color="auto" w:fill="C0C0C0"/>
          </w:tcPr>
          <w:p w:rsidR="00B070BF" w:rsidRPr="009577DE" w:rsidRDefault="00B070BF" w:rsidP="00C33D4A">
            <w:pPr>
              <w:widowControl w:val="0"/>
              <w:ind w:firstLineChars="100" w:firstLine="160"/>
              <w:rPr>
                <w:sz w:val="16"/>
                <w:szCs w:val="16"/>
                <w:lang w:val="es-ES_tradnl" w:bidi="th-TH"/>
              </w:rPr>
            </w:pPr>
            <w:r w:rsidRPr="009577DE">
              <w:rPr>
                <w:sz w:val="16"/>
                <w:szCs w:val="16"/>
                <w:lang w:val="es-ES_tradnl" w:bidi="th-TH"/>
              </w:rPr>
              <w:t xml:space="preserve">Ninguno </w:t>
            </w:r>
          </w:p>
        </w:tc>
        <w:tc>
          <w:tcPr>
            <w:tcW w:w="885" w:type="pct"/>
            <w:shd w:val="clear" w:color="auto" w:fill="auto"/>
            <w:tcMar>
              <w:top w:w="110" w:type="dxa"/>
            </w:tcMar>
          </w:tcPr>
          <w:p w:rsidR="00B070BF" w:rsidRPr="00D44D8F" w:rsidRDefault="00B070BF" w:rsidP="00C33D4A">
            <w:pPr>
              <w:widowControl w:val="0"/>
              <w:rPr>
                <w:color w:val="993300"/>
                <w:sz w:val="16"/>
                <w:szCs w:val="16"/>
                <w:lang w:val="es-ES_tradnl" w:bidi="th-TH"/>
              </w:rPr>
            </w:pPr>
            <w:r w:rsidRPr="00D44D8F">
              <w:rPr>
                <w:color w:val="993300"/>
                <w:sz w:val="16"/>
                <w:szCs w:val="16"/>
                <w:lang w:val="es-ES_tradnl" w:bidi="th-TH"/>
              </w:rPr>
              <w:t>Cuatro países</w:t>
            </w:r>
          </w:p>
        </w:tc>
        <w:tc>
          <w:tcPr>
            <w:tcW w:w="1817" w:type="pct"/>
            <w:gridSpan w:val="2"/>
            <w:shd w:val="clear" w:color="auto" w:fill="FFFFFF"/>
            <w:tcMar>
              <w:top w:w="110" w:type="dxa"/>
            </w:tcMar>
          </w:tcPr>
          <w:p w:rsidR="00B070BF" w:rsidRPr="009577DE" w:rsidRDefault="00B070BF" w:rsidP="00C33D4A">
            <w:pPr>
              <w:widowControl w:val="0"/>
              <w:rPr>
                <w:sz w:val="16"/>
                <w:szCs w:val="16"/>
                <w:lang w:val="es-ES_tradnl" w:bidi="th-TH"/>
              </w:rPr>
            </w:pPr>
            <w:r w:rsidRPr="009577DE">
              <w:rPr>
                <w:sz w:val="16"/>
                <w:szCs w:val="16"/>
                <w:lang w:val="es-ES_tradnl" w:bidi="th-TH"/>
              </w:rPr>
              <w:t xml:space="preserve">Esta labor está en curso en seis países:  Camboya, Nepal, las Islas Salomón, Tonga, Vanuatu y </w:t>
            </w:r>
            <w:proofErr w:type="spellStart"/>
            <w:r w:rsidRPr="009577DE">
              <w:rPr>
                <w:sz w:val="16"/>
                <w:szCs w:val="16"/>
                <w:lang w:val="es-ES_tradnl" w:bidi="th-TH"/>
              </w:rPr>
              <w:t>Viet</w:t>
            </w:r>
            <w:proofErr w:type="spellEnd"/>
            <w:r w:rsidRPr="009577DE">
              <w:rPr>
                <w:sz w:val="16"/>
                <w:szCs w:val="16"/>
                <w:lang w:val="es-ES_tradnl" w:bidi="th-TH"/>
              </w:rPr>
              <w:t xml:space="preserve"> </w:t>
            </w:r>
            <w:proofErr w:type="spellStart"/>
            <w:r w:rsidRPr="009577DE">
              <w:rPr>
                <w:sz w:val="16"/>
                <w:szCs w:val="16"/>
                <w:lang w:val="es-ES_tradnl" w:bidi="th-TH"/>
              </w:rPr>
              <w:t>Nam</w:t>
            </w:r>
            <w:proofErr w:type="spellEnd"/>
            <w:r w:rsidRPr="009577DE">
              <w:rPr>
                <w:sz w:val="16"/>
                <w:szCs w:val="16"/>
                <w:lang w:val="es-ES_tradnl" w:bidi="th-TH"/>
              </w:rPr>
              <w:t>.</w:t>
            </w:r>
          </w:p>
          <w:p w:rsidR="00B070BF" w:rsidRPr="009577DE" w:rsidRDefault="00B070BF" w:rsidP="00C33D4A">
            <w:pPr>
              <w:widowControl w:val="0"/>
              <w:rPr>
                <w:sz w:val="16"/>
                <w:szCs w:val="16"/>
                <w:lang w:val="es-ES_tradnl" w:bidi="th-TH"/>
              </w:rPr>
            </w:pPr>
          </w:p>
          <w:p w:rsidR="00B070BF" w:rsidRPr="009577DE" w:rsidRDefault="00B070BF" w:rsidP="00C33D4A">
            <w:pPr>
              <w:widowControl w:val="0"/>
              <w:rPr>
                <w:sz w:val="16"/>
                <w:szCs w:val="16"/>
                <w:lang w:val="es-ES_tradnl" w:bidi="th-TH"/>
              </w:rPr>
            </w:pPr>
          </w:p>
          <w:p w:rsidR="00B070BF" w:rsidRPr="009577DE" w:rsidRDefault="00B070BF" w:rsidP="00C33D4A">
            <w:pPr>
              <w:widowControl w:val="0"/>
              <w:rPr>
                <w:sz w:val="16"/>
                <w:szCs w:val="16"/>
                <w:lang w:val="es-ES_tradnl"/>
              </w:rPr>
            </w:pPr>
          </w:p>
        </w:tc>
        <w:tc>
          <w:tcPr>
            <w:tcW w:w="524" w:type="pct"/>
            <w:shd w:val="clear" w:color="auto" w:fill="auto"/>
            <w:tcMar>
              <w:top w:w="110" w:type="dxa"/>
            </w:tcMar>
          </w:tcPr>
          <w:p w:rsidR="00B070BF" w:rsidRPr="009577DE" w:rsidRDefault="00B070BF" w:rsidP="00C33D4A">
            <w:pPr>
              <w:widowControl w:val="0"/>
              <w:jc w:val="center"/>
              <w:rPr>
                <w:b/>
                <w:bCs/>
                <w:sz w:val="16"/>
                <w:szCs w:val="16"/>
                <w:lang w:val="es-ES_tradnl"/>
              </w:rPr>
            </w:pPr>
            <w:r w:rsidRPr="009577DE">
              <w:rPr>
                <w:b/>
                <w:bCs/>
                <w:color w:val="008000"/>
                <w:sz w:val="16"/>
                <w:szCs w:val="16"/>
                <w:lang w:val="es-ES_tradnl"/>
              </w:rPr>
              <w:t>Progresa con normalidad</w:t>
            </w:r>
          </w:p>
          <w:p w:rsidR="00B070BF" w:rsidRPr="009577DE" w:rsidRDefault="00B070BF" w:rsidP="00C33D4A">
            <w:pPr>
              <w:widowControl w:val="0"/>
              <w:jc w:val="center"/>
              <w:rPr>
                <w:bCs/>
                <w:sz w:val="16"/>
                <w:szCs w:val="16"/>
                <w:lang w:val="es-ES_tradnl"/>
              </w:rPr>
            </w:pPr>
          </w:p>
          <w:p w:rsidR="00B070BF" w:rsidRPr="009577DE" w:rsidRDefault="00B070BF" w:rsidP="00C33D4A">
            <w:pPr>
              <w:widowControl w:val="0"/>
              <w:jc w:val="center"/>
              <w:rPr>
                <w:bCs/>
                <w:sz w:val="16"/>
                <w:szCs w:val="16"/>
                <w:lang w:val="es-ES_tradnl"/>
              </w:rPr>
            </w:pPr>
          </w:p>
        </w:tc>
      </w:tr>
      <w:tr w:rsidR="00B070BF" w:rsidRPr="009577DE" w:rsidTr="00C33D4A">
        <w:trPr>
          <w:cantSplit/>
        </w:trPr>
        <w:tc>
          <w:tcPr>
            <w:tcW w:w="887" w:type="pct"/>
            <w:shd w:val="clear" w:color="auto" w:fill="auto"/>
          </w:tcPr>
          <w:p w:rsidR="00B070BF" w:rsidRPr="009577DE" w:rsidRDefault="00B070BF" w:rsidP="00C33D4A">
            <w:pPr>
              <w:widowControl w:val="0"/>
              <w:rPr>
                <w:sz w:val="16"/>
                <w:szCs w:val="16"/>
                <w:lang w:val="es-ES_tradnl" w:bidi="th-TH"/>
              </w:rPr>
            </w:pPr>
            <w:r w:rsidRPr="009577DE">
              <w:rPr>
                <w:sz w:val="16"/>
                <w:szCs w:val="16"/>
                <w:lang w:val="es-ES_tradnl" w:bidi="th-TH"/>
              </w:rPr>
              <w:t>Número de países que han adoptado políticas y estrategias de P.I. (Asia y el Pacífico).</w:t>
            </w:r>
          </w:p>
          <w:p w:rsidR="00B070BF" w:rsidRPr="009577DE" w:rsidRDefault="00B070BF" w:rsidP="00C33D4A">
            <w:pPr>
              <w:widowControl w:val="0"/>
              <w:rPr>
                <w:sz w:val="16"/>
                <w:szCs w:val="16"/>
                <w:lang w:val="es-ES_tradnl" w:bidi="th-TH"/>
              </w:rPr>
            </w:pPr>
          </w:p>
        </w:tc>
        <w:tc>
          <w:tcPr>
            <w:tcW w:w="887" w:type="pct"/>
            <w:shd w:val="clear" w:color="auto" w:fill="C0C0C0"/>
          </w:tcPr>
          <w:p w:rsidR="00B070BF" w:rsidRPr="009577DE" w:rsidRDefault="00B070BF" w:rsidP="00C33D4A">
            <w:pPr>
              <w:widowControl w:val="0"/>
              <w:ind w:firstLineChars="100" w:firstLine="160"/>
              <w:rPr>
                <w:sz w:val="16"/>
                <w:szCs w:val="16"/>
                <w:lang w:val="es-ES_tradnl" w:bidi="th-TH"/>
              </w:rPr>
            </w:pPr>
            <w:r w:rsidRPr="009577DE">
              <w:rPr>
                <w:sz w:val="16"/>
                <w:szCs w:val="16"/>
                <w:lang w:val="es-ES_tradnl" w:bidi="th-TH"/>
              </w:rPr>
              <w:t>Ninguno</w:t>
            </w:r>
          </w:p>
        </w:tc>
        <w:tc>
          <w:tcPr>
            <w:tcW w:w="885" w:type="pct"/>
            <w:shd w:val="clear" w:color="auto" w:fill="auto"/>
            <w:tcMar>
              <w:top w:w="110" w:type="dxa"/>
            </w:tcMar>
          </w:tcPr>
          <w:p w:rsidR="00B070BF" w:rsidRPr="00D44D8F" w:rsidRDefault="00B070BF" w:rsidP="00C33D4A">
            <w:pPr>
              <w:widowControl w:val="0"/>
              <w:rPr>
                <w:color w:val="993300"/>
                <w:sz w:val="16"/>
                <w:szCs w:val="16"/>
                <w:lang w:val="es-ES_tradnl" w:bidi="th-TH"/>
              </w:rPr>
            </w:pPr>
            <w:r w:rsidRPr="00D44D8F">
              <w:rPr>
                <w:color w:val="993300"/>
                <w:sz w:val="16"/>
                <w:szCs w:val="16"/>
                <w:lang w:val="es-ES_tradnl" w:bidi="th-TH"/>
              </w:rPr>
              <w:t>Dos países.</w:t>
            </w:r>
          </w:p>
        </w:tc>
        <w:tc>
          <w:tcPr>
            <w:tcW w:w="1817" w:type="pct"/>
            <w:gridSpan w:val="2"/>
            <w:shd w:val="clear" w:color="auto" w:fill="FFFFFF"/>
            <w:tcMar>
              <w:top w:w="110" w:type="dxa"/>
            </w:tcMar>
          </w:tcPr>
          <w:p w:rsidR="00B070BF" w:rsidRPr="009577DE" w:rsidRDefault="00B070BF" w:rsidP="00C33D4A">
            <w:pPr>
              <w:widowControl w:val="0"/>
              <w:rPr>
                <w:sz w:val="16"/>
                <w:szCs w:val="16"/>
                <w:lang w:val="es-ES_tradnl" w:bidi="th-TH"/>
              </w:rPr>
            </w:pPr>
            <w:r w:rsidRPr="009577DE">
              <w:rPr>
                <w:sz w:val="16"/>
                <w:szCs w:val="16"/>
                <w:lang w:val="es-ES_tradnl" w:bidi="th-TH"/>
              </w:rPr>
              <w:t xml:space="preserve">Tres países han iniciado los procesos de adopción:  </w:t>
            </w:r>
            <w:proofErr w:type="spellStart"/>
            <w:r w:rsidRPr="009577DE">
              <w:rPr>
                <w:sz w:val="16"/>
                <w:szCs w:val="16"/>
                <w:lang w:val="es-ES_tradnl" w:bidi="th-TH"/>
              </w:rPr>
              <w:t>Bhután</w:t>
            </w:r>
            <w:proofErr w:type="spellEnd"/>
            <w:r w:rsidRPr="009577DE">
              <w:rPr>
                <w:sz w:val="16"/>
                <w:szCs w:val="16"/>
                <w:lang w:val="es-ES_tradnl" w:bidi="th-TH"/>
              </w:rPr>
              <w:t>, Mongolia y Samoa.</w:t>
            </w:r>
          </w:p>
          <w:p w:rsidR="00B070BF" w:rsidRPr="009577DE" w:rsidRDefault="00B070BF" w:rsidP="00C33D4A">
            <w:pPr>
              <w:widowControl w:val="0"/>
              <w:rPr>
                <w:sz w:val="16"/>
                <w:szCs w:val="16"/>
                <w:lang w:val="es-ES_tradnl"/>
              </w:rPr>
            </w:pPr>
          </w:p>
        </w:tc>
        <w:tc>
          <w:tcPr>
            <w:tcW w:w="524" w:type="pct"/>
            <w:shd w:val="clear" w:color="auto" w:fill="auto"/>
            <w:tcMar>
              <w:top w:w="110" w:type="dxa"/>
            </w:tcMar>
          </w:tcPr>
          <w:p w:rsidR="00B070BF" w:rsidRPr="009577DE" w:rsidRDefault="00B070BF" w:rsidP="00C33D4A">
            <w:pPr>
              <w:widowControl w:val="0"/>
              <w:jc w:val="center"/>
              <w:rPr>
                <w:b/>
                <w:bCs/>
                <w:sz w:val="16"/>
                <w:szCs w:val="16"/>
                <w:lang w:val="es-ES_tradnl"/>
              </w:rPr>
            </w:pPr>
            <w:r w:rsidRPr="009577DE">
              <w:rPr>
                <w:b/>
                <w:bCs/>
                <w:color w:val="008000"/>
                <w:sz w:val="16"/>
                <w:szCs w:val="16"/>
                <w:lang w:val="es-ES_tradnl"/>
              </w:rPr>
              <w:t>Progresa con normalidad</w:t>
            </w:r>
          </w:p>
          <w:p w:rsidR="00B070BF" w:rsidRPr="009577DE" w:rsidRDefault="00B070BF" w:rsidP="00C33D4A">
            <w:pPr>
              <w:widowControl w:val="0"/>
              <w:jc w:val="center"/>
              <w:rPr>
                <w:bCs/>
                <w:sz w:val="16"/>
                <w:szCs w:val="16"/>
                <w:lang w:val="es-ES_tradnl"/>
              </w:rPr>
            </w:pPr>
          </w:p>
          <w:p w:rsidR="00B070BF" w:rsidRPr="009577DE" w:rsidRDefault="00B070BF" w:rsidP="00C33D4A">
            <w:pPr>
              <w:widowControl w:val="0"/>
              <w:jc w:val="center"/>
              <w:rPr>
                <w:bCs/>
                <w:sz w:val="16"/>
                <w:szCs w:val="16"/>
                <w:lang w:val="es-ES_tradnl"/>
              </w:rPr>
            </w:pPr>
          </w:p>
          <w:p w:rsidR="00B070BF" w:rsidRPr="009577DE" w:rsidRDefault="00B070BF" w:rsidP="00C33D4A">
            <w:pPr>
              <w:widowControl w:val="0"/>
              <w:jc w:val="center"/>
              <w:rPr>
                <w:bCs/>
                <w:sz w:val="16"/>
                <w:szCs w:val="16"/>
                <w:lang w:val="es-ES_tradnl"/>
              </w:rPr>
            </w:pPr>
          </w:p>
        </w:tc>
      </w:tr>
      <w:tr w:rsidR="00B070BF" w:rsidRPr="009577DE" w:rsidTr="00C33D4A">
        <w:trPr>
          <w:cantSplit/>
        </w:trPr>
        <w:tc>
          <w:tcPr>
            <w:tcW w:w="887" w:type="pct"/>
            <w:shd w:val="clear" w:color="auto" w:fill="auto"/>
          </w:tcPr>
          <w:p w:rsidR="00B070BF" w:rsidRPr="009577DE" w:rsidRDefault="00B070BF" w:rsidP="00C33D4A">
            <w:pPr>
              <w:widowControl w:val="0"/>
              <w:rPr>
                <w:sz w:val="16"/>
                <w:szCs w:val="16"/>
                <w:lang w:val="es-ES_tradnl" w:bidi="th-TH"/>
              </w:rPr>
            </w:pPr>
            <w:r w:rsidRPr="009577DE">
              <w:rPr>
                <w:sz w:val="16"/>
                <w:szCs w:val="16"/>
                <w:lang w:val="es-ES_tradnl" w:bidi="th-TH"/>
              </w:rPr>
              <w:t xml:space="preserve">Número de países en los que se han realizado actividades/proyectos que hayan contribuido a la formulación de leyes/políticas de P.I. (América Latina y el Caribe). </w:t>
            </w:r>
          </w:p>
          <w:p w:rsidR="00B070BF" w:rsidRPr="009577DE" w:rsidRDefault="00B070BF" w:rsidP="00C33D4A">
            <w:pPr>
              <w:widowControl w:val="0"/>
              <w:rPr>
                <w:sz w:val="16"/>
                <w:szCs w:val="16"/>
                <w:lang w:val="es-ES_tradnl" w:bidi="th-TH"/>
              </w:rPr>
            </w:pPr>
          </w:p>
        </w:tc>
        <w:tc>
          <w:tcPr>
            <w:tcW w:w="887" w:type="pct"/>
            <w:shd w:val="clear" w:color="auto" w:fill="C0C0C0"/>
          </w:tcPr>
          <w:p w:rsidR="00B070BF" w:rsidRPr="009577DE" w:rsidRDefault="00B070BF" w:rsidP="00C33D4A">
            <w:pPr>
              <w:widowControl w:val="0"/>
              <w:ind w:leftChars="-6" w:left="1" w:hangingChars="9" w:hanging="14"/>
              <w:rPr>
                <w:sz w:val="16"/>
                <w:szCs w:val="16"/>
                <w:lang w:val="es-ES_tradnl" w:bidi="th-TH"/>
              </w:rPr>
            </w:pPr>
            <w:r w:rsidRPr="009577DE">
              <w:rPr>
                <w:sz w:val="16"/>
                <w:szCs w:val="16"/>
                <w:lang w:val="es-ES_tradnl" w:bidi="th-TH"/>
              </w:rPr>
              <w:t>Siete países</w:t>
            </w:r>
          </w:p>
        </w:tc>
        <w:tc>
          <w:tcPr>
            <w:tcW w:w="885" w:type="pct"/>
            <w:shd w:val="clear" w:color="auto" w:fill="auto"/>
            <w:tcMar>
              <w:top w:w="110" w:type="dxa"/>
            </w:tcMar>
          </w:tcPr>
          <w:p w:rsidR="00B070BF" w:rsidRPr="00D44D8F" w:rsidRDefault="00B070BF" w:rsidP="00C33D4A">
            <w:pPr>
              <w:widowControl w:val="0"/>
              <w:rPr>
                <w:color w:val="993300"/>
                <w:lang w:val="es-ES_tradnl"/>
              </w:rPr>
            </w:pPr>
          </w:p>
        </w:tc>
        <w:tc>
          <w:tcPr>
            <w:tcW w:w="1817" w:type="pct"/>
            <w:gridSpan w:val="2"/>
            <w:shd w:val="clear" w:color="auto" w:fill="FFFFFF"/>
            <w:tcMar>
              <w:top w:w="110" w:type="dxa"/>
            </w:tcMar>
          </w:tcPr>
          <w:p w:rsidR="00B070BF" w:rsidRPr="009577DE" w:rsidRDefault="00B070BF" w:rsidP="00C33D4A">
            <w:pPr>
              <w:widowControl w:val="0"/>
              <w:rPr>
                <w:sz w:val="16"/>
                <w:szCs w:val="16"/>
                <w:lang w:val="es-ES_tradnl" w:bidi="th-TH"/>
              </w:rPr>
            </w:pPr>
            <w:r w:rsidRPr="009577DE">
              <w:rPr>
                <w:sz w:val="16"/>
                <w:szCs w:val="16"/>
                <w:lang w:val="es-ES_tradnl"/>
              </w:rPr>
              <w:t xml:space="preserve">Ocho países (el Ecuador, El Salvador, Guatemala, Honduras, Nicaragua, Panamá, la República Dominicana y Trinidad y </w:t>
            </w:r>
            <w:proofErr w:type="spellStart"/>
            <w:r w:rsidRPr="009577DE">
              <w:rPr>
                <w:sz w:val="16"/>
                <w:szCs w:val="16"/>
                <w:lang w:val="es-ES_tradnl"/>
              </w:rPr>
              <w:t>Tabago</w:t>
            </w:r>
            <w:proofErr w:type="spellEnd"/>
            <w:r w:rsidRPr="009577DE">
              <w:rPr>
                <w:sz w:val="16"/>
                <w:szCs w:val="16"/>
                <w:lang w:val="es-ES_tradnl" w:bidi="th-TH"/>
              </w:rPr>
              <w:t>).</w:t>
            </w:r>
          </w:p>
          <w:p w:rsidR="00B070BF" w:rsidRPr="009577DE" w:rsidRDefault="00B070BF" w:rsidP="00C33D4A">
            <w:pPr>
              <w:widowControl w:val="0"/>
              <w:rPr>
                <w:sz w:val="16"/>
                <w:szCs w:val="16"/>
                <w:lang w:val="es-ES_tradnl" w:bidi="th-TH"/>
              </w:rPr>
            </w:pPr>
          </w:p>
          <w:p w:rsidR="00B070BF" w:rsidRPr="009577DE" w:rsidRDefault="00B070BF" w:rsidP="00C33D4A">
            <w:pPr>
              <w:widowControl w:val="0"/>
              <w:rPr>
                <w:sz w:val="16"/>
                <w:szCs w:val="16"/>
                <w:lang w:val="es-ES_tradnl"/>
              </w:rPr>
            </w:pPr>
          </w:p>
        </w:tc>
        <w:tc>
          <w:tcPr>
            <w:tcW w:w="524" w:type="pct"/>
            <w:shd w:val="clear" w:color="auto" w:fill="auto"/>
            <w:tcMar>
              <w:top w:w="110" w:type="dxa"/>
            </w:tcMar>
          </w:tcPr>
          <w:p w:rsidR="00B070BF" w:rsidRPr="009577DE" w:rsidRDefault="00B070BF" w:rsidP="00C33D4A">
            <w:pPr>
              <w:widowControl w:val="0"/>
              <w:jc w:val="center"/>
              <w:rPr>
                <w:b/>
                <w:bCs/>
                <w:sz w:val="16"/>
                <w:szCs w:val="16"/>
                <w:lang w:val="es-ES_tradnl"/>
              </w:rPr>
            </w:pPr>
            <w:r w:rsidRPr="009577DE">
              <w:rPr>
                <w:b/>
                <w:bCs/>
                <w:color w:val="008000"/>
                <w:sz w:val="16"/>
                <w:szCs w:val="16"/>
                <w:lang w:val="es-ES_tradnl"/>
              </w:rPr>
              <w:t>Progresa con normalidad</w:t>
            </w:r>
          </w:p>
          <w:p w:rsidR="00B070BF" w:rsidRPr="009577DE" w:rsidRDefault="00B070BF" w:rsidP="00C33D4A">
            <w:pPr>
              <w:widowControl w:val="0"/>
              <w:jc w:val="center"/>
              <w:rPr>
                <w:bCs/>
                <w:sz w:val="16"/>
                <w:szCs w:val="16"/>
                <w:lang w:val="es-ES_tradnl"/>
              </w:rPr>
            </w:pPr>
          </w:p>
          <w:p w:rsidR="00B070BF" w:rsidRPr="009577DE" w:rsidRDefault="00B070BF" w:rsidP="00C33D4A">
            <w:pPr>
              <w:widowControl w:val="0"/>
              <w:jc w:val="center"/>
              <w:rPr>
                <w:bCs/>
                <w:sz w:val="16"/>
                <w:szCs w:val="16"/>
                <w:lang w:val="es-ES_tradnl"/>
              </w:rPr>
            </w:pPr>
          </w:p>
        </w:tc>
      </w:tr>
      <w:tr w:rsidR="00B070BF" w:rsidRPr="009577DE" w:rsidTr="00C33D4A">
        <w:trPr>
          <w:cantSplit/>
        </w:trPr>
        <w:tc>
          <w:tcPr>
            <w:tcW w:w="887" w:type="pct"/>
            <w:shd w:val="clear" w:color="auto" w:fill="auto"/>
          </w:tcPr>
          <w:p w:rsidR="00B070BF" w:rsidRPr="009577DE" w:rsidRDefault="00B070BF" w:rsidP="00C33D4A">
            <w:pPr>
              <w:widowControl w:val="0"/>
              <w:rPr>
                <w:sz w:val="16"/>
                <w:szCs w:val="16"/>
                <w:lang w:val="es-ES_tradnl" w:bidi="th-TH"/>
              </w:rPr>
            </w:pPr>
            <w:r w:rsidRPr="009577DE">
              <w:rPr>
                <w:sz w:val="16"/>
                <w:szCs w:val="16"/>
                <w:lang w:val="es-ES_tradnl" w:bidi="th-TH"/>
              </w:rPr>
              <w:t xml:space="preserve">Número de países en los que se han realizado actividades/proyectos que hayan contribuido a la aplicación de estrategias/políticas de P.I. (América Latina y el Caribe). </w:t>
            </w:r>
          </w:p>
        </w:tc>
        <w:tc>
          <w:tcPr>
            <w:tcW w:w="887" w:type="pct"/>
            <w:shd w:val="clear" w:color="auto" w:fill="C0C0C0"/>
          </w:tcPr>
          <w:p w:rsidR="00B070BF" w:rsidRPr="009577DE" w:rsidRDefault="00B070BF" w:rsidP="00C33D4A">
            <w:pPr>
              <w:widowControl w:val="0"/>
              <w:ind w:leftChars="-6" w:left="1" w:hangingChars="9" w:hanging="14"/>
              <w:rPr>
                <w:sz w:val="16"/>
                <w:szCs w:val="16"/>
                <w:lang w:val="es-ES_tradnl" w:bidi="th-TH"/>
              </w:rPr>
            </w:pPr>
            <w:r w:rsidRPr="009577DE">
              <w:rPr>
                <w:sz w:val="16"/>
                <w:szCs w:val="16"/>
                <w:lang w:val="es-ES_tradnl" w:bidi="th-TH"/>
              </w:rPr>
              <w:t>Siete países</w:t>
            </w:r>
          </w:p>
        </w:tc>
        <w:tc>
          <w:tcPr>
            <w:tcW w:w="885" w:type="pct"/>
            <w:shd w:val="clear" w:color="auto" w:fill="auto"/>
            <w:tcMar>
              <w:top w:w="110" w:type="dxa"/>
            </w:tcMar>
          </w:tcPr>
          <w:p w:rsidR="00B070BF" w:rsidRPr="00D44D8F" w:rsidRDefault="00B070BF" w:rsidP="00C33D4A">
            <w:pPr>
              <w:widowControl w:val="0"/>
              <w:rPr>
                <w:color w:val="993300"/>
                <w:lang w:val="es-ES_tradnl"/>
              </w:rPr>
            </w:pPr>
            <w:r w:rsidRPr="00D44D8F">
              <w:rPr>
                <w:color w:val="993300"/>
                <w:sz w:val="16"/>
                <w:szCs w:val="16"/>
                <w:lang w:val="es-ES_tradnl" w:bidi="th-TH"/>
              </w:rPr>
              <w:t>Cuatro países</w:t>
            </w:r>
          </w:p>
        </w:tc>
        <w:tc>
          <w:tcPr>
            <w:tcW w:w="1817" w:type="pct"/>
            <w:gridSpan w:val="2"/>
            <w:shd w:val="clear" w:color="auto" w:fill="FFFFFF"/>
            <w:tcMar>
              <w:top w:w="110" w:type="dxa"/>
            </w:tcMar>
          </w:tcPr>
          <w:p w:rsidR="00B070BF" w:rsidRPr="009577DE" w:rsidRDefault="00B070BF" w:rsidP="00C33D4A">
            <w:pPr>
              <w:widowControl w:val="0"/>
              <w:rPr>
                <w:sz w:val="16"/>
                <w:szCs w:val="16"/>
                <w:lang w:val="es-ES_tradnl" w:bidi="th-TH"/>
              </w:rPr>
            </w:pPr>
            <w:r w:rsidRPr="009577DE">
              <w:rPr>
                <w:sz w:val="16"/>
                <w:szCs w:val="16"/>
                <w:lang w:val="es-ES_tradnl"/>
              </w:rPr>
              <w:t xml:space="preserve">Cinco países (la </w:t>
            </w:r>
            <w:r w:rsidRPr="009577DE">
              <w:rPr>
                <w:sz w:val="16"/>
                <w:szCs w:val="16"/>
                <w:lang w:val="es-ES_tradnl" w:bidi="th-TH"/>
              </w:rPr>
              <w:t>Argentina, Barbados, Colombia, Costa Rica y el Uruguay)</w:t>
            </w:r>
          </w:p>
          <w:p w:rsidR="00B070BF" w:rsidRPr="009577DE" w:rsidRDefault="00B070BF" w:rsidP="00C33D4A">
            <w:pPr>
              <w:widowControl w:val="0"/>
              <w:rPr>
                <w:sz w:val="16"/>
                <w:szCs w:val="16"/>
                <w:lang w:val="es-ES_tradnl" w:bidi="th-TH"/>
              </w:rPr>
            </w:pPr>
          </w:p>
          <w:p w:rsidR="00B070BF" w:rsidRPr="009577DE" w:rsidRDefault="00B070BF" w:rsidP="00C33D4A">
            <w:pPr>
              <w:widowControl w:val="0"/>
              <w:rPr>
                <w:sz w:val="16"/>
                <w:szCs w:val="16"/>
                <w:lang w:val="es-ES_tradnl" w:bidi="th-TH"/>
              </w:rPr>
            </w:pPr>
          </w:p>
          <w:p w:rsidR="00B070BF" w:rsidRPr="009577DE" w:rsidRDefault="00B070BF" w:rsidP="00C33D4A">
            <w:pPr>
              <w:widowControl w:val="0"/>
              <w:rPr>
                <w:sz w:val="16"/>
                <w:szCs w:val="16"/>
                <w:lang w:val="es-ES_tradnl" w:bidi="th-TH"/>
              </w:rPr>
            </w:pPr>
          </w:p>
          <w:p w:rsidR="00B070BF" w:rsidRPr="009577DE" w:rsidRDefault="00B070BF" w:rsidP="00C33D4A">
            <w:pPr>
              <w:widowControl w:val="0"/>
              <w:rPr>
                <w:sz w:val="16"/>
                <w:szCs w:val="16"/>
                <w:lang w:val="es-ES_tradnl" w:bidi="th-TH"/>
              </w:rPr>
            </w:pPr>
          </w:p>
          <w:p w:rsidR="00B070BF" w:rsidRPr="009577DE" w:rsidRDefault="00B070BF" w:rsidP="00C33D4A">
            <w:pPr>
              <w:widowControl w:val="0"/>
              <w:rPr>
                <w:sz w:val="16"/>
                <w:szCs w:val="16"/>
                <w:lang w:val="es-ES_tradnl" w:bidi="th-TH"/>
              </w:rPr>
            </w:pPr>
          </w:p>
          <w:p w:rsidR="00B070BF" w:rsidRPr="009577DE" w:rsidRDefault="00B070BF" w:rsidP="00C33D4A">
            <w:pPr>
              <w:widowControl w:val="0"/>
              <w:rPr>
                <w:sz w:val="16"/>
                <w:szCs w:val="16"/>
                <w:lang w:val="es-ES_tradnl" w:bidi="th-TH"/>
              </w:rPr>
            </w:pPr>
          </w:p>
          <w:p w:rsidR="00B070BF" w:rsidRPr="009577DE" w:rsidRDefault="00B070BF" w:rsidP="00C33D4A">
            <w:pPr>
              <w:widowControl w:val="0"/>
              <w:rPr>
                <w:sz w:val="16"/>
                <w:szCs w:val="16"/>
                <w:lang w:val="es-ES_tradnl"/>
              </w:rPr>
            </w:pPr>
          </w:p>
        </w:tc>
        <w:tc>
          <w:tcPr>
            <w:tcW w:w="524" w:type="pct"/>
            <w:shd w:val="clear" w:color="auto" w:fill="auto"/>
            <w:tcMar>
              <w:top w:w="110" w:type="dxa"/>
            </w:tcMar>
          </w:tcPr>
          <w:p w:rsidR="00B070BF" w:rsidRPr="009577DE" w:rsidRDefault="00B070BF" w:rsidP="00C33D4A">
            <w:pPr>
              <w:widowControl w:val="0"/>
              <w:jc w:val="center"/>
              <w:rPr>
                <w:b/>
                <w:bCs/>
                <w:sz w:val="16"/>
                <w:szCs w:val="16"/>
                <w:lang w:val="es-ES_tradnl"/>
              </w:rPr>
            </w:pPr>
            <w:r w:rsidRPr="009577DE">
              <w:rPr>
                <w:b/>
                <w:bCs/>
                <w:color w:val="008000"/>
                <w:sz w:val="16"/>
                <w:szCs w:val="16"/>
                <w:lang w:val="es-ES_tradnl"/>
              </w:rPr>
              <w:t>Progresa con normalidad</w:t>
            </w:r>
          </w:p>
          <w:p w:rsidR="00B070BF" w:rsidRPr="009577DE" w:rsidRDefault="00B070BF" w:rsidP="00C33D4A">
            <w:pPr>
              <w:widowControl w:val="0"/>
              <w:jc w:val="center"/>
              <w:rPr>
                <w:bCs/>
                <w:sz w:val="16"/>
                <w:szCs w:val="16"/>
                <w:lang w:val="es-ES_tradnl"/>
              </w:rPr>
            </w:pPr>
          </w:p>
          <w:p w:rsidR="00B070BF" w:rsidRPr="009577DE" w:rsidRDefault="00B070BF" w:rsidP="00C33D4A">
            <w:pPr>
              <w:widowControl w:val="0"/>
              <w:jc w:val="center"/>
              <w:rPr>
                <w:bCs/>
                <w:sz w:val="16"/>
                <w:szCs w:val="16"/>
                <w:lang w:val="es-ES_tradnl"/>
              </w:rPr>
            </w:pPr>
          </w:p>
          <w:p w:rsidR="00B070BF" w:rsidRPr="009577DE" w:rsidRDefault="00B070BF" w:rsidP="00C33D4A">
            <w:pPr>
              <w:widowControl w:val="0"/>
              <w:jc w:val="center"/>
              <w:rPr>
                <w:bCs/>
                <w:sz w:val="16"/>
                <w:szCs w:val="16"/>
                <w:lang w:val="es-ES_tradnl"/>
              </w:rPr>
            </w:pPr>
          </w:p>
        </w:tc>
      </w:tr>
      <w:tr w:rsidR="00B070BF" w:rsidRPr="009577DE" w:rsidTr="00C33D4A">
        <w:trPr>
          <w:cantSplit/>
        </w:trPr>
        <w:tc>
          <w:tcPr>
            <w:tcW w:w="887" w:type="pct"/>
            <w:tcBorders>
              <w:bottom w:val="single" w:sz="4" w:space="0" w:color="auto"/>
            </w:tcBorders>
            <w:shd w:val="clear" w:color="auto" w:fill="auto"/>
          </w:tcPr>
          <w:p w:rsidR="00B070BF" w:rsidRPr="009577DE" w:rsidRDefault="00B070BF" w:rsidP="00C33D4A">
            <w:pPr>
              <w:widowControl w:val="0"/>
              <w:rPr>
                <w:sz w:val="16"/>
                <w:szCs w:val="16"/>
                <w:lang w:val="es-ES_tradnl" w:bidi="th-TH"/>
              </w:rPr>
            </w:pPr>
            <w:r w:rsidRPr="009577DE">
              <w:rPr>
                <w:sz w:val="16"/>
                <w:szCs w:val="16"/>
                <w:lang w:val="es-ES_tradnl" w:bidi="th-TH"/>
              </w:rPr>
              <w:t>Número de PMA que han incluido consideraciones de P.I. propias de los PMA en sus estrategias y/o políticas nacionales de P.I. (PMA).</w:t>
            </w:r>
          </w:p>
          <w:p w:rsidR="00B070BF" w:rsidRPr="009577DE" w:rsidRDefault="00B070BF" w:rsidP="00C33D4A">
            <w:pPr>
              <w:widowControl w:val="0"/>
              <w:rPr>
                <w:sz w:val="16"/>
                <w:szCs w:val="16"/>
                <w:lang w:val="es-ES_tradnl" w:bidi="th-TH"/>
              </w:rPr>
            </w:pPr>
          </w:p>
        </w:tc>
        <w:tc>
          <w:tcPr>
            <w:tcW w:w="887" w:type="pct"/>
            <w:tcBorders>
              <w:bottom w:val="single" w:sz="4" w:space="0" w:color="auto"/>
            </w:tcBorders>
            <w:shd w:val="clear" w:color="auto" w:fill="C0C0C0"/>
          </w:tcPr>
          <w:p w:rsidR="00B070BF" w:rsidRPr="009577DE" w:rsidRDefault="00B070BF" w:rsidP="00C33D4A">
            <w:pPr>
              <w:widowControl w:val="0"/>
              <w:ind w:leftChars="-6" w:left="1" w:hangingChars="9" w:hanging="14"/>
              <w:rPr>
                <w:sz w:val="16"/>
                <w:szCs w:val="16"/>
                <w:lang w:val="es-ES_tradnl" w:bidi="th-TH"/>
              </w:rPr>
            </w:pPr>
            <w:r w:rsidRPr="009577DE">
              <w:rPr>
                <w:sz w:val="16"/>
                <w:szCs w:val="16"/>
                <w:lang w:val="es-ES_tradnl" w:bidi="th-TH"/>
              </w:rPr>
              <w:t xml:space="preserve">Cuatro PMA  </w:t>
            </w:r>
          </w:p>
        </w:tc>
        <w:tc>
          <w:tcPr>
            <w:tcW w:w="885" w:type="pct"/>
            <w:tcBorders>
              <w:bottom w:val="single" w:sz="4" w:space="0" w:color="auto"/>
            </w:tcBorders>
            <w:shd w:val="clear" w:color="auto" w:fill="auto"/>
            <w:tcMar>
              <w:top w:w="110" w:type="dxa"/>
            </w:tcMar>
          </w:tcPr>
          <w:p w:rsidR="00B070BF" w:rsidRPr="009577DE" w:rsidRDefault="00B070BF" w:rsidP="00C33D4A">
            <w:pPr>
              <w:widowControl w:val="0"/>
              <w:rPr>
                <w:lang w:val="es-ES_tradnl"/>
              </w:rPr>
            </w:pPr>
          </w:p>
        </w:tc>
        <w:tc>
          <w:tcPr>
            <w:tcW w:w="1817" w:type="pct"/>
            <w:gridSpan w:val="2"/>
            <w:tcBorders>
              <w:bottom w:val="single" w:sz="4" w:space="0" w:color="auto"/>
            </w:tcBorders>
            <w:shd w:val="clear" w:color="auto" w:fill="FFFFFF"/>
            <w:tcMar>
              <w:top w:w="110" w:type="dxa"/>
            </w:tcMar>
          </w:tcPr>
          <w:p w:rsidR="00B070BF" w:rsidRPr="009577DE" w:rsidRDefault="00B070BF" w:rsidP="00C33D4A">
            <w:pPr>
              <w:widowControl w:val="0"/>
              <w:rPr>
                <w:sz w:val="16"/>
                <w:szCs w:val="16"/>
                <w:lang w:val="es-ES_tradnl" w:bidi="th-TH"/>
              </w:rPr>
            </w:pPr>
            <w:r w:rsidRPr="009577DE">
              <w:rPr>
                <w:sz w:val="16"/>
                <w:szCs w:val="16"/>
                <w:lang w:val="es-ES_tradnl"/>
              </w:rPr>
              <w:t>Tres PMA (</w:t>
            </w:r>
            <w:r w:rsidRPr="009577DE">
              <w:rPr>
                <w:sz w:val="16"/>
                <w:szCs w:val="16"/>
                <w:lang w:val="es-ES_tradnl" w:bidi="th-TH"/>
              </w:rPr>
              <w:t>Bangladesh, Etiopía y Madagascar)</w:t>
            </w:r>
          </w:p>
          <w:p w:rsidR="00B070BF" w:rsidRPr="009577DE" w:rsidRDefault="00B070BF" w:rsidP="00C33D4A">
            <w:pPr>
              <w:widowControl w:val="0"/>
              <w:rPr>
                <w:sz w:val="16"/>
                <w:szCs w:val="16"/>
                <w:lang w:val="es-ES_tradnl" w:bidi="th-TH"/>
              </w:rPr>
            </w:pPr>
          </w:p>
          <w:p w:rsidR="00B070BF" w:rsidRPr="009577DE" w:rsidRDefault="00B070BF" w:rsidP="00C33D4A">
            <w:pPr>
              <w:widowControl w:val="0"/>
              <w:rPr>
                <w:sz w:val="16"/>
                <w:szCs w:val="16"/>
                <w:lang w:val="es-ES_tradnl" w:bidi="th-TH"/>
              </w:rPr>
            </w:pPr>
          </w:p>
          <w:p w:rsidR="00B070BF" w:rsidRPr="009577DE" w:rsidRDefault="00B070BF" w:rsidP="00C33D4A">
            <w:pPr>
              <w:widowControl w:val="0"/>
              <w:rPr>
                <w:sz w:val="16"/>
                <w:szCs w:val="16"/>
                <w:lang w:val="es-ES_tradnl"/>
              </w:rPr>
            </w:pPr>
          </w:p>
        </w:tc>
        <w:tc>
          <w:tcPr>
            <w:tcW w:w="524" w:type="pct"/>
            <w:tcBorders>
              <w:bottom w:val="single" w:sz="4" w:space="0" w:color="auto"/>
            </w:tcBorders>
            <w:shd w:val="clear" w:color="auto" w:fill="auto"/>
            <w:tcMar>
              <w:top w:w="110" w:type="dxa"/>
            </w:tcMar>
          </w:tcPr>
          <w:p w:rsidR="00B070BF" w:rsidRPr="009577DE" w:rsidRDefault="00B070BF" w:rsidP="00C33D4A">
            <w:pPr>
              <w:widowControl w:val="0"/>
              <w:jc w:val="center"/>
              <w:rPr>
                <w:b/>
                <w:bCs/>
                <w:sz w:val="16"/>
                <w:szCs w:val="16"/>
                <w:lang w:val="es-ES_tradnl"/>
              </w:rPr>
            </w:pPr>
            <w:r w:rsidRPr="009577DE">
              <w:rPr>
                <w:b/>
                <w:bCs/>
                <w:color w:val="008000"/>
                <w:sz w:val="16"/>
                <w:szCs w:val="16"/>
                <w:lang w:val="es-ES_tradnl"/>
              </w:rPr>
              <w:t>Progresa con normalidad</w:t>
            </w:r>
          </w:p>
          <w:p w:rsidR="00B070BF" w:rsidRPr="009577DE" w:rsidRDefault="00B070BF" w:rsidP="00C33D4A">
            <w:pPr>
              <w:widowControl w:val="0"/>
              <w:jc w:val="center"/>
              <w:rPr>
                <w:bCs/>
                <w:sz w:val="16"/>
                <w:szCs w:val="16"/>
                <w:lang w:val="es-ES_tradnl"/>
              </w:rPr>
            </w:pPr>
          </w:p>
          <w:p w:rsidR="00B070BF" w:rsidRPr="009577DE" w:rsidRDefault="00B070BF" w:rsidP="00C33D4A">
            <w:pPr>
              <w:widowControl w:val="0"/>
              <w:jc w:val="center"/>
              <w:rPr>
                <w:bCs/>
                <w:sz w:val="16"/>
                <w:szCs w:val="16"/>
                <w:lang w:val="es-ES_tradnl"/>
              </w:rPr>
            </w:pPr>
          </w:p>
          <w:p w:rsidR="00B070BF" w:rsidRPr="009577DE" w:rsidRDefault="00B070BF" w:rsidP="00C33D4A">
            <w:pPr>
              <w:widowControl w:val="0"/>
              <w:jc w:val="center"/>
              <w:rPr>
                <w:bCs/>
                <w:sz w:val="16"/>
                <w:szCs w:val="16"/>
                <w:lang w:val="es-ES_tradnl"/>
              </w:rPr>
            </w:pPr>
          </w:p>
        </w:tc>
      </w:tr>
      <w:tr w:rsidR="00B070BF" w:rsidRPr="009577DE" w:rsidTr="00C33D4A">
        <w:trPr>
          <w:cantSplit/>
        </w:trPr>
        <w:tc>
          <w:tcPr>
            <w:tcW w:w="5000" w:type="pct"/>
            <w:gridSpan w:val="6"/>
            <w:tcBorders>
              <w:top w:val="single" w:sz="4" w:space="0" w:color="auto"/>
              <w:bottom w:val="single" w:sz="4" w:space="0" w:color="auto"/>
            </w:tcBorders>
            <w:shd w:val="clear" w:color="auto" w:fill="CCFFFF"/>
            <w:vAlign w:val="center"/>
          </w:tcPr>
          <w:p w:rsidR="00B070BF" w:rsidRPr="009577DE" w:rsidRDefault="00B070BF" w:rsidP="00C33D4A">
            <w:pPr>
              <w:keepNext/>
              <w:widowControl w:val="0"/>
              <w:spacing w:before="120" w:after="120"/>
              <w:ind w:left="1735" w:hanging="1735"/>
              <w:rPr>
                <w:b/>
                <w:bCs/>
                <w:sz w:val="16"/>
                <w:szCs w:val="16"/>
                <w:lang w:val="es-ES_tradnl"/>
              </w:rPr>
            </w:pPr>
            <w:r w:rsidRPr="009577DE">
              <w:rPr>
                <w:b/>
                <w:bCs/>
                <w:sz w:val="16"/>
                <w:szCs w:val="16"/>
                <w:lang w:val="es-ES_tradnl"/>
              </w:rPr>
              <w:lastRenderedPageBreak/>
              <w:t>Resultado previsto:</w:t>
            </w:r>
            <w:r w:rsidRPr="009577DE">
              <w:rPr>
                <w:b/>
                <w:bCs/>
                <w:sz w:val="16"/>
                <w:szCs w:val="16"/>
                <w:lang w:val="es-ES_tradnl"/>
              </w:rPr>
              <w:tab/>
            </w:r>
            <w:r w:rsidRPr="009577DE">
              <w:rPr>
                <w:bCs/>
                <w:sz w:val="16"/>
                <w:szCs w:val="16"/>
                <w:lang w:val="es-ES_tradnl"/>
              </w:rPr>
              <w:t xml:space="preserve"> Mejora de las capacidades en el ámbito de los recursos humanos para hacer frente al amplio espectro de exigencias que supone la utilización eficaz de la P.I. en aras del desarrollo en los países en desarrollo, PMA y países con economías en transición.</w:t>
            </w:r>
          </w:p>
        </w:tc>
      </w:tr>
      <w:tr w:rsidR="00B070BF" w:rsidRPr="009577DE" w:rsidTr="00C33D4A">
        <w:trPr>
          <w:cantSplit/>
        </w:trPr>
        <w:tc>
          <w:tcPr>
            <w:tcW w:w="887" w:type="pct"/>
            <w:tcBorders>
              <w:top w:val="single" w:sz="4" w:space="0" w:color="auto"/>
            </w:tcBorders>
            <w:shd w:val="clear" w:color="auto" w:fill="auto"/>
            <w:vAlign w:val="center"/>
          </w:tcPr>
          <w:p w:rsidR="00B070BF" w:rsidRPr="009577DE" w:rsidRDefault="00B070BF" w:rsidP="00C33D4A">
            <w:pPr>
              <w:keepNext/>
              <w:widowControl w:val="0"/>
              <w:spacing w:after="120"/>
              <w:rPr>
                <w:sz w:val="16"/>
                <w:szCs w:val="16"/>
                <w:lang w:val="es-ES_tradnl"/>
              </w:rPr>
            </w:pPr>
            <w:r w:rsidRPr="009577DE">
              <w:rPr>
                <w:b/>
                <w:bCs/>
                <w:sz w:val="16"/>
                <w:szCs w:val="16"/>
                <w:lang w:val="es-ES_tradnl"/>
              </w:rPr>
              <w:t>Indicadores de rendimiento</w:t>
            </w:r>
          </w:p>
        </w:tc>
        <w:tc>
          <w:tcPr>
            <w:tcW w:w="887" w:type="pct"/>
            <w:tcBorders>
              <w:top w:val="single" w:sz="4" w:space="0" w:color="auto"/>
            </w:tcBorders>
            <w:shd w:val="clear" w:color="auto" w:fill="C0C0C0"/>
          </w:tcPr>
          <w:p w:rsidR="00B070BF" w:rsidRPr="009577DE" w:rsidRDefault="00B070BF" w:rsidP="00C33D4A">
            <w:pPr>
              <w:keepNext/>
              <w:widowControl w:val="0"/>
              <w:spacing w:after="120"/>
              <w:rPr>
                <w:b/>
                <w:bCs/>
                <w:sz w:val="16"/>
                <w:szCs w:val="16"/>
                <w:lang w:val="es-ES_tradnl"/>
              </w:rPr>
            </w:pPr>
            <w:r w:rsidRPr="009577DE">
              <w:rPr>
                <w:b/>
                <w:bCs/>
                <w:sz w:val="16"/>
                <w:szCs w:val="16"/>
                <w:lang w:val="es-ES_tradnl"/>
              </w:rPr>
              <w:t>Referencia (</w:t>
            </w:r>
            <w:proofErr w:type="spellStart"/>
            <w:r w:rsidRPr="009577DE">
              <w:rPr>
                <w:b/>
                <w:bCs/>
                <w:sz w:val="16"/>
                <w:szCs w:val="16"/>
                <w:lang w:val="es-ES_tradnl"/>
              </w:rPr>
              <w:t>Presup</w:t>
            </w:r>
            <w:proofErr w:type="spellEnd"/>
            <w:r w:rsidRPr="009577DE">
              <w:rPr>
                <w:b/>
                <w:bCs/>
                <w:sz w:val="16"/>
                <w:szCs w:val="16"/>
                <w:lang w:val="es-ES_tradnl"/>
              </w:rPr>
              <w:t xml:space="preserve">. por </w:t>
            </w:r>
            <w:proofErr w:type="spellStart"/>
            <w:r w:rsidRPr="009577DE">
              <w:rPr>
                <w:b/>
                <w:bCs/>
                <w:sz w:val="16"/>
                <w:szCs w:val="16"/>
                <w:lang w:val="es-ES_tradnl"/>
              </w:rPr>
              <w:t>prog</w:t>
            </w:r>
            <w:proofErr w:type="spellEnd"/>
            <w:r w:rsidRPr="009577DE">
              <w:rPr>
                <w:b/>
                <w:bCs/>
                <w:sz w:val="16"/>
                <w:szCs w:val="16"/>
                <w:lang w:val="es-ES_tradnl"/>
              </w:rPr>
              <w:t>. 2012/13)</w:t>
            </w:r>
          </w:p>
        </w:tc>
        <w:tc>
          <w:tcPr>
            <w:tcW w:w="885" w:type="pct"/>
            <w:tcBorders>
              <w:top w:val="single" w:sz="4" w:space="0" w:color="auto"/>
            </w:tcBorders>
            <w:shd w:val="clear" w:color="auto" w:fill="auto"/>
            <w:tcMar>
              <w:top w:w="110" w:type="dxa"/>
            </w:tcMar>
            <w:vAlign w:val="center"/>
          </w:tcPr>
          <w:p w:rsidR="00B070BF" w:rsidRPr="009577DE" w:rsidRDefault="00B070BF" w:rsidP="00C33D4A">
            <w:pPr>
              <w:keepNext/>
              <w:widowControl w:val="0"/>
              <w:spacing w:after="120"/>
              <w:rPr>
                <w:b/>
                <w:sz w:val="16"/>
                <w:szCs w:val="16"/>
                <w:lang w:val="es-ES_tradnl"/>
              </w:rPr>
            </w:pPr>
            <w:r w:rsidRPr="00BF138D">
              <w:rPr>
                <w:b/>
                <w:color w:val="993300"/>
                <w:sz w:val="16"/>
                <w:szCs w:val="16"/>
                <w:lang w:val="es-ES_tradnl"/>
              </w:rPr>
              <w:t>Referencia actualizada a finales de 2011</w:t>
            </w:r>
          </w:p>
        </w:tc>
        <w:tc>
          <w:tcPr>
            <w:tcW w:w="1817" w:type="pct"/>
            <w:gridSpan w:val="2"/>
            <w:tcBorders>
              <w:top w:val="single" w:sz="4" w:space="0" w:color="auto"/>
            </w:tcBorders>
            <w:shd w:val="clear" w:color="auto" w:fill="FFFFFF"/>
            <w:tcMar>
              <w:top w:w="110" w:type="dxa"/>
            </w:tcMar>
            <w:vAlign w:val="center"/>
          </w:tcPr>
          <w:p w:rsidR="00B070BF" w:rsidRPr="009577DE" w:rsidRDefault="00B070BF" w:rsidP="00C33D4A">
            <w:pPr>
              <w:keepNext/>
              <w:widowControl w:val="0"/>
              <w:spacing w:after="120"/>
              <w:rPr>
                <w:sz w:val="16"/>
                <w:szCs w:val="16"/>
                <w:lang w:val="es-ES_tradnl"/>
              </w:rPr>
            </w:pPr>
            <w:r w:rsidRPr="009577DE">
              <w:rPr>
                <w:b/>
                <w:bCs/>
                <w:sz w:val="16"/>
                <w:szCs w:val="16"/>
                <w:lang w:val="es-ES_tradnl"/>
              </w:rPr>
              <w:t>Datos sobre el rendimiento</w:t>
            </w:r>
          </w:p>
        </w:tc>
        <w:tc>
          <w:tcPr>
            <w:tcW w:w="524" w:type="pct"/>
            <w:tcBorders>
              <w:top w:val="single" w:sz="4" w:space="0" w:color="auto"/>
            </w:tcBorders>
            <w:shd w:val="clear" w:color="auto" w:fill="auto"/>
            <w:tcMar>
              <w:top w:w="110" w:type="dxa"/>
            </w:tcMar>
            <w:vAlign w:val="center"/>
          </w:tcPr>
          <w:p w:rsidR="00B070BF" w:rsidRPr="009577DE" w:rsidRDefault="00B070BF" w:rsidP="00C33D4A">
            <w:pPr>
              <w:keepNext/>
              <w:widowControl w:val="0"/>
              <w:spacing w:after="120"/>
              <w:jc w:val="center"/>
              <w:rPr>
                <w:b/>
                <w:bCs/>
                <w:sz w:val="16"/>
                <w:szCs w:val="16"/>
                <w:lang w:val="es-ES_tradnl"/>
              </w:rPr>
            </w:pPr>
            <w:r w:rsidRPr="009577DE">
              <w:rPr>
                <w:b/>
                <w:bCs/>
                <w:sz w:val="16"/>
                <w:szCs w:val="16"/>
                <w:lang w:val="es-ES_tradnl"/>
              </w:rPr>
              <w:t>Clave de colores</w:t>
            </w:r>
          </w:p>
        </w:tc>
      </w:tr>
      <w:tr w:rsidR="00B070BF" w:rsidRPr="009577DE" w:rsidTr="00C33D4A">
        <w:trPr>
          <w:cantSplit/>
        </w:trPr>
        <w:tc>
          <w:tcPr>
            <w:tcW w:w="887" w:type="pct"/>
            <w:shd w:val="clear" w:color="auto" w:fill="FFFFFF"/>
          </w:tcPr>
          <w:p w:rsidR="00B070BF" w:rsidRPr="009577DE" w:rsidRDefault="00B070BF" w:rsidP="00C33D4A">
            <w:pPr>
              <w:widowControl w:val="0"/>
              <w:rPr>
                <w:sz w:val="16"/>
                <w:szCs w:val="16"/>
                <w:lang w:val="es-ES_tradnl" w:bidi="th-TH"/>
              </w:rPr>
            </w:pPr>
            <w:r w:rsidRPr="009577DE">
              <w:rPr>
                <w:sz w:val="16"/>
                <w:szCs w:val="16"/>
                <w:lang w:val="es-ES_tradnl" w:bidi="th-TH"/>
              </w:rPr>
              <w:t>Porcentaje de encargados de la formulación de políticas, funcionarios gubernamentales, profesionales de la P.I. y examinadores, funcionarios encargados de hacer cumplir la ley y usuarios de la P.I. que entienden mejor las cuestiones de P.I. y cómo utilizarla en aras del desarrollo.</w:t>
            </w:r>
          </w:p>
          <w:p w:rsidR="00B070BF" w:rsidRPr="009577DE" w:rsidRDefault="00B070BF" w:rsidP="00C33D4A">
            <w:pPr>
              <w:widowControl w:val="0"/>
              <w:rPr>
                <w:sz w:val="16"/>
                <w:szCs w:val="16"/>
                <w:lang w:val="es-ES_tradnl" w:bidi="th-TH"/>
              </w:rPr>
            </w:pPr>
          </w:p>
        </w:tc>
        <w:tc>
          <w:tcPr>
            <w:tcW w:w="887" w:type="pct"/>
            <w:shd w:val="clear" w:color="auto" w:fill="C0C0C0"/>
          </w:tcPr>
          <w:p w:rsidR="00B070BF" w:rsidRPr="009577DE" w:rsidRDefault="00B070BF" w:rsidP="00C33D4A">
            <w:pPr>
              <w:widowControl w:val="0"/>
              <w:rPr>
                <w:sz w:val="16"/>
                <w:szCs w:val="16"/>
                <w:lang w:val="es-ES_tradnl" w:bidi="th-TH"/>
              </w:rPr>
            </w:pPr>
            <w:r w:rsidRPr="009577DE">
              <w:rPr>
                <w:sz w:val="16"/>
                <w:szCs w:val="16"/>
                <w:lang w:val="es-ES_tradnl" w:bidi="th-TH"/>
              </w:rPr>
              <w:t>No se dispone de datos.</w:t>
            </w:r>
          </w:p>
          <w:p w:rsidR="00B070BF" w:rsidRPr="009577DE" w:rsidRDefault="00B070BF" w:rsidP="00C33D4A">
            <w:pPr>
              <w:widowControl w:val="0"/>
              <w:rPr>
                <w:sz w:val="16"/>
                <w:szCs w:val="16"/>
                <w:lang w:val="es-ES_tradnl" w:bidi="th-TH"/>
              </w:rPr>
            </w:pPr>
          </w:p>
        </w:tc>
        <w:tc>
          <w:tcPr>
            <w:tcW w:w="885" w:type="pct"/>
            <w:shd w:val="clear" w:color="auto" w:fill="auto"/>
            <w:tcMar>
              <w:top w:w="110" w:type="dxa"/>
            </w:tcMar>
          </w:tcPr>
          <w:p w:rsidR="00B070BF" w:rsidRPr="009577DE" w:rsidRDefault="00B070BF" w:rsidP="00C33D4A">
            <w:pPr>
              <w:widowControl w:val="0"/>
              <w:rPr>
                <w:sz w:val="16"/>
                <w:szCs w:val="16"/>
                <w:lang w:val="es-ES_tradnl" w:bidi="th-TH"/>
              </w:rPr>
            </w:pPr>
          </w:p>
        </w:tc>
        <w:tc>
          <w:tcPr>
            <w:tcW w:w="1817" w:type="pct"/>
            <w:gridSpan w:val="2"/>
            <w:shd w:val="clear" w:color="auto" w:fill="FFFFFF"/>
            <w:tcMar>
              <w:top w:w="110" w:type="dxa"/>
            </w:tcMar>
          </w:tcPr>
          <w:p w:rsidR="00B070BF" w:rsidRPr="009577DE" w:rsidRDefault="00B070BF" w:rsidP="00C33D4A">
            <w:pPr>
              <w:widowControl w:val="0"/>
              <w:rPr>
                <w:sz w:val="16"/>
                <w:szCs w:val="16"/>
                <w:lang w:val="es-ES_tradnl" w:bidi="th-TH"/>
              </w:rPr>
            </w:pPr>
            <w:r w:rsidRPr="009577DE">
              <w:rPr>
                <w:b/>
                <w:sz w:val="16"/>
                <w:szCs w:val="16"/>
                <w:lang w:val="es-ES_tradnl" w:bidi="th-TH"/>
              </w:rPr>
              <w:t>África</w:t>
            </w:r>
            <w:r w:rsidRPr="009577DE">
              <w:rPr>
                <w:sz w:val="16"/>
                <w:szCs w:val="16"/>
                <w:lang w:val="es-ES_tradnl" w:bidi="th-TH"/>
              </w:rPr>
              <w:t xml:space="preserve">:  Alrededor de 800 participantes, comprendidos encargados de la formulación de políticas, funcionarios gubernamentales, profesionales de la P.I. y examinadores, funcionarios encargados de hacer cumplir la ley, pymes, el sector privado, las instituciones de investigación, los círculos académicos, etc. asistieron a actividades relacionadas con la observancia y seminarios sobre el uso de la P.I. en aras del desarrollo, especialmente en el marco de la formulación de estrategias o políticas de P.I., y participaron en los proyectos de desarrollo de la imagen de marca mediante estrategias relacionadas con la P.I. organizados por la Oficina. </w:t>
            </w:r>
          </w:p>
          <w:p w:rsidR="00B070BF" w:rsidRPr="009577DE" w:rsidRDefault="00B070BF" w:rsidP="00C33D4A">
            <w:pPr>
              <w:widowControl w:val="0"/>
              <w:rPr>
                <w:sz w:val="16"/>
                <w:szCs w:val="16"/>
                <w:lang w:val="es-ES_tradnl" w:bidi="th-TH"/>
              </w:rPr>
            </w:pPr>
          </w:p>
          <w:p w:rsidR="00B070BF" w:rsidRPr="009577DE" w:rsidRDefault="00B070BF" w:rsidP="00C33D4A">
            <w:pPr>
              <w:widowControl w:val="0"/>
              <w:rPr>
                <w:sz w:val="16"/>
                <w:szCs w:val="16"/>
                <w:lang w:val="es-ES_tradnl" w:bidi="th-TH"/>
              </w:rPr>
            </w:pPr>
          </w:p>
          <w:p w:rsidR="00B070BF" w:rsidRPr="009577DE" w:rsidRDefault="00B070BF" w:rsidP="00C33D4A">
            <w:pPr>
              <w:widowControl w:val="0"/>
              <w:rPr>
                <w:sz w:val="16"/>
                <w:szCs w:val="16"/>
                <w:lang w:val="es-ES_tradnl" w:bidi="th-TH"/>
              </w:rPr>
            </w:pPr>
            <w:r w:rsidRPr="009577DE">
              <w:rPr>
                <w:b/>
                <w:sz w:val="16"/>
                <w:szCs w:val="16"/>
                <w:lang w:val="es-ES_tradnl" w:bidi="th-TH"/>
              </w:rPr>
              <w:t>Países árabes:</w:t>
            </w:r>
            <w:r w:rsidRPr="009577DE">
              <w:rPr>
                <w:sz w:val="16"/>
                <w:szCs w:val="16"/>
                <w:lang w:val="es-ES_tradnl" w:bidi="th-TH"/>
              </w:rPr>
              <w:t xml:space="preserve">  Se espera que estén disponibles antes de finales de 2013. </w:t>
            </w:r>
          </w:p>
          <w:p w:rsidR="00B070BF" w:rsidRPr="009577DE" w:rsidRDefault="00B070BF" w:rsidP="00C33D4A">
            <w:pPr>
              <w:widowControl w:val="0"/>
              <w:rPr>
                <w:sz w:val="16"/>
                <w:szCs w:val="16"/>
                <w:lang w:val="es-ES_tradnl" w:bidi="th-TH"/>
              </w:rPr>
            </w:pPr>
            <w:r w:rsidRPr="009577DE">
              <w:rPr>
                <w:sz w:val="16"/>
                <w:szCs w:val="16"/>
                <w:lang w:val="es-ES_tradnl" w:bidi="th-TH"/>
              </w:rPr>
              <w:t>.</w:t>
            </w:r>
          </w:p>
          <w:p w:rsidR="00B070BF" w:rsidRPr="009577DE" w:rsidRDefault="00B070BF" w:rsidP="00C33D4A">
            <w:pPr>
              <w:widowControl w:val="0"/>
              <w:rPr>
                <w:sz w:val="16"/>
                <w:szCs w:val="16"/>
                <w:lang w:val="es-ES_tradnl" w:bidi="th-TH"/>
              </w:rPr>
            </w:pPr>
          </w:p>
        </w:tc>
        <w:tc>
          <w:tcPr>
            <w:tcW w:w="524" w:type="pct"/>
            <w:shd w:val="clear" w:color="auto" w:fill="auto"/>
            <w:tcMar>
              <w:top w:w="110" w:type="dxa"/>
            </w:tcMar>
          </w:tcPr>
          <w:p w:rsidR="00B070BF" w:rsidRPr="009577DE" w:rsidRDefault="00B070BF" w:rsidP="00C33D4A">
            <w:pPr>
              <w:widowControl w:val="0"/>
              <w:jc w:val="center"/>
              <w:rPr>
                <w:b/>
                <w:bCs/>
                <w:sz w:val="16"/>
                <w:szCs w:val="16"/>
                <w:lang w:val="es-ES_tradnl"/>
              </w:rPr>
            </w:pPr>
            <w:r w:rsidRPr="009577DE">
              <w:rPr>
                <w:b/>
                <w:bCs/>
                <w:color w:val="008000"/>
                <w:sz w:val="16"/>
                <w:szCs w:val="16"/>
                <w:lang w:val="es-ES_tradnl"/>
              </w:rPr>
              <w:t>Progresa con normalidad</w:t>
            </w:r>
          </w:p>
          <w:p w:rsidR="00B070BF" w:rsidRPr="009577DE" w:rsidRDefault="00B070BF" w:rsidP="00C33D4A">
            <w:pPr>
              <w:widowControl w:val="0"/>
              <w:jc w:val="center"/>
              <w:rPr>
                <w:bCs/>
                <w:sz w:val="16"/>
                <w:szCs w:val="16"/>
                <w:lang w:val="es-ES_tradnl"/>
              </w:rPr>
            </w:pPr>
          </w:p>
          <w:p w:rsidR="00B070BF" w:rsidRPr="009577DE" w:rsidRDefault="00B070BF" w:rsidP="00C33D4A">
            <w:pPr>
              <w:widowControl w:val="0"/>
              <w:jc w:val="center"/>
              <w:rPr>
                <w:bCs/>
                <w:sz w:val="16"/>
                <w:szCs w:val="16"/>
                <w:lang w:val="es-ES_tradnl"/>
              </w:rPr>
            </w:pPr>
          </w:p>
          <w:p w:rsidR="00B070BF" w:rsidRPr="009577DE" w:rsidRDefault="00B070BF" w:rsidP="00C33D4A">
            <w:pPr>
              <w:widowControl w:val="0"/>
              <w:jc w:val="center"/>
              <w:rPr>
                <w:bCs/>
                <w:sz w:val="16"/>
                <w:szCs w:val="16"/>
                <w:lang w:val="es-ES_tradnl"/>
              </w:rPr>
            </w:pPr>
          </w:p>
          <w:p w:rsidR="00B070BF" w:rsidRPr="009577DE" w:rsidRDefault="00B070BF" w:rsidP="00C33D4A">
            <w:pPr>
              <w:widowControl w:val="0"/>
              <w:jc w:val="center"/>
              <w:rPr>
                <w:bCs/>
                <w:sz w:val="16"/>
                <w:szCs w:val="16"/>
                <w:lang w:val="es-ES_tradnl"/>
              </w:rPr>
            </w:pPr>
          </w:p>
          <w:p w:rsidR="00B070BF" w:rsidRPr="009577DE" w:rsidRDefault="00B070BF" w:rsidP="00C33D4A">
            <w:pPr>
              <w:widowControl w:val="0"/>
              <w:jc w:val="center"/>
              <w:rPr>
                <w:bCs/>
                <w:sz w:val="16"/>
                <w:szCs w:val="16"/>
                <w:lang w:val="es-ES_tradnl"/>
              </w:rPr>
            </w:pPr>
          </w:p>
          <w:p w:rsidR="00B070BF" w:rsidRPr="009577DE" w:rsidRDefault="00B070BF" w:rsidP="00C33D4A">
            <w:pPr>
              <w:widowControl w:val="0"/>
              <w:jc w:val="center"/>
              <w:rPr>
                <w:bCs/>
                <w:sz w:val="16"/>
                <w:szCs w:val="16"/>
                <w:lang w:val="es-ES_tradnl"/>
              </w:rPr>
            </w:pPr>
          </w:p>
          <w:p w:rsidR="00B070BF" w:rsidRPr="009577DE" w:rsidRDefault="00B070BF" w:rsidP="00C33D4A">
            <w:pPr>
              <w:widowControl w:val="0"/>
              <w:jc w:val="center"/>
              <w:rPr>
                <w:bCs/>
                <w:sz w:val="16"/>
                <w:szCs w:val="16"/>
                <w:lang w:val="es-ES_tradnl"/>
              </w:rPr>
            </w:pPr>
          </w:p>
          <w:p w:rsidR="00B070BF" w:rsidRPr="009577DE" w:rsidRDefault="00B070BF" w:rsidP="00C33D4A">
            <w:pPr>
              <w:widowControl w:val="0"/>
              <w:jc w:val="center"/>
              <w:rPr>
                <w:bCs/>
                <w:sz w:val="16"/>
                <w:szCs w:val="16"/>
                <w:lang w:val="es-ES_tradnl"/>
              </w:rPr>
            </w:pPr>
          </w:p>
          <w:p w:rsidR="00B070BF" w:rsidRPr="009577DE" w:rsidRDefault="00B070BF" w:rsidP="00C33D4A">
            <w:pPr>
              <w:widowControl w:val="0"/>
              <w:jc w:val="center"/>
              <w:rPr>
                <w:bCs/>
                <w:sz w:val="16"/>
                <w:szCs w:val="16"/>
                <w:lang w:val="es-ES_tradnl"/>
              </w:rPr>
            </w:pPr>
          </w:p>
          <w:p w:rsidR="00B070BF" w:rsidRPr="009577DE" w:rsidRDefault="00B070BF" w:rsidP="00C33D4A">
            <w:pPr>
              <w:widowControl w:val="0"/>
              <w:jc w:val="center"/>
              <w:rPr>
                <w:b/>
                <w:bCs/>
                <w:sz w:val="16"/>
                <w:szCs w:val="16"/>
                <w:lang w:val="es-ES_tradnl"/>
              </w:rPr>
            </w:pPr>
          </w:p>
          <w:p w:rsidR="00B070BF" w:rsidRPr="009577DE" w:rsidRDefault="00B070BF" w:rsidP="00C33D4A">
            <w:pPr>
              <w:widowControl w:val="0"/>
              <w:jc w:val="center"/>
              <w:rPr>
                <w:b/>
                <w:bCs/>
                <w:sz w:val="16"/>
                <w:szCs w:val="16"/>
                <w:lang w:val="es-ES_tradnl"/>
              </w:rPr>
            </w:pPr>
          </w:p>
          <w:p w:rsidR="00B070BF" w:rsidRPr="009577DE" w:rsidRDefault="00B070BF" w:rsidP="00C33D4A">
            <w:pPr>
              <w:widowControl w:val="0"/>
              <w:jc w:val="center"/>
              <w:rPr>
                <w:b/>
                <w:bCs/>
                <w:sz w:val="16"/>
                <w:szCs w:val="16"/>
                <w:lang w:val="es-ES_tradnl"/>
              </w:rPr>
            </w:pPr>
          </w:p>
          <w:p w:rsidR="00B070BF" w:rsidRPr="009577DE" w:rsidRDefault="00B070BF" w:rsidP="00C33D4A">
            <w:pPr>
              <w:widowControl w:val="0"/>
              <w:jc w:val="center"/>
              <w:rPr>
                <w:b/>
                <w:bCs/>
                <w:sz w:val="16"/>
                <w:szCs w:val="16"/>
                <w:lang w:val="es-ES_tradnl"/>
              </w:rPr>
            </w:pPr>
          </w:p>
          <w:p w:rsidR="00B070BF" w:rsidRPr="009577DE" w:rsidRDefault="00B070BF" w:rsidP="00C33D4A">
            <w:pPr>
              <w:widowControl w:val="0"/>
              <w:jc w:val="center"/>
              <w:rPr>
                <w:b/>
                <w:bCs/>
                <w:sz w:val="16"/>
                <w:szCs w:val="16"/>
                <w:lang w:val="es-ES_tradnl"/>
              </w:rPr>
            </w:pPr>
          </w:p>
          <w:p w:rsidR="00B070BF" w:rsidRPr="009577DE" w:rsidRDefault="00B070BF" w:rsidP="00C33D4A">
            <w:pPr>
              <w:widowControl w:val="0"/>
              <w:jc w:val="center"/>
              <w:rPr>
                <w:b/>
                <w:bCs/>
                <w:sz w:val="16"/>
                <w:szCs w:val="16"/>
                <w:lang w:val="es-ES_tradnl"/>
              </w:rPr>
            </w:pPr>
          </w:p>
          <w:p w:rsidR="00B070BF" w:rsidRPr="009577DE" w:rsidRDefault="00B070BF" w:rsidP="00C33D4A">
            <w:pPr>
              <w:widowControl w:val="0"/>
              <w:jc w:val="center"/>
              <w:rPr>
                <w:b/>
                <w:bCs/>
                <w:sz w:val="16"/>
                <w:szCs w:val="16"/>
                <w:lang w:val="es-ES_tradnl"/>
              </w:rPr>
            </w:pPr>
          </w:p>
          <w:p w:rsidR="00B070BF" w:rsidRPr="009577DE" w:rsidRDefault="00B070BF" w:rsidP="00C33D4A">
            <w:pPr>
              <w:widowControl w:val="0"/>
              <w:jc w:val="center"/>
              <w:rPr>
                <w:b/>
                <w:bCs/>
                <w:sz w:val="16"/>
                <w:szCs w:val="16"/>
                <w:lang w:val="es-ES_tradnl"/>
              </w:rPr>
            </w:pPr>
            <w:r w:rsidRPr="009577DE">
              <w:rPr>
                <w:b/>
                <w:bCs/>
                <w:sz w:val="16"/>
                <w:szCs w:val="16"/>
                <w:lang w:val="es-ES_tradnl"/>
              </w:rPr>
              <w:t>No disponible para 2012</w:t>
            </w:r>
          </w:p>
          <w:p w:rsidR="00B070BF" w:rsidRPr="009577DE" w:rsidRDefault="00B070BF" w:rsidP="00C33D4A">
            <w:pPr>
              <w:widowControl w:val="0"/>
              <w:jc w:val="center"/>
              <w:rPr>
                <w:bCs/>
                <w:sz w:val="16"/>
                <w:szCs w:val="16"/>
                <w:lang w:val="es-ES_tradnl"/>
              </w:rPr>
            </w:pPr>
          </w:p>
          <w:p w:rsidR="00B070BF" w:rsidRPr="009577DE" w:rsidRDefault="00B070BF" w:rsidP="00C33D4A">
            <w:pPr>
              <w:widowControl w:val="0"/>
              <w:jc w:val="center"/>
              <w:rPr>
                <w:bCs/>
                <w:sz w:val="16"/>
                <w:szCs w:val="16"/>
                <w:lang w:val="es-ES_tradnl"/>
              </w:rPr>
            </w:pPr>
          </w:p>
        </w:tc>
      </w:tr>
      <w:tr w:rsidR="00B070BF" w:rsidRPr="009577DE" w:rsidTr="00C33D4A">
        <w:trPr>
          <w:cantSplit/>
        </w:trPr>
        <w:tc>
          <w:tcPr>
            <w:tcW w:w="887" w:type="pct"/>
            <w:shd w:val="clear" w:color="auto" w:fill="auto"/>
          </w:tcPr>
          <w:p w:rsidR="00B070BF" w:rsidRPr="009577DE" w:rsidRDefault="00B070BF" w:rsidP="00C33D4A">
            <w:pPr>
              <w:widowControl w:val="0"/>
              <w:rPr>
                <w:sz w:val="16"/>
                <w:szCs w:val="16"/>
                <w:lang w:val="es-ES_tradnl" w:bidi="th-TH"/>
              </w:rPr>
            </w:pPr>
            <w:r w:rsidRPr="009577DE">
              <w:rPr>
                <w:sz w:val="16"/>
                <w:szCs w:val="16"/>
                <w:lang w:val="es-ES_tradnl" w:bidi="th-TH"/>
              </w:rPr>
              <w:t>Número de países que cuentan con programas de formación en P.I. y oportunidades laborales relacionadas con la P.I. (región de los países árabes).</w:t>
            </w:r>
          </w:p>
          <w:p w:rsidR="00B070BF" w:rsidRPr="009577DE" w:rsidRDefault="00B070BF" w:rsidP="00C33D4A">
            <w:pPr>
              <w:widowControl w:val="0"/>
              <w:rPr>
                <w:sz w:val="16"/>
                <w:szCs w:val="16"/>
                <w:lang w:val="es-ES_tradnl" w:bidi="th-TH"/>
              </w:rPr>
            </w:pPr>
          </w:p>
        </w:tc>
        <w:tc>
          <w:tcPr>
            <w:tcW w:w="887" w:type="pct"/>
            <w:shd w:val="clear" w:color="auto" w:fill="B3B3B3"/>
          </w:tcPr>
          <w:p w:rsidR="00B070BF" w:rsidRPr="009577DE" w:rsidRDefault="00B070BF" w:rsidP="00C33D4A">
            <w:pPr>
              <w:widowControl w:val="0"/>
              <w:rPr>
                <w:sz w:val="16"/>
                <w:szCs w:val="16"/>
                <w:lang w:val="es-ES_tradnl" w:bidi="th-TH"/>
              </w:rPr>
            </w:pPr>
            <w:r w:rsidRPr="009577DE">
              <w:rPr>
                <w:sz w:val="16"/>
                <w:szCs w:val="16"/>
                <w:lang w:val="es-ES_tradnl" w:bidi="th-TH"/>
              </w:rPr>
              <w:t>Cinco países</w:t>
            </w:r>
          </w:p>
        </w:tc>
        <w:tc>
          <w:tcPr>
            <w:tcW w:w="885" w:type="pct"/>
            <w:shd w:val="clear" w:color="auto" w:fill="auto"/>
            <w:tcMar>
              <w:top w:w="110" w:type="dxa"/>
            </w:tcMar>
          </w:tcPr>
          <w:p w:rsidR="00B070BF" w:rsidRPr="009577DE" w:rsidRDefault="00B070BF" w:rsidP="00C33D4A">
            <w:pPr>
              <w:widowControl w:val="0"/>
              <w:ind w:firstLineChars="20" w:firstLine="32"/>
              <w:rPr>
                <w:sz w:val="16"/>
                <w:szCs w:val="16"/>
                <w:lang w:val="es-ES_tradnl" w:bidi="th-TH"/>
              </w:rPr>
            </w:pPr>
          </w:p>
        </w:tc>
        <w:tc>
          <w:tcPr>
            <w:tcW w:w="1817" w:type="pct"/>
            <w:gridSpan w:val="2"/>
            <w:shd w:val="clear" w:color="auto" w:fill="FFFFFF"/>
            <w:tcMar>
              <w:top w:w="110" w:type="dxa"/>
            </w:tcMar>
          </w:tcPr>
          <w:p w:rsidR="00B070BF" w:rsidRPr="009577DE" w:rsidRDefault="00B070BF" w:rsidP="00C33D4A">
            <w:pPr>
              <w:widowControl w:val="0"/>
              <w:rPr>
                <w:sz w:val="16"/>
                <w:szCs w:val="16"/>
                <w:lang w:val="es-ES_tradnl" w:bidi="th-TH"/>
              </w:rPr>
            </w:pPr>
            <w:r w:rsidRPr="009577DE">
              <w:rPr>
                <w:sz w:val="16"/>
                <w:szCs w:val="16"/>
                <w:lang w:val="es-ES_tradnl" w:bidi="th-TH"/>
              </w:rPr>
              <w:t>Dos países han establecido academias nacionales de P.I. (Egipto y Túnez)</w:t>
            </w:r>
            <w:r w:rsidRPr="009577DE" w:rsidDel="00634075">
              <w:rPr>
                <w:sz w:val="16"/>
                <w:szCs w:val="16"/>
                <w:lang w:val="es-ES_tradnl" w:bidi="th-TH"/>
              </w:rPr>
              <w:t xml:space="preserve"> </w:t>
            </w:r>
          </w:p>
          <w:p w:rsidR="00B070BF" w:rsidRPr="009577DE" w:rsidRDefault="00B070BF" w:rsidP="00C33D4A">
            <w:pPr>
              <w:widowControl w:val="0"/>
              <w:rPr>
                <w:sz w:val="16"/>
                <w:szCs w:val="16"/>
                <w:lang w:val="es-ES_tradnl" w:bidi="th-TH"/>
              </w:rPr>
            </w:pPr>
          </w:p>
        </w:tc>
        <w:tc>
          <w:tcPr>
            <w:tcW w:w="524" w:type="pct"/>
            <w:shd w:val="clear" w:color="auto" w:fill="auto"/>
          </w:tcPr>
          <w:p w:rsidR="00B070BF" w:rsidRPr="009577DE" w:rsidRDefault="00B070BF" w:rsidP="00C33D4A">
            <w:pPr>
              <w:widowControl w:val="0"/>
              <w:jc w:val="center"/>
              <w:rPr>
                <w:b/>
                <w:bCs/>
                <w:sz w:val="16"/>
                <w:szCs w:val="16"/>
                <w:lang w:val="es-ES_tradnl"/>
              </w:rPr>
            </w:pPr>
            <w:r w:rsidRPr="009577DE">
              <w:rPr>
                <w:b/>
                <w:bCs/>
                <w:color w:val="008000"/>
                <w:sz w:val="16"/>
                <w:szCs w:val="16"/>
                <w:lang w:val="es-ES_tradnl"/>
              </w:rPr>
              <w:t>Progresa con normalidad</w:t>
            </w:r>
          </w:p>
          <w:p w:rsidR="00B070BF" w:rsidRPr="009577DE" w:rsidRDefault="00B070BF" w:rsidP="00C33D4A">
            <w:pPr>
              <w:widowControl w:val="0"/>
              <w:jc w:val="center"/>
              <w:rPr>
                <w:bCs/>
                <w:sz w:val="16"/>
                <w:szCs w:val="16"/>
                <w:lang w:val="es-ES_tradnl"/>
              </w:rPr>
            </w:pPr>
          </w:p>
          <w:p w:rsidR="00B070BF" w:rsidRPr="009577DE" w:rsidRDefault="00B070BF" w:rsidP="00C33D4A">
            <w:pPr>
              <w:widowControl w:val="0"/>
              <w:jc w:val="center"/>
              <w:rPr>
                <w:bCs/>
                <w:sz w:val="16"/>
                <w:szCs w:val="16"/>
                <w:lang w:val="es-ES_tradnl"/>
              </w:rPr>
            </w:pPr>
          </w:p>
        </w:tc>
      </w:tr>
      <w:tr w:rsidR="00B070BF" w:rsidRPr="009577DE" w:rsidTr="00C33D4A">
        <w:trPr>
          <w:cantSplit/>
        </w:trPr>
        <w:tc>
          <w:tcPr>
            <w:tcW w:w="887" w:type="pct"/>
            <w:shd w:val="clear" w:color="auto" w:fill="auto"/>
          </w:tcPr>
          <w:p w:rsidR="00B070BF" w:rsidRPr="009577DE" w:rsidRDefault="00B070BF" w:rsidP="00C33D4A">
            <w:pPr>
              <w:widowControl w:val="0"/>
              <w:rPr>
                <w:sz w:val="16"/>
                <w:szCs w:val="16"/>
                <w:lang w:val="es-ES_tradnl" w:bidi="th-TH"/>
              </w:rPr>
            </w:pPr>
            <w:r w:rsidRPr="009577DE">
              <w:rPr>
                <w:sz w:val="16"/>
                <w:szCs w:val="16"/>
                <w:lang w:val="es-ES_tradnl" w:bidi="th-TH"/>
              </w:rPr>
              <w:t>Porcentaje de examinadores que recibieron formación y que utilizan en su trabajo las nuevas aptitudes adquiridas (Asia y el Pacífico).</w:t>
            </w:r>
          </w:p>
        </w:tc>
        <w:tc>
          <w:tcPr>
            <w:tcW w:w="887" w:type="pct"/>
            <w:shd w:val="clear" w:color="auto" w:fill="B3B3B3"/>
          </w:tcPr>
          <w:p w:rsidR="00B070BF" w:rsidRPr="009577DE" w:rsidRDefault="00B070BF" w:rsidP="00C33D4A">
            <w:pPr>
              <w:widowControl w:val="0"/>
              <w:jc w:val="both"/>
              <w:rPr>
                <w:sz w:val="16"/>
                <w:szCs w:val="16"/>
                <w:lang w:val="es-ES_tradnl" w:bidi="th-TH"/>
              </w:rPr>
            </w:pPr>
            <w:r w:rsidRPr="009577DE">
              <w:rPr>
                <w:sz w:val="16"/>
                <w:szCs w:val="16"/>
                <w:lang w:val="es-ES_tradnl" w:bidi="th-TH"/>
              </w:rPr>
              <w:t>No se dispone de datos.</w:t>
            </w:r>
          </w:p>
        </w:tc>
        <w:tc>
          <w:tcPr>
            <w:tcW w:w="885" w:type="pct"/>
            <w:shd w:val="clear" w:color="auto" w:fill="auto"/>
            <w:tcMar>
              <w:top w:w="110" w:type="dxa"/>
            </w:tcMar>
          </w:tcPr>
          <w:p w:rsidR="00B070BF" w:rsidRPr="009577DE" w:rsidRDefault="00B070BF" w:rsidP="00C33D4A">
            <w:pPr>
              <w:widowControl w:val="0"/>
              <w:rPr>
                <w:sz w:val="16"/>
                <w:szCs w:val="16"/>
                <w:lang w:val="es-ES_tradnl" w:bidi="th-TH"/>
              </w:rPr>
            </w:pPr>
          </w:p>
        </w:tc>
        <w:tc>
          <w:tcPr>
            <w:tcW w:w="1817" w:type="pct"/>
            <w:gridSpan w:val="2"/>
            <w:shd w:val="clear" w:color="auto" w:fill="FFFFFF"/>
            <w:tcMar>
              <w:top w:w="110" w:type="dxa"/>
            </w:tcMar>
          </w:tcPr>
          <w:p w:rsidR="00B070BF" w:rsidRPr="009577DE" w:rsidRDefault="00B070BF" w:rsidP="00C33D4A">
            <w:pPr>
              <w:widowControl w:val="0"/>
              <w:rPr>
                <w:sz w:val="16"/>
                <w:szCs w:val="16"/>
                <w:lang w:val="es-ES_tradnl" w:bidi="th-TH"/>
              </w:rPr>
            </w:pPr>
            <w:r w:rsidRPr="009577DE">
              <w:rPr>
                <w:sz w:val="16"/>
                <w:szCs w:val="16"/>
                <w:lang w:val="es-ES_tradnl" w:bidi="th-TH"/>
              </w:rPr>
              <w:t>Se espera que estén disponibles antes de finales de 2013.</w:t>
            </w:r>
          </w:p>
          <w:p w:rsidR="00B070BF" w:rsidRPr="009577DE" w:rsidRDefault="00B070BF" w:rsidP="00C33D4A">
            <w:pPr>
              <w:widowControl w:val="0"/>
              <w:rPr>
                <w:sz w:val="16"/>
                <w:szCs w:val="16"/>
                <w:highlight w:val="cyan"/>
                <w:lang w:val="es-ES_tradnl" w:bidi="th-TH"/>
              </w:rPr>
            </w:pPr>
          </w:p>
        </w:tc>
        <w:tc>
          <w:tcPr>
            <w:tcW w:w="524" w:type="pct"/>
            <w:shd w:val="clear" w:color="auto" w:fill="auto"/>
            <w:tcMar>
              <w:top w:w="110" w:type="dxa"/>
            </w:tcMar>
            <w:vAlign w:val="center"/>
          </w:tcPr>
          <w:p w:rsidR="00B070BF" w:rsidRPr="009577DE" w:rsidRDefault="00B070BF" w:rsidP="00C33D4A">
            <w:pPr>
              <w:widowControl w:val="0"/>
              <w:jc w:val="center"/>
              <w:rPr>
                <w:b/>
                <w:bCs/>
                <w:sz w:val="16"/>
                <w:szCs w:val="16"/>
                <w:lang w:val="es-ES_tradnl"/>
              </w:rPr>
            </w:pPr>
            <w:r w:rsidRPr="009577DE">
              <w:rPr>
                <w:b/>
                <w:bCs/>
                <w:sz w:val="16"/>
                <w:szCs w:val="16"/>
                <w:lang w:val="es-ES_tradnl"/>
              </w:rPr>
              <w:t>No disponible para 2012</w:t>
            </w:r>
          </w:p>
          <w:p w:rsidR="00B070BF" w:rsidRPr="009577DE" w:rsidRDefault="00B070BF" w:rsidP="00C33D4A">
            <w:pPr>
              <w:widowControl w:val="0"/>
              <w:jc w:val="center"/>
              <w:rPr>
                <w:bCs/>
                <w:sz w:val="16"/>
                <w:szCs w:val="16"/>
                <w:lang w:val="es-ES_tradnl"/>
              </w:rPr>
            </w:pPr>
          </w:p>
          <w:p w:rsidR="00B070BF" w:rsidRPr="009577DE" w:rsidRDefault="00B070BF" w:rsidP="00C33D4A">
            <w:pPr>
              <w:widowControl w:val="0"/>
              <w:spacing w:after="120"/>
              <w:jc w:val="center"/>
              <w:rPr>
                <w:bCs/>
                <w:sz w:val="16"/>
                <w:szCs w:val="16"/>
                <w:lang w:val="es-ES_tradnl"/>
              </w:rPr>
            </w:pPr>
          </w:p>
          <w:p w:rsidR="00B070BF" w:rsidRPr="009577DE" w:rsidRDefault="00B070BF" w:rsidP="00C33D4A">
            <w:pPr>
              <w:widowControl w:val="0"/>
              <w:spacing w:after="120"/>
              <w:jc w:val="center"/>
              <w:rPr>
                <w:bCs/>
                <w:sz w:val="16"/>
                <w:szCs w:val="16"/>
                <w:lang w:val="es-ES_tradnl"/>
              </w:rPr>
            </w:pPr>
          </w:p>
          <w:p w:rsidR="00B070BF" w:rsidRPr="009577DE" w:rsidRDefault="00B070BF" w:rsidP="00C33D4A">
            <w:pPr>
              <w:widowControl w:val="0"/>
              <w:spacing w:after="120"/>
              <w:jc w:val="center"/>
              <w:rPr>
                <w:bCs/>
                <w:sz w:val="16"/>
                <w:szCs w:val="16"/>
                <w:lang w:val="es-ES_tradnl"/>
              </w:rPr>
            </w:pPr>
          </w:p>
        </w:tc>
      </w:tr>
      <w:tr w:rsidR="00B070BF" w:rsidRPr="009577DE" w:rsidTr="00C33D4A">
        <w:trPr>
          <w:cantSplit/>
        </w:trPr>
        <w:tc>
          <w:tcPr>
            <w:tcW w:w="887" w:type="pct"/>
            <w:shd w:val="clear" w:color="auto" w:fill="auto"/>
          </w:tcPr>
          <w:p w:rsidR="00B070BF" w:rsidRPr="009577DE" w:rsidRDefault="00B070BF" w:rsidP="00C33D4A">
            <w:pPr>
              <w:widowControl w:val="0"/>
              <w:rPr>
                <w:sz w:val="16"/>
                <w:szCs w:val="16"/>
                <w:lang w:val="es-ES_tradnl" w:bidi="th-TH"/>
              </w:rPr>
            </w:pPr>
            <w:r w:rsidRPr="009577DE">
              <w:rPr>
                <w:sz w:val="16"/>
                <w:szCs w:val="16"/>
                <w:lang w:val="es-ES_tradnl" w:bidi="th-TH"/>
              </w:rPr>
              <w:t>Porcentaje de encargados de la formulación de políticas, funcionarios gubernamentales y profesionales de la P.I. que entienden mejor las cuestiones de P.I., entre otras cosas, cómo utilizarla con eficacia en aras del desarrollo (Asia y el Pacífico).</w:t>
            </w:r>
          </w:p>
          <w:p w:rsidR="00B070BF" w:rsidRPr="009577DE" w:rsidRDefault="00B070BF" w:rsidP="00C33D4A">
            <w:pPr>
              <w:widowControl w:val="0"/>
              <w:rPr>
                <w:sz w:val="16"/>
                <w:szCs w:val="16"/>
                <w:lang w:val="es-ES_tradnl" w:bidi="th-TH"/>
              </w:rPr>
            </w:pPr>
          </w:p>
        </w:tc>
        <w:tc>
          <w:tcPr>
            <w:tcW w:w="887" w:type="pct"/>
            <w:shd w:val="clear" w:color="auto" w:fill="B3B3B3"/>
          </w:tcPr>
          <w:p w:rsidR="00B070BF" w:rsidRPr="009577DE" w:rsidRDefault="00B070BF" w:rsidP="00C33D4A">
            <w:pPr>
              <w:widowControl w:val="0"/>
              <w:jc w:val="both"/>
              <w:rPr>
                <w:sz w:val="16"/>
                <w:szCs w:val="16"/>
                <w:lang w:val="es-ES_tradnl" w:bidi="th-TH"/>
              </w:rPr>
            </w:pPr>
            <w:r w:rsidRPr="009577DE">
              <w:rPr>
                <w:sz w:val="16"/>
                <w:szCs w:val="16"/>
                <w:lang w:val="es-ES_tradnl" w:bidi="th-TH"/>
              </w:rPr>
              <w:t>No se dispone de datos.</w:t>
            </w:r>
          </w:p>
        </w:tc>
        <w:tc>
          <w:tcPr>
            <w:tcW w:w="885" w:type="pct"/>
            <w:shd w:val="clear" w:color="auto" w:fill="auto"/>
            <w:tcMar>
              <w:top w:w="110" w:type="dxa"/>
            </w:tcMar>
          </w:tcPr>
          <w:p w:rsidR="00B070BF" w:rsidRPr="009577DE" w:rsidRDefault="00B070BF" w:rsidP="00C33D4A">
            <w:pPr>
              <w:widowControl w:val="0"/>
              <w:rPr>
                <w:sz w:val="16"/>
                <w:szCs w:val="16"/>
                <w:lang w:val="es-ES_tradnl" w:bidi="th-TH"/>
              </w:rPr>
            </w:pPr>
          </w:p>
        </w:tc>
        <w:tc>
          <w:tcPr>
            <w:tcW w:w="1817" w:type="pct"/>
            <w:gridSpan w:val="2"/>
            <w:shd w:val="clear" w:color="auto" w:fill="FFFFFF"/>
            <w:tcMar>
              <w:top w:w="110" w:type="dxa"/>
            </w:tcMar>
          </w:tcPr>
          <w:p w:rsidR="00B070BF" w:rsidRPr="009577DE" w:rsidRDefault="00B070BF" w:rsidP="00C33D4A">
            <w:pPr>
              <w:widowControl w:val="0"/>
              <w:rPr>
                <w:sz w:val="16"/>
                <w:szCs w:val="16"/>
                <w:lang w:val="es-ES_tradnl" w:bidi="th-TH"/>
              </w:rPr>
            </w:pPr>
            <w:r w:rsidRPr="009577DE">
              <w:rPr>
                <w:sz w:val="16"/>
                <w:szCs w:val="16"/>
                <w:lang w:val="es-ES_tradnl" w:bidi="th-TH"/>
              </w:rPr>
              <w:t>Se espera que estén disponibles antes de finales de 2013.</w:t>
            </w:r>
          </w:p>
          <w:p w:rsidR="00B070BF" w:rsidRPr="009577DE" w:rsidRDefault="00B070BF" w:rsidP="00C33D4A">
            <w:pPr>
              <w:widowControl w:val="0"/>
              <w:rPr>
                <w:sz w:val="16"/>
                <w:szCs w:val="16"/>
                <w:lang w:val="es-ES_tradnl" w:bidi="th-TH"/>
              </w:rPr>
            </w:pPr>
          </w:p>
          <w:p w:rsidR="00B070BF" w:rsidRPr="009577DE" w:rsidRDefault="00B070BF" w:rsidP="00C33D4A">
            <w:pPr>
              <w:widowControl w:val="0"/>
              <w:rPr>
                <w:sz w:val="16"/>
                <w:szCs w:val="16"/>
                <w:lang w:val="es-ES_tradnl" w:bidi="th-TH"/>
              </w:rPr>
            </w:pPr>
            <w:r w:rsidRPr="009577DE">
              <w:rPr>
                <w:sz w:val="16"/>
                <w:szCs w:val="16"/>
                <w:lang w:val="es-ES_tradnl" w:bidi="th-TH"/>
              </w:rPr>
              <w:t>(Los datos obtenidos se basan principalmente en cuestionarios de evaluación a los que se respondió al final de varios seminarios;  se están modificando estos cuestionarios a fin de permitir la extracción de datos más específicos en 2013.)</w:t>
            </w:r>
          </w:p>
          <w:p w:rsidR="00B070BF" w:rsidRPr="009577DE" w:rsidRDefault="00B070BF" w:rsidP="00C33D4A">
            <w:pPr>
              <w:widowControl w:val="0"/>
              <w:rPr>
                <w:sz w:val="16"/>
                <w:szCs w:val="16"/>
                <w:lang w:val="es-ES_tradnl"/>
              </w:rPr>
            </w:pPr>
          </w:p>
        </w:tc>
        <w:tc>
          <w:tcPr>
            <w:tcW w:w="524" w:type="pct"/>
            <w:shd w:val="clear" w:color="auto" w:fill="auto"/>
          </w:tcPr>
          <w:p w:rsidR="00B070BF" w:rsidRPr="009577DE" w:rsidRDefault="00B070BF" w:rsidP="00C33D4A">
            <w:pPr>
              <w:widowControl w:val="0"/>
              <w:jc w:val="center"/>
              <w:rPr>
                <w:b/>
                <w:bCs/>
                <w:sz w:val="16"/>
                <w:szCs w:val="16"/>
                <w:lang w:val="es-ES_tradnl"/>
              </w:rPr>
            </w:pPr>
            <w:r w:rsidRPr="009577DE">
              <w:rPr>
                <w:b/>
                <w:bCs/>
                <w:sz w:val="16"/>
                <w:szCs w:val="16"/>
                <w:lang w:val="es-ES_tradnl"/>
              </w:rPr>
              <w:t>No disponible para 2012</w:t>
            </w:r>
          </w:p>
          <w:p w:rsidR="00B070BF" w:rsidRPr="009577DE" w:rsidRDefault="00B070BF" w:rsidP="00C33D4A">
            <w:pPr>
              <w:widowControl w:val="0"/>
              <w:jc w:val="center"/>
              <w:rPr>
                <w:bCs/>
                <w:sz w:val="16"/>
                <w:szCs w:val="16"/>
                <w:lang w:val="es-ES_tradnl"/>
              </w:rPr>
            </w:pPr>
          </w:p>
          <w:p w:rsidR="00B070BF" w:rsidRPr="009577DE" w:rsidRDefault="00B070BF" w:rsidP="00C33D4A">
            <w:pPr>
              <w:widowControl w:val="0"/>
              <w:jc w:val="center"/>
              <w:rPr>
                <w:bCs/>
                <w:sz w:val="16"/>
                <w:szCs w:val="16"/>
                <w:lang w:val="es-ES_tradnl"/>
              </w:rPr>
            </w:pPr>
          </w:p>
        </w:tc>
      </w:tr>
      <w:tr w:rsidR="00B070BF" w:rsidRPr="009577DE" w:rsidTr="00C33D4A">
        <w:trPr>
          <w:cantSplit/>
        </w:trPr>
        <w:tc>
          <w:tcPr>
            <w:tcW w:w="887" w:type="pct"/>
            <w:shd w:val="clear" w:color="auto" w:fill="FFFFFF"/>
          </w:tcPr>
          <w:p w:rsidR="00B070BF" w:rsidRPr="009577DE" w:rsidRDefault="00B070BF" w:rsidP="00C33D4A">
            <w:pPr>
              <w:widowControl w:val="0"/>
              <w:rPr>
                <w:sz w:val="16"/>
                <w:szCs w:val="16"/>
                <w:lang w:val="es-ES_tradnl" w:bidi="th-TH"/>
              </w:rPr>
            </w:pPr>
            <w:r w:rsidRPr="009577DE">
              <w:rPr>
                <w:sz w:val="16"/>
                <w:szCs w:val="16"/>
                <w:lang w:val="es-ES_tradnl" w:bidi="th-TH"/>
              </w:rPr>
              <w:t>Número de formadores en P.I./expertos nacionales (América Latina y el Caribe).</w:t>
            </w:r>
          </w:p>
          <w:p w:rsidR="00B070BF" w:rsidRPr="009577DE" w:rsidRDefault="00B070BF" w:rsidP="00C33D4A">
            <w:pPr>
              <w:widowControl w:val="0"/>
              <w:rPr>
                <w:sz w:val="16"/>
                <w:szCs w:val="16"/>
                <w:lang w:val="es-ES_tradnl" w:bidi="th-TH"/>
              </w:rPr>
            </w:pPr>
          </w:p>
        </w:tc>
        <w:tc>
          <w:tcPr>
            <w:tcW w:w="887" w:type="pct"/>
            <w:shd w:val="clear" w:color="auto" w:fill="C0C0C0"/>
          </w:tcPr>
          <w:p w:rsidR="00B070BF" w:rsidRPr="009577DE" w:rsidRDefault="00B070BF" w:rsidP="00C33D4A">
            <w:pPr>
              <w:widowControl w:val="0"/>
              <w:rPr>
                <w:sz w:val="16"/>
                <w:szCs w:val="16"/>
                <w:lang w:val="es-ES_tradnl" w:bidi="th-TH"/>
              </w:rPr>
            </w:pPr>
            <w:r w:rsidRPr="009577DE">
              <w:rPr>
                <w:sz w:val="16"/>
                <w:szCs w:val="16"/>
                <w:lang w:val="es-ES_tradnl" w:bidi="th-TH"/>
              </w:rPr>
              <w:t>151 expertos/formadores nacionales</w:t>
            </w:r>
          </w:p>
        </w:tc>
        <w:tc>
          <w:tcPr>
            <w:tcW w:w="885" w:type="pct"/>
            <w:shd w:val="clear" w:color="auto" w:fill="auto"/>
            <w:tcMar>
              <w:top w:w="110" w:type="dxa"/>
            </w:tcMar>
          </w:tcPr>
          <w:p w:rsidR="00B070BF" w:rsidRPr="009577DE" w:rsidRDefault="00B070BF" w:rsidP="00C33D4A">
            <w:pPr>
              <w:widowControl w:val="0"/>
              <w:rPr>
                <w:sz w:val="16"/>
                <w:szCs w:val="16"/>
                <w:lang w:val="es-ES_tradnl" w:bidi="th-TH"/>
              </w:rPr>
            </w:pPr>
          </w:p>
        </w:tc>
        <w:tc>
          <w:tcPr>
            <w:tcW w:w="1817" w:type="pct"/>
            <w:gridSpan w:val="2"/>
            <w:shd w:val="clear" w:color="auto" w:fill="FFFFFF"/>
            <w:tcMar>
              <w:top w:w="110" w:type="dxa"/>
            </w:tcMar>
          </w:tcPr>
          <w:p w:rsidR="00B070BF" w:rsidRPr="009577DE" w:rsidRDefault="00B070BF" w:rsidP="00C33D4A">
            <w:pPr>
              <w:widowControl w:val="0"/>
              <w:rPr>
                <w:sz w:val="16"/>
                <w:szCs w:val="16"/>
                <w:lang w:val="es-ES_tradnl" w:bidi="th-TH"/>
              </w:rPr>
            </w:pPr>
            <w:r w:rsidRPr="009577DE">
              <w:rPr>
                <w:sz w:val="16"/>
                <w:szCs w:val="16"/>
                <w:lang w:val="es-ES_tradnl" w:bidi="th-TH"/>
              </w:rPr>
              <w:t>80 nuevos expertos/formadores (131 expertos/formadores en total)</w:t>
            </w:r>
          </w:p>
          <w:p w:rsidR="00B070BF" w:rsidRPr="009577DE" w:rsidRDefault="00B070BF" w:rsidP="00C33D4A">
            <w:pPr>
              <w:widowControl w:val="0"/>
              <w:rPr>
                <w:sz w:val="16"/>
                <w:szCs w:val="16"/>
                <w:lang w:val="es-ES_tradnl" w:bidi="th-TH"/>
              </w:rPr>
            </w:pPr>
          </w:p>
          <w:p w:rsidR="00B070BF" w:rsidRPr="009577DE" w:rsidRDefault="00B070BF" w:rsidP="00C33D4A">
            <w:pPr>
              <w:widowControl w:val="0"/>
              <w:rPr>
                <w:sz w:val="16"/>
                <w:szCs w:val="16"/>
                <w:lang w:val="es-ES_tradnl" w:bidi="th-TH"/>
              </w:rPr>
            </w:pPr>
          </w:p>
          <w:p w:rsidR="00B070BF" w:rsidRPr="009577DE" w:rsidRDefault="00B070BF" w:rsidP="00C33D4A">
            <w:pPr>
              <w:widowControl w:val="0"/>
              <w:rPr>
                <w:sz w:val="16"/>
                <w:szCs w:val="16"/>
                <w:lang w:val="es-ES_tradnl" w:bidi="th-TH"/>
              </w:rPr>
            </w:pPr>
          </w:p>
        </w:tc>
        <w:tc>
          <w:tcPr>
            <w:tcW w:w="524" w:type="pct"/>
            <w:shd w:val="clear" w:color="auto" w:fill="auto"/>
            <w:tcMar>
              <w:top w:w="110" w:type="dxa"/>
            </w:tcMar>
          </w:tcPr>
          <w:p w:rsidR="00B070BF" w:rsidRPr="009577DE" w:rsidRDefault="00B070BF" w:rsidP="00C33D4A">
            <w:pPr>
              <w:widowControl w:val="0"/>
              <w:jc w:val="center"/>
              <w:rPr>
                <w:b/>
                <w:bCs/>
                <w:sz w:val="16"/>
                <w:szCs w:val="16"/>
                <w:lang w:val="es-ES_tradnl"/>
              </w:rPr>
            </w:pPr>
            <w:r w:rsidRPr="009577DE">
              <w:rPr>
                <w:b/>
                <w:bCs/>
                <w:color w:val="008000"/>
                <w:sz w:val="16"/>
                <w:szCs w:val="16"/>
                <w:lang w:val="es-ES_tradnl"/>
              </w:rPr>
              <w:t>Progresa con normalidad</w:t>
            </w:r>
          </w:p>
          <w:p w:rsidR="00B070BF" w:rsidRPr="009577DE" w:rsidRDefault="00B070BF" w:rsidP="00C33D4A">
            <w:pPr>
              <w:widowControl w:val="0"/>
              <w:jc w:val="center"/>
              <w:rPr>
                <w:bCs/>
                <w:sz w:val="16"/>
                <w:szCs w:val="16"/>
                <w:lang w:val="es-ES_tradnl"/>
              </w:rPr>
            </w:pPr>
          </w:p>
          <w:p w:rsidR="00B070BF" w:rsidRPr="009577DE" w:rsidRDefault="00B070BF" w:rsidP="00C33D4A">
            <w:pPr>
              <w:widowControl w:val="0"/>
              <w:jc w:val="center"/>
              <w:rPr>
                <w:bCs/>
                <w:sz w:val="16"/>
                <w:szCs w:val="16"/>
                <w:lang w:val="es-ES_tradnl"/>
              </w:rPr>
            </w:pPr>
          </w:p>
          <w:p w:rsidR="00B070BF" w:rsidRPr="009577DE" w:rsidRDefault="00B070BF" w:rsidP="00C33D4A">
            <w:pPr>
              <w:widowControl w:val="0"/>
              <w:jc w:val="center"/>
              <w:rPr>
                <w:bCs/>
                <w:sz w:val="16"/>
                <w:szCs w:val="16"/>
                <w:lang w:val="es-ES_tradnl"/>
              </w:rPr>
            </w:pPr>
          </w:p>
        </w:tc>
      </w:tr>
      <w:tr w:rsidR="00B070BF" w:rsidRPr="009577DE" w:rsidTr="00C33D4A">
        <w:trPr>
          <w:cantSplit/>
        </w:trPr>
        <w:tc>
          <w:tcPr>
            <w:tcW w:w="887" w:type="pct"/>
            <w:shd w:val="clear" w:color="auto" w:fill="auto"/>
          </w:tcPr>
          <w:p w:rsidR="00B070BF" w:rsidRPr="009577DE" w:rsidRDefault="00B070BF" w:rsidP="00C33D4A">
            <w:pPr>
              <w:widowControl w:val="0"/>
              <w:rPr>
                <w:sz w:val="16"/>
                <w:szCs w:val="16"/>
                <w:lang w:val="es-ES_tradnl" w:bidi="th-TH"/>
              </w:rPr>
            </w:pPr>
            <w:r w:rsidRPr="009577DE">
              <w:rPr>
                <w:sz w:val="16"/>
                <w:szCs w:val="16"/>
                <w:lang w:val="es-ES_tradnl" w:bidi="th-TH"/>
              </w:rPr>
              <w:lastRenderedPageBreak/>
              <w:t>Número de programas nacionales de formación estructurados (América Latina y el Caribe).</w:t>
            </w:r>
          </w:p>
          <w:p w:rsidR="00B070BF" w:rsidRPr="009577DE" w:rsidRDefault="00B070BF" w:rsidP="00C33D4A">
            <w:pPr>
              <w:widowControl w:val="0"/>
              <w:rPr>
                <w:sz w:val="16"/>
                <w:szCs w:val="16"/>
                <w:lang w:val="es-ES_tradnl" w:bidi="th-TH"/>
              </w:rPr>
            </w:pPr>
          </w:p>
        </w:tc>
        <w:tc>
          <w:tcPr>
            <w:tcW w:w="887" w:type="pct"/>
            <w:shd w:val="clear" w:color="auto" w:fill="B3B3B3"/>
          </w:tcPr>
          <w:p w:rsidR="00B070BF" w:rsidRPr="009577DE" w:rsidRDefault="00B070BF" w:rsidP="00C33D4A">
            <w:pPr>
              <w:widowControl w:val="0"/>
              <w:rPr>
                <w:sz w:val="16"/>
                <w:szCs w:val="16"/>
                <w:lang w:val="es-ES_tradnl" w:bidi="th-TH"/>
              </w:rPr>
            </w:pPr>
            <w:r w:rsidRPr="009577DE">
              <w:rPr>
                <w:sz w:val="16"/>
                <w:szCs w:val="16"/>
                <w:lang w:val="es-ES_tradnl" w:bidi="th-TH"/>
              </w:rPr>
              <w:t>31 programas nacionales</w:t>
            </w:r>
          </w:p>
        </w:tc>
        <w:tc>
          <w:tcPr>
            <w:tcW w:w="885" w:type="pct"/>
            <w:shd w:val="clear" w:color="auto" w:fill="auto"/>
            <w:tcMar>
              <w:top w:w="110" w:type="dxa"/>
            </w:tcMar>
          </w:tcPr>
          <w:p w:rsidR="00B070BF" w:rsidRPr="00D44D8F" w:rsidRDefault="00B070BF" w:rsidP="00C33D4A">
            <w:pPr>
              <w:widowControl w:val="0"/>
              <w:rPr>
                <w:color w:val="993300"/>
                <w:sz w:val="16"/>
                <w:szCs w:val="16"/>
                <w:lang w:val="es-ES_tradnl" w:bidi="th-TH"/>
              </w:rPr>
            </w:pPr>
            <w:r w:rsidRPr="00D44D8F">
              <w:rPr>
                <w:color w:val="993300"/>
                <w:sz w:val="16"/>
                <w:szCs w:val="16"/>
                <w:lang w:val="es-ES_tradnl" w:bidi="th-TH"/>
              </w:rPr>
              <w:t xml:space="preserve">31 actividades (no programas nacionales) </w:t>
            </w:r>
          </w:p>
        </w:tc>
        <w:tc>
          <w:tcPr>
            <w:tcW w:w="1817" w:type="pct"/>
            <w:gridSpan w:val="2"/>
            <w:shd w:val="clear" w:color="auto" w:fill="FFFFFF"/>
            <w:tcMar>
              <w:top w:w="110" w:type="dxa"/>
            </w:tcMar>
          </w:tcPr>
          <w:p w:rsidR="00B070BF" w:rsidRPr="009577DE" w:rsidRDefault="00B070BF" w:rsidP="00C33D4A">
            <w:pPr>
              <w:widowControl w:val="0"/>
              <w:rPr>
                <w:sz w:val="16"/>
                <w:szCs w:val="16"/>
                <w:lang w:val="es-ES_tradnl" w:bidi="th-TH"/>
              </w:rPr>
            </w:pPr>
            <w:r w:rsidRPr="009577DE">
              <w:rPr>
                <w:sz w:val="16"/>
                <w:szCs w:val="16"/>
                <w:lang w:val="es-ES_tradnl" w:bidi="th-TH"/>
              </w:rPr>
              <w:t>45 actividades nacionales</w:t>
            </w:r>
          </w:p>
          <w:p w:rsidR="00B070BF" w:rsidRPr="009577DE" w:rsidRDefault="00B070BF" w:rsidP="00C33D4A">
            <w:pPr>
              <w:widowControl w:val="0"/>
              <w:rPr>
                <w:sz w:val="16"/>
                <w:szCs w:val="16"/>
                <w:lang w:val="es-ES_tradnl" w:bidi="th-TH"/>
              </w:rPr>
            </w:pPr>
          </w:p>
          <w:p w:rsidR="00B070BF" w:rsidRPr="009577DE" w:rsidRDefault="00B070BF" w:rsidP="00C33D4A">
            <w:pPr>
              <w:widowControl w:val="0"/>
              <w:rPr>
                <w:sz w:val="16"/>
                <w:szCs w:val="16"/>
                <w:lang w:val="es-ES_tradnl" w:bidi="th-TH"/>
              </w:rPr>
            </w:pPr>
          </w:p>
        </w:tc>
        <w:tc>
          <w:tcPr>
            <w:tcW w:w="524" w:type="pct"/>
            <w:shd w:val="clear" w:color="auto" w:fill="auto"/>
          </w:tcPr>
          <w:p w:rsidR="00B070BF" w:rsidRPr="009577DE" w:rsidRDefault="00B070BF" w:rsidP="00C33D4A">
            <w:pPr>
              <w:widowControl w:val="0"/>
              <w:jc w:val="center"/>
              <w:rPr>
                <w:b/>
                <w:bCs/>
                <w:sz w:val="16"/>
                <w:szCs w:val="16"/>
                <w:lang w:val="es-ES_tradnl"/>
              </w:rPr>
            </w:pPr>
            <w:r w:rsidRPr="009577DE">
              <w:rPr>
                <w:b/>
                <w:bCs/>
                <w:color w:val="008000"/>
                <w:sz w:val="16"/>
                <w:szCs w:val="16"/>
                <w:lang w:val="es-ES_tradnl"/>
              </w:rPr>
              <w:t>Progresa con normalidad</w:t>
            </w:r>
          </w:p>
          <w:p w:rsidR="00B070BF" w:rsidRPr="009577DE" w:rsidRDefault="00B070BF" w:rsidP="00C33D4A">
            <w:pPr>
              <w:widowControl w:val="0"/>
              <w:jc w:val="center"/>
              <w:rPr>
                <w:bCs/>
                <w:sz w:val="16"/>
                <w:szCs w:val="16"/>
                <w:lang w:val="es-ES_tradnl"/>
              </w:rPr>
            </w:pPr>
          </w:p>
          <w:p w:rsidR="00B070BF" w:rsidRPr="009577DE" w:rsidRDefault="00B070BF" w:rsidP="00C33D4A">
            <w:pPr>
              <w:widowControl w:val="0"/>
              <w:jc w:val="center"/>
              <w:rPr>
                <w:bCs/>
                <w:sz w:val="16"/>
                <w:szCs w:val="16"/>
                <w:lang w:val="es-ES_tradnl"/>
              </w:rPr>
            </w:pPr>
          </w:p>
          <w:p w:rsidR="00B070BF" w:rsidRPr="009577DE" w:rsidRDefault="00B070BF" w:rsidP="00C33D4A">
            <w:pPr>
              <w:widowControl w:val="0"/>
              <w:jc w:val="center"/>
              <w:rPr>
                <w:bCs/>
                <w:sz w:val="16"/>
                <w:szCs w:val="16"/>
                <w:lang w:val="es-ES_tradnl"/>
              </w:rPr>
            </w:pPr>
          </w:p>
        </w:tc>
      </w:tr>
      <w:tr w:rsidR="00B070BF" w:rsidRPr="009577DE" w:rsidTr="00C33D4A">
        <w:trPr>
          <w:cantSplit/>
        </w:trPr>
        <w:tc>
          <w:tcPr>
            <w:tcW w:w="887" w:type="pct"/>
            <w:shd w:val="clear" w:color="auto" w:fill="auto"/>
          </w:tcPr>
          <w:p w:rsidR="00B070BF" w:rsidRPr="009577DE" w:rsidRDefault="00B070BF" w:rsidP="00C33D4A">
            <w:pPr>
              <w:widowControl w:val="0"/>
              <w:rPr>
                <w:sz w:val="16"/>
                <w:szCs w:val="16"/>
                <w:lang w:val="es-ES_tradnl" w:bidi="th-TH"/>
              </w:rPr>
            </w:pPr>
            <w:r w:rsidRPr="009577DE">
              <w:rPr>
                <w:sz w:val="16"/>
                <w:szCs w:val="16"/>
                <w:lang w:val="es-ES_tradnl" w:bidi="th-TH"/>
              </w:rPr>
              <w:t>Número de países en los que se han evaluado las necesidades de asistencia técnica y fortalecimiento de las capacidades (PMA).</w:t>
            </w:r>
          </w:p>
        </w:tc>
        <w:tc>
          <w:tcPr>
            <w:tcW w:w="887" w:type="pct"/>
            <w:shd w:val="clear" w:color="auto" w:fill="B3B3B3"/>
          </w:tcPr>
          <w:p w:rsidR="00B070BF" w:rsidRPr="009577DE" w:rsidRDefault="00B070BF" w:rsidP="00C33D4A">
            <w:pPr>
              <w:widowControl w:val="0"/>
              <w:rPr>
                <w:sz w:val="16"/>
                <w:szCs w:val="16"/>
                <w:lang w:val="es-ES_tradnl" w:bidi="th-TH"/>
              </w:rPr>
            </w:pPr>
            <w:r w:rsidRPr="009577DE">
              <w:rPr>
                <w:sz w:val="16"/>
                <w:szCs w:val="16"/>
                <w:lang w:val="es-ES_tradnl" w:bidi="th-TH"/>
              </w:rPr>
              <w:t>Evaluación de las necesidades de 5 PMA</w:t>
            </w:r>
          </w:p>
        </w:tc>
        <w:tc>
          <w:tcPr>
            <w:tcW w:w="885" w:type="pct"/>
            <w:shd w:val="clear" w:color="auto" w:fill="auto"/>
            <w:tcMar>
              <w:top w:w="110" w:type="dxa"/>
            </w:tcMar>
          </w:tcPr>
          <w:p w:rsidR="00B070BF" w:rsidRPr="009577DE" w:rsidRDefault="00B070BF" w:rsidP="00C33D4A">
            <w:pPr>
              <w:widowControl w:val="0"/>
              <w:rPr>
                <w:sz w:val="16"/>
                <w:szCs w:val="16"/>
                <w:lang w:val="es-ES_tradnl" w:bidi="th-TH"/>
              </w:rPr>
            </w:pPr>
          </w:p>
        </w:tc>
        <w:tc>
          <w:tcPr>
            <w:tcW w:w="1817" w:type="pct"/>
            <w:gridSpan w:val="2"/>
            <w:shd w:val="clear" w:color="auto" w:fill="FFFFFF"/>
            <w:tcMar>
              <w:top w:w="110" w:type="dxa"/>
            </w:tcMar>
          </w:tcPr>
          <w:p w:rsidR="00B070BF" w:rsidRPr="009577DE" w:rsidRDefault="00B070BF" w:rsidP="00C33D4A">
            <w:pPr>
              <w:widowControl w:val="0"/>
              <w:rPr>
                <w:sz w:val="16"/>
                <w:szCs w:val="16"/>
                <w:lang w:val="es-ES_tradnl" w:bidi="th-TH"/>
              </w:rPr>
            </w:pPr>
            <w:r w:rsidRPr="009577DE">
              <w:rPr>
                <w:sz w:val="16"/>
                <w:szCs w:val="16"/>
                <w:lang w:val="es-ES_tradnl" w:bidi="th-TH"/>
              </w:rPr>
              <w:t xml:space="preserve">25 PMA </w:t>
            </w:r>
          </w:p>
          <w:p w:rsidR="00B070BF" w:rsidRPr="009577DE" w:rsidRDefault="00B070BF" w:rsidP="00C33D4A">
            <w:pPr>
              <w:widowControl w:val="0"/>
              <w:rPr>
                <w:sz w:val="16"/>
                <w:szCs w:val="16"/>
                <w:lang w:val="es-ES_tradnl" w:bidi="th-TH"/>
              </w:rPr>
            </w:pPr>
          </w:p>
          <w:p w:rsidR="00B070BF" w:rsidRPr="009577DE" w:rsidRDefault="00B070BF" w:rsidP="00B070BF">
            <w:pPr>
              <w:widowControl w:val="0"/>
              <w:numPr>
                <w:ilvl w:val="0"/>
                <w:numId w:val="48"/>
              </w:numPr>
              <w:rPr>
                <w:sz w:val="16"/>
                <w:szCs w:val="16"/>
                <w:lang w:val="es-ES_tradnl"/>
              </w:rPr>
            </w:pPr>
            <w:r w:rsidRPr="009577DE">
              <w:rPr>
                <w:b/>
                <w:sz w:val="16"/>
                <w:szCs w:val="16"/>
                <w:lang w:val="es-ES_tradnl" w:bidi="th-TH"/>
              </w:rPr>
              <w:t>África</w:t>
            </w:r>
            <w:r w:rsidRPr="009577DE">
              <w:rPr>
                <w:sz w:val="16"/>
                <w:szCs w:val="16"/>
                <w:lang w:val="es-ES_tradnl" w:bidi="th-TH"/>
              </w:rPr>
              <w:t xml:space="preserve">:  </w:t>
            </w:r>
            <w:r w:rsidRPr="009577DE">
              <w:rPr>
                <w:sz w:val="16"/>
                <w:szCs w:val="16"/>
                <w:lang w:val="es-ES_tradnl"/>
              </w:rPr>
              <w:t xml:space="preserve">Gambia,  </w:t>
            </w:r>
            <w:proofErr w:type="spellStart"/>
            <w:r w:rsidRPr="009577DE">
              <w:rPr>
                <w:sz w:val="16"/>
                <w:szCs w:val="16"/>
                <w:lang w:val="es-ES_tradnl"/>
              </w:rPr>
              <w:t>Lesotho</w:t>
            </w:r>
            <w:proofErr w:type="spellEnd"/>
            <w:r w:rsidRPr="009577DE">
              <w:rPr>
                <w:sz w:val="16"/>
                <w:szCs w:val="16"/>
                <w:lang w:val="es-ES_tradnl"/>
              </w:rPr>
              <w:t xml:space="preserve">, Malawi, Mozambique, República Unida de </w:t>
            </w:r>
            <w:proofErr w:type="spellStart"/>
            <w:r w:rsidRPr="009577DE">
              <w:rPr>
                <w:sz w:val="16"/>
                <w:szCs w:val="16"/>
                <w:lang w:val="es-ES_tradnl"/>
              </w:rPr>
              <w:t>Tanzanía</w:t>
            </w:r>
            <w:proofErr w:type="spellEnd"/>
            <w:r w:rsidRPr="009577DE">
              <w:rPr>
                <w:sz w:val="16"/>
                <w:szCs w:val="16"/>
                <w:lang w:val="es-ES_tradnl"/>
              </w:rPr>
              <w:t xml:space="preserve">, </w:t>
            </w:r>
            <w:proofErr w:type="spellStart"/>
            <w:r w:rsidRPr="009577DE">
              <w:rPr>
                <w:sz w:val="16"/>
                <w:szCs w:val="16"/>
                <w:lang w:val="es-ES_tradnl"/>
              </w:rPr>
              <w:t>Rwanda</w:t>
            </w:r>
            <w:proofErr w:type="spellEnd"/>
            <w:r w:rsidRPr="009577DE">
              <w:rPr>
                <w:sz w:val="16"/>
                <w:szCs w:val="16"/>
                <w:lang w:val="es-ES_tradnl"/>
              </w:rPr>
              <w:t xml:space="preserve">, Sierra Leona, Sudán, Uganda, Zambia, Etiopía, </w:t>
            </w:r>
            <w:proofErr w:type="spellStart"/>
            <w:r w:rsidRPr="009577DE">
              <w:rPr>
                <w:sz w:val="16"/>
                <w:szCs w:val="16"/>
                <w:lang w:val="es-ES_tradnl"/>
              </w:rPr>
              <w:t>Benin</w:t>
            </w:r>
            <w:proofErr w:type="spellEnd"/>
            <w:r w:rsidRPr="009577DE">
              <w:rPr>
                <w:sz w:val="16"/>
                <w:szCs w:val="16"/>
                <w:lang w:val="es-ES_tradnl"/>
              </w:rPr>
              <w:t xml:space="preserve">, Burkina Faso, Burundi, Guinea, Madagascar, Malí, Mauritania, Níger, República Centroafricana, Senegal, Chad y Togo.  </w:t>
            </w:r>
          </w:p>
          <w:p w:rsidR="00B070BF" w:rsidRPr="009577DE" w:rsidRDefault="00B070BF" w:rsidP="00C33D4A">
            <w:pPr>
              <w:widowControl w:val="0"/>
              <w:rPr>
                <w:sz w:val="16"/>
                <w:szCs w:val="16"/>
                <w:lang w:val="es-ES_tradnl"/>
              </w:rPr>
            </w:pPr>
          </w:p>
          <w:p w:rsidR="00B070BF" w:rsidRPr="009577DE" w:rsidRDefault="00B070BF" w:rsidP="00B070BF">
            <w:pPr>
              <w:widowControl w:val="0"/>
              <w:numPr>
                <w:ilvl w:val="0"/>
                <w:numId w:val="48"/>
              </w:numPr>
              <w:rPr>
                <w:sz w:val="16"/>
                <w:szCs w:val="16"/>
                <w:lang w:val="es-ES_tradnl"/>
              </w:rPr>
            </w:pPr>
            <w:r w:rsidRPr="009577DE">
              <w:rPr>
                <w:b/>
                <w:sz w:val="16"/>
                <w:szCs w:val="16"/>
                <w:lang w:val="es-ES_tradnl"/>
              </w:rPr>
              <w:t>Asia y el Pacífico</w:t>
            </w:r>
            <w:r w:rsidRPr="009577DE">
              <w:rPr>
                <w:sz w:val="16"/>
                <w:szCs w:val="16"/>
                <w:lang w:val="es-ES_tradnl"/>
              </w:rPr>
              <w:t>:  Bangladesh y Nepal</w:t>
            </w:r>
          </w:p>
          <w:p w:rsidR="00B070BF" w:rsidRPr="009577DE" w:rsidRDefault="00B070BF" w:rsidP="00C33D4A">
            <w:pPr>
              <w:widowControl w:val="0"/>
              <w:rPr>
                <w:sz w:val="16"/>
                <w:szCs w:val="16"/>
                <w:lang w:val="es-ES_tradnl" w:bidi="th-TH"/>
              </w:rPr>
            </w:pPr>
          </w:p>
        </w:tc>
        <w:tc>
          <w:tcPr>
            <w:tcW w:w="524" w:type="pct"/>
            <w:shd w:val="clear" w:color="auto" w:fill="auto"/>
            <w:tcMar>
              <w:top w:w="110" w:type="dxa"/>
            </w:tcMar>
            <w:vAlign w:val="center"/>
          </w:tcPr>
          <w:p w:rsidR="00B070BF" w:rsidRPr="009577DE" w:rsidRDefault="00B070BF" w:rsidP="00C33D4A">
            <w:pPr>
              <w:widowControl w:val="0"/>
              <w:jc w:val="center"/>
              <w:rPr>
                <w:b/>
                <w:bCs/>
                <w:sz w:val="16"/>
                <w:szCs w:val="16"/>
                <w:lang w:val="es-ES_tradnl"/>
              </w:rPr>
            </w:pPr>
            <w:r w:rsidRPr="009577DE">
              <w:rPr>
                <w:b/>
                <w:bCs/>
                <w:color w:val="008000"/>
                <w:sz w:val="16"/>
                <w:szCs w:val="16"/>
                <w:lang w:val="es-ES_tradnl"/>
              </w:rPr>
              <w:t>Progresa con normalidad</w:t>
            </w:r>
          </w:p>
          <w:p w:rsidR="00B070BF" w:rsidRPr="009577DE" w:rsidRDefault="00B070BF" w:rsidP="00C33D4A">
            <w:pPr>
              <w:widowControl w:val="0"/>
              <w:rPr>
                <w:b/>
                <w:bCs/>
                <w:sz w:val="16"/>
                <w:szCs w:val="16"/>
                <w:lang w:val="es-ES_tradnl"/>
              </w:rPr>
            </w:pPr>
          </w:p>
          <w:p w:rsidR="00B070BF" w:rsidRPr="009577DE" w:rsidRDefault="00B070BF" w:rsidP="00C33D4A">
            <w:pPr>
              <w:widowControl w:val="0"/>
              <w:rPr>
                <w:b/>
                <w:bCs/>
                <w:sz w:val="16"/>
                <w:szCs w:val="16"/>
                <w:lang w:val="es-ES_tradnl"/>
              </w:rPr>
            </w:pPr>
          </w:p>
          <w:p w:rsidR="00B070BF" w:rsidRPr="009577DE" w:rsidRDefault="00B070BF" w:rsidP="00C33D4A">
            <w:pPr>
              <w:widowControl w:val="0"/>
              <w:rPr>
                <w:b/>
                <w:bCs/>
                <w:sz w:val="16"/>
                <w:szCs w:val="16"/>
                <w:lang w:val="es-ES_tradnl"/>
              </w:rPr>
            </w:pPr>
          </w:p>
          <w:p w:rsidR="00B070BF" w:rsidRPr="009577DE" w:rsidRDefault="00B070BF" w:rsidP="00C33D4A">
            <w:pPr>
              <w:widowControl w:val="0"/>
              <w:rPr>
                <w:b/>
                <w:bCs/>
                <w:sz w:val="16"/>
                <w:szCs w:val="16"/>
                <w:lang w:val="es-ES_tradnl"/>
              </w:rPr>
            </w:pPr>
          </w:p>
          <w:p w:rsidR="00B070BF" w:rsidRPr="009577DE" w:rsidRDefault="00B070BF" w:rsidP="00C33D4A">
            <w:pPr>
              <w:widowControl w:val="0"/>
              <w:rPr>
                <w:b/>
                <w:bCs/>
                <w:sz w:val="16"/>
                <w:szCs w:val="16"/>
                <w:lang w:val="es-ES_tradnl"/>
              </w:rPr>
            </w:pPr>
          </w:p>
          <w:p w:rsidR="00B070BF" w:rsidRPr="009577DE" w:rsidRDefault="00B070BF" w:rsidP="00C33D4A">
            <w:pPr>
              <w:widowControl w:val="0"/>
              <w:rPr>
                <w:b/>
                <w:bCs/>
                <w:sz w:val="16"/>
                <w:szCs w:val="16"/>
                <w:lang w:val="es-ES_tradnl"/>
              </w:rPr>
            </w:pPr>
          </w:p>
          <w:p w:rsidR="00B070BF" w:rsidRPr="009577DE" w:rsidRDefault="00B070BF" w:rsidP="00C33D4A">
            <w:pPr>
              <w:widowControl w:val="0"/>
              <w:rPr>
                <w:b/>
                <w:bCs/>
                <w:sz w:val="16"/>
                <w:szCs w:val="16"/>
                <w:lang w:val="es-ES_tradnl"/>
              </w:rPr>
            </w:pPr>
          </w:p>
          <w:p w:rsidR="00B070BF" w:rsidRPr="009577DE" w:rsidRDefault="00B070BF" w:rsidP="00C33D4A">
            <w:pPr>
              <w:widowControl w:val="0"/>
              <w:rPr>
                <w:b/>
                <w:bCs/>
                <w:sz w:val="16"/>
                <w:szCs w:val="16"/>
                <w:lang w:val="es-ES_tradnl"/>
              </w:rPr>
            </w:pPr>
          </w:p>
          <w:p w:rsidR="00B070BF" w:rsidRPr="009577DE" w:rsidRDefault="00B070BF" w:rsidP="00C33D4A">
            <w:pPr>
              <w:widowControl w:val="0"/>
              <w:rPr>
                <w:b/>
                <w:bCs/>
                <w:sz w:val="16"/>
                <w:szCs w:val="16"/>
                <w:lang w:val="es-ES_tradnl"/>
              </w:rPr>
            </w:pPr>
          </w:p>
          <w:p w:rsidR="00B070BF" w:rsidRPr="009577DE" w:rsidRDefault="00B070BF" w:rsidP="00C33D4A">
            <w:pPr>
              <w:widowControl w:val="0"/>
              <w:jc w:val="center"/>
              <w:rPr>
                <w:bCs/>
                <w:sz w:val="16"/>
                <w:szCs w:val="16"/>
                <w:lang w:val="es-ES_tradnl"/>
              </w:rPr>
            </w:pPr>
          </w:p>
          <w:p w:rsidR="00B070BF" w:rsidRPr="009577DE" w:rsidRDefault="00B070BF" w:rsidP="00C33D4A">
            <w:pPr>
              <w:widowControl w:val="0"/>
              <w:spacing w:after="120"/>
              <w:jc w:val="center"/>
              <w:rPr>
                <w:bCs/>
                <w:sz w:val="16"/>
                <w:szCs w:val="16"/>
                <w:lang w:val="es-ES_tradnl"/>
              </w:rPr>
            </w:pPr>
          </w:p>
        </w:tc>
      </w:tr>
      <w:tr w:rsidR="00B070BF" w:rsidRPr="009577DE" w:rsidTr="00C33D4A">
        <w:trPr>
          <w:cantSplit/>
        </w:trPr>
        <w:tc>
          <w:tcPr>
            <w:tcW w:w="887" w:type="pct"/>
            <w:shd w:val="clear" w:color="auto" w:fill="auto"/>
          </w:tcPr>
          <w:p w:rsidR="00B070BF" w:rsidRPr="009577DE" w:rsidRDefault="00B070BF" w:rsidP="00C33D4A">
            <w:pPr>
              <w:widowControl w:val="0"/>
              <w:rPr>
                <w:sz w:val="16"/>
                <w:szCs w:val="16"/>
                <w:lang w:val="es-ES_tradnl" w:bidi="th-TH"/>
              </w:rPr>
            </w:pPr>
            <w:r w:rsidRPr="009577DE">
              <w:rPr>
                <w:sz w:val="16"/>
                <w:szCs w:val="16"/>
                <w:lang w:val="es-ES_tradnl" w:bidi="th-TH"/>
              </w:rPr>
              <w:t>Número de estudiantes/participantes por año y distribución geográfica (PMA).</w:t>
            </w:r>
          </w:p>
          <w:p w:rsidR="00B070BF" w:rsidRPr="009577DE" w:rsidRDefault="00B070BF" w:rsidP="00C33D4A">
            <w:pPr>
              <w:widowControl w:val="0"/>
              <w:rPr>
                <w:sz w:val="16"/>
                <w:szCs w:val="16"/>
                <w:lang w:val="es-ES_tradnl" w:bidi="th-TH"/>
              </w:rPr>
            </w:pPr>
          </w:p>
        </w:tc>
        <w:tc>
          <w:tcPr>
            <w:tcW w:w="887" w:type="pct"/>
            <w:shd w:val="clear" w:color="auto" w:fill="B3B3B3"/>
          </w:tcPr>
          <w:p w:rsidR="00B070BF" w:rsidRPr="009577DE" w:rsidRDefault="00B070BF" w:rsidP="00C33D4A">
            <w:pPr>
              <w:widowControl w:val="0"/>
              <w:rPr>
                <w:sz w:val="16"/>
                <w:szCs w:val="16"/>
                <w:lang w:val="es-ES_tradnl" w:bidi="th-TH"/>
              </w:rPr>
            </w:pPr>
            <w:r w:rsidRPr="009577DE">
              <w:rPr>
                <w:sz w:val="16"/>
                <w:szCs w:val="16"/>
                <w:lang w:val="es-ES_tradnl" w:bidi="th-TH"/>
              </w:rPr>
              <w:t xml:space="preserve">Un total de 502 estudiantes/participantes en todas las regiones. </w:t>
            </w:r>
          </w:p>
        </w:tc>
        <w:tc>
          <w:tcPr>
            <w:tcW w:w="885" w:type="pct"/>
            <w:shd w:val="clear" w:color="auto" w:fill="auto"/>
            <w:tcMar>
              <w:top w:w="110" w:type="dxa"/>
            </w:tcMar>
          </w:tcPr>
          <w:p w:rsidR="00B070BF" w:rsidRPr="009577DE" w:rsidRDefault="00B070BF" w:rsidP="00C33D4A">
            <w:pPr>
              <w:widowControl w:val="0"/>
              <w:rPr>
                <w:sz w:val="16"/>
                <w:szCs w:val="16"/>
                <w:lang w:val="es-ES_tradnl" w:bidi="th-TH"/>
              </w:rPr>
            </w:pPr>
          </w:p>
        </w:tc>
        <w:tc>
          <w:tcPr>
            <w:tcW w:w="1817" w:type="pct"/>
            <w:gridSpan w:val="2"/>
            <w:shd w:val="clear" w:color="auto" w:fill="FFFFFF"/>
            <w:tcMar>
              <w:top w:w="110" w:type="dxa"/>
            </w:tcMar>
          </w:tcPr>
          <w:p w:rsidR="00B070BF" w:rsidRPr="009577DE" w:rsidRDefault="00B070BF" w:rsidP="00C33D4A">
            <w:pPr>
              <w:widowControl w:val="0"/>
              <w:rPr>
                <w:sz w:val="16"/>
                <w:szCs w:val="16"/>
                <w:lang w:val="es-ES_tradnl" w:bidi="th-TH"/>
              </w:rPr>
            </w:pPr>
            <w:r w:rsidRPr="009577DE">
              <w:rPr>
                <w:sz w:val="16"/>
                <w:szCs w:val="16"/>
                <w:lang w:val="es-ES_tradnl" w:bidi="th-TH"/>
              </w:rPr>
              <w:t>Un total de 1.065 estudiantes/participantes de todas las regiones (23 PMA de África y 5 PMA de Asia).</w:t>
            </w:r>
          </w:p>
          <w:p w:rsidR="00B070BF" w:rsidRPr="009577DE" w:rsidRDefault="00B070BF" w:rsidP="00C33D4A">
            <w:pPr>
              <w:widowControl w:val="0"/>
              <w:rPr>
                <w:sz w:val="16"/>
                <w:szCs w:val="16"/>
                <w:lang w:val="es-ES_tradnl"/>
              </w:rPr>
            </w:pPr>
          </w:p>
        </w:tc>
        <w:tc>
          <w:tcPr>
            <w:tcW w:w="524" w:type="pct"/>
            <w:shd w:val="clear" w:color="auto" w:fill="auto"/>
          </w:tcPr>
          <w:p w:rsidR="00B070BF" w:rsidRPr="009577DE" w:rsidRDefault="00B070BF" w:rsidP="00C33D4A">
            <w:pPr>
              <w:widowControl w:val="0"/>
              <w:jc w:val="center"/>
              <w:rPr>
                <w:b/>
                <w:bCs/>
                <w:sz w:val="16"/>
                <w:szCs w:val="16"/>
                <w:lang w:val="es-ES_tradnl"/>
              </w:rPr>
            </w:pPr>
            <w:r w:rsidRPr="009577DE">
              <w:rPr>
                <w:b/>
                <w:bCs/>
                <w:color w:val="008000"/>
                <w:sz w:val="16"/>
                <w:szCs w:val="16"/>
                <w:lang w:val="es-ES_tradnl"/>
              </w:rPr>
              <w:t>Progresa con normalidad</w:t>
            </w:r>
          </w:p>
          <w:p w:rsidR="00B070BF" w:rsidRPr="009577DE" w:rsidRDefault="00B070BF" w:rsidP="00C33D4A">
            <w:pPr>
              <w:widowControl w:val="0"/>
              <w:jc w:val="center"/>
              <w:rPr>
                <w:b/>
                <w:bCs/>
                <w:sz w:val="16"/>
                <w:szCs w:val="16"/>
                <w:lang w:val="es-ES_tradnl"/>
              </w:rPr>
            </w:pPr>
          </w:p>
        </w:tc>
      </w:tr>
      <w:tr w:rsidR="00B070BF" w:rsidRPr="009577DE" w:rsidTr="00C33D4A">
        <w:trPr>
          <w:cantSplit/>
        </w:trPr>
        <w:tc>
          <w:tcPr>
            <w:tcW w:w="887" w:type="pct"/>
            <w:shd w:val="clear" w:color="auto" w:fill="auto"/>
          </w:tcPr>
          <w:p w:rsidR="00B070BF" w:rsidRPr="009577DE" w:rsidRDefault="00B070BF" w:rsidP="00C33D4A">
            <w:pPr>
              <w:widowControl w:val="0"/>
              <w:rPr>
                <w:sz w:val="16"/>
                <w:szCs w:val="16"/>
                <w:lang w:val="es-ES_tradnl" w:bidi="th-TH"/>
              </w:rPr>
            </w:pPr>
            <w:r w:rsidRPr="009577DE">
              <w:rPr>
                <w:sz w:val="16"/>
                <w:szCs w:val="16"/>
                <w:lang w:val="es-ES_tradnl" w:bidi="th-TH"/>
              </w:rPr>
              <w:t xml:space="preserve">Porcentaje de participantes en las actividades de la OMPI de fortalecimiento de las capacidades que manifiestan haber mejorado su capacidad de entender y aplicar los principios, sistemas e instrumentos de P.I. o de protección de los CC.TT. y las ECT, así como la gestión de las relaciones entre la P.I. y los RR.GG. </w:t>
            </w:r>
          </w:p>
          <w:p w:rsidR="00B070BF" w:rsidRPr="009577DE" w:rsidRDefault="00B070BF" w:rsidP="00C33D4A">
            <w:pPr>
              <w:widowControl w:val="0"/>
              <w:rPr>
                <w:sz w:val="16"/>
                <w:szCs w:val="16"/>
                <w:lang w:val="es-ES_tradnl" w:bidi="th-TH"/>
              </w:rPr>
            </w:pPr>
          </w:p>
        </w:tc>
        <w:tc>
          <w:tcPr>
            <w:tcW w:w="887" w:type="pct"/>
            <w:shd w:val="clear" w:color="auto" w:fill="B3B3B3"/>
          </w:tcPr>
          <w:p w:rsidR="00B070BF" w:rsidRPr="009577DE" w:rsidRDefault="00B070BF" w:rsidP="00C33D4A">
            <w:pPr>
              <w:widowControl w:val="0"/>
              <w:rPr>
                <w:sz w:val="16"/>
                <w:szCs w:val="16"/>
                <w:lang w:val="es-ES_tradnl" w:bidi="th-TH"/>
              </w:rPr>
            </w:pPr>
            <w:r w:rsidRPr="009577DE">
              <w:rPr>
                <w:sz w:val="16"/>
                <w:szCs w:val="16"/>
                <w:lang w:val="es-ES_tradnl" w:bidi="th-TH"/>
              </w:rPr>
              <w:t>Este indicador de rendimiento se utiliza por primera vez en este programa.</w:t>
            </w:r>
          </w:p>
        </w:tc>
        <w:tc>
          <w:tcPr>
            <w:tcW w:w="885" w:type="pct"/>
            <w:shd w:val="clear" w:color="auto" w:fill="auto"/>
            <w:tcMar>
              <w:top w:w="110" w:type="dxa"/>
            </w:tcMar>
          </w:tcPr>
          <w:p w:rsidR="00B070BF" w:rsidRPr="009577DE" w:rsidRDefault="00B070BF" w:rsidP="00C33D4A">
            <w:pPr>
              <w:widowControl w:val="0"/>
              <w:ind w:firstLineChars="100" w:firstLine="160"/>
              <w:rPr>
                <w:sz w:val="16"/>
                <w:szCs w:val="16"/>
                <w:highlight w:val="cyan"/>
                <w:lang w:val="es-ES_tradnl" w:bidi="th-TH"/>
              </w:rPr>
            </w:pPr>
          </w:p>
        </w:tc>
        <w:tc>
          <w:tcPr>
            <w:tcW w:w="1817" w:type="pct"/>
            <w:gridSpan w:val="2"/>
            <w:shd w:val="clear" w:color="auto" w:fill="FFFFFF"/>
            <w:tcMar>
              <w:top w:w="110" w:type="dxa"/>
            </w:tcMar>
          </w:tcPr>
          <w:p w:rsidR="00B070BF" w:rsidRPr="009577DE" w:rsidRDefault="00B070BF" w:rsidP="00C33D4A">
            <w:pPr>
              <w:widowControl w:val="0"/>
              <w:rPr>
                <w:sz w:val="16"/>
                <w:szCs w:val="16"/>
                <w:lang w:val="es-ES_tradnl" w:bidi="th-TH"/>
              </w:rPr>
            </w:pPr>
            <w:r w:rsidRPr="009577DE">
              <w:rPr>
                <w:sz w:val="16"/>
                <w:szCs w:val="16"/>
                <w:lang w:val="es-ES_tradnl" w:bidi="th-TH"/>
              </w:rPr>
              <w:t>El 80% (cuestionario de opinión utilizado en 3 actividades organizadas por la División de Conocimientos Tradicionales).</w:t>
            </w:r>
          </w:p>
          <w:p w:rsidR="00B070BF" w:rsidRPr="009577DE" w:rsidRDefault="00B070BF" w:rsidP="00C33D4A">
            <w:pPr>
              <w:widowControl w:val="0"/>
              <w:rPr>
                <w:sz w:val="16"/>
                <w:szCs w:val="16"/>
                <w:lang w:val="es-ES_tradnl" w:bidi="th-TH"/>
              </w:rPr>
            </w:pPr>
          </w:p>
          <w:p w:rsidR="00B070BF" w:rsidRPr="009577DE" w:rsidRDefault="00B070BF" w:rsidP="00C33D4A">
            <w:pPr>
              <w:widowControl w:val="0"/>
              <w:rPr>
                <w:sz w:val="16"/>
                <w:szCs w:val="16"/>
                <w:lang w:val="es-ES_tradnl" w:bidi="th-TH"/>
              </w:rPr>
            </w:pPr>
          </w:p>
          <w:p w:rsidR="00B070BF" w:rsidRPr="009577DE" w:rsidRDefault="00B070BF" w:rsidP="00C33D4A">
            <w:pPr>
              <w:widowControl w:val="0"/>
              <w:rPr>
                <w:sz w:val="16"/>
                <w:szCs w:val="16"/>
                <w:lang w:val="es-ES_tradnl" w:bidi="th-TH"/>
              </w:rPr>
            </w:pPr>
          </w:p>
        </w:tc>
        <w:tc>
          <w:tcPr>
            <w:tcW w:w="524" w:type="pct"/>
            <w:shd w:val="clear" w:color="auto" w:fill="auto"/>
          </w:tcPr>
          <w:p w:rsidR="00B070BF" w:rsidRPr="009577DE" w:rsidRDefault="00B070BF" w:rsidP="00C33D4A">
            <w:pPr>
              <w:widowControl w:val="0"/>
              <w:jc w:val="center"/>
              <w:rPr>
                <w:b/>
                <w:bCs/>
                <w:sz w:val="16"/>
                <w:szCs w:val="16"/>
                <w:lang w:val="es-ES_tradnl"/>
              </w:rPr>
            </w:pPr>
            <w:r w:rsidRPr="009577DE">
              <w:rPr>
                <w:b/>
                <w:bCs/>
                <w:color w:val="008000"/>
                <w:sz w:val="16"/>
                <w:szCs w:val="16"/>
                <w:lang w:val="es-ES_tradnl"/>
              </w:rPr>
              <w:t>Progresa con normalidad</w:t>
            </w:r>
          </w:p>
          <w:p w:rsidR="00B070BF" w:rsidRPr="009577DE" w:rsidRDefault="00B070BF" w:rsidP="00C33D4A">
            <w:pPr>
              <w:widowControl w:val="0"/>
              <w:jc w:val="center"/>
              <w:rPr>
                <w:bCs/>
                <w:sz w:val="16"/>
                <w:szCs w:val="16"/>
                <w:lang w:val="es-ES_tradnl"/>
              </w:rPr>
            </w:pPr>
          </w:p>
          <w:p w:rsidR="00B070BF" w:rsidRPr="009577DE" w:rsidRDefault="00B070BF" w:rsidP="00C33D4A">
            <w:pPr>
              <w:widowControl w:val="0"/>
              <w:jc w:val="center"/>
              <w:rPr>
                <w:bCs/>
                <w:sz w:val="16"/>
                <w:szCs w:val="16"/>
                <w:lang w:val="es-ES_tradnl"/>
              </w:rPr>
            </w:pPr>
          </w:p>
        </w:tc>
      </w:tr>
      <w:tr w:rsidR="00B070BF" w:rsidRPr="009577DE" w:rsidTr="00C33D4A">
        <w:trPr>
          <w:cantSplit/>
        </w:trPr>
        <w:tc>
          <w:tcPr>
            <w:tcW w:w="887" w:type="pct"/>
            <w:shd w:val="clear" w:color="auto" w:fill="auto"/>
          </w:tcPr>
          <w:p w:rsidR="00B070BF" w:rsidRPr="009577DE" w:rsidRDefault="00B070BF" w:rsidP="00C33D4A">
            <w:pPr>
              <w:widowControl w:val="0"/>
              <w:rPr>
                <w:sz w:val="16"/>
                <w:szCs w:val="16"/>
                <w:lang w:val="es-ES_tradnl" w:bidi="th-TH"/>
              </w:rPr>
            </w:pPr>
            <w:r w:rsidRPr="009577DE">
              <w:rPr>
                <w:sz w:val="16"/>
                <w:szCs w:val="16"/>
                <w:lang w:val="es-ES_tradnl" w:bidi="th-TH"/>
              </w:rPr>
              <w:t>Porcentaje de funcionarios de observancia que recibieron formación y que están satisfechos con la formación recibida y su utilidad en la vida profesional.</w:t>
            </w:r>
          </w:p>
          <w:p w:rsidR="00B070BF" w:rsidRPr="009577DE" w:rsidRDefault="00B070BF" w:rsidP="00C33D4A">
            <w:pPr>
              <w:widowControl w:val="0"/>
              <w:rPr>
                <w:sz w:val="16"/>
                <w:szCs w:val="16"/>
                <w:lang w:val="es-ES_tradnl" w:bidi="th-TH"/>
              </w:rPr>
            </w:pPr>
            <w:r w:rsidRPr="009577DE">
              <w:rPr>
                <w:sz w:val="16"/>
                <w:szCs w:val="16"/>
                <w:lang w:val="es-ES_tradnl" w:bidi="th-TH"/>
              </w:rPr>
              <w:t xml:space="preserve"> </w:t>
            </w:r>
          </w:p>
        </w:tc>
        <w:tc>
          <w:tcPr>
            <w:tcW w:w="887" w:type="pct"/>
            <w:shd w:val="clear" w:color="auto" w:fill="B3B3B3"/>
          </w:tcPr>
          <w:p w:rsidR="00B070BF" w:rsidRPr="009577DE" w:rsidRDefault="00B070BF" w:rsidP="00C33D4A">
            <w:pPr>
              <w:widowControl w:val="0"/>
              <w:rPr>
                <w:sz w:val="16"/>
                <w:szCs w:val="16"/>
                <w:lang w:val="es-ES_tradnl" w:bidi="th-TH"/>
              </w:rPr>
            </w:pPr>
            <w:r w:rsidRPr="009577DE">
              <w:rPr>
                <w:sz w:val="16"/>
                <w:szCs w:val="16"/>
                <w:lang w:val="es-ES_tradnl" w:bidi="th-TH"/>
              </w:rPr>
              <w:t xml:space="preserve">No se dispone de datos actualizados. </w:t>
            </w:r>
          </w:p>
        </w:tc>
        <w:tc>
          <w:tcPr>
            <w:tcW w:w="885" w:type="pct"/>
            <w:shd w:val="clear" w:color="auto" w:fill="auto"/>
            <w:tcMar>
              <w:top w:w="110" w:type="dxa"/>
            </w:tcMar>
          </w:tcPr>
          <w:p w:rsidR="00B070BF" w:rsidRPr="009577DE" w:rsidRDefault="00B070BF" w:rsidP="00C33D4A">
            <w:pPr>
              <w:widowControl w:val="0"/>
              <w:ind w:firstLineChars="100" w:firstLine="160"/>
              <w:rPr>
                <w:sz w:val="16"/>
                <w:szCs w:val="16"/>
                <w:lang w:val="es-ES_tradnl" w:bidi="th-TH"/>
              </w:rPr>
            </w:pPr>
          </w:p>
        </w:tc>
        <w:tc>
          <w:tcPr>
            <w:tcW w:w="1817" w:type="pct"/>
            <w:gridSpan w:val="2"/>
            <w:shd w:val="clear" w:color="auto" w:fill="FFFFFF"/>
            <w:tcMar>
              <w:top w:w="110" w:type="dxa"/>
            </w:tcMar>
          </w:tcPr>
          <w:p w:rsidR="00B070BF" w:rsidRPr="009577DE" w:rsidRDefault="00B070BF" w:rsidP="00C33D4A">
            <w:pPr>
              <w:widowControl w:val="0"/>
              <w:rPr>
                <w:sz w:val="16"/>
                <w:szCs w:val="16"/>
                <w:lang w:val="es-ES_tradnl"/>
              </w:rPr>
            </w:pPr>
            <w:r w:rsidRPr="009577DE">
              <w:rPr>
                <w:sz w:val="16"/>
                <w:szCs w:val="16"/>
                <w:lang w:val="es-ES_tradnl"/>
              </w:rPr>
              <w:t>Un índice de satisfacción de más del 80% respecto de la pertinencia de los temas, el interés de los participantes en la materia y la calidad de las exposiciones.</w:t>
            </w:r>
          </w:p>
        </w:tc>
        <w:tc>
          <w:tcPr>
            <w:tcW w:w="524" w:type="pct"/>
            <w:shd w:val="clear" w:color="auto" w:fill="auto"/>
          </w:tcPr>
          <w:p w:rsidR="00B070BF" w:rsidRPr="009577DE" w:rsidRDefault="00B070BF" w:rsidP="00C33D4A">
            <w:pPr>
              <w:widowControl w:val="0"/>
              <w:jc w:val="center"/>
              <w:rPr>
                <w:b/>
                <w:bCs/>
                <w:sz w:val="16"/>
                <w:szCs w:val="16"/>
                <w:lang w:val="es-ES_tradnl"/>
              </w:rPr>
            </w:pPr>
            <w:r w:rsidRPr="009577DE">
              <w:rPr>
                <w:b/>
                <w:bCs/>
                <w:color w:val="008000"/>
                <w:sz w:val="16"/>
                <w:szCs w:val="16"/>
                <w:lang w:val="es-ES_tradnl"/>
              </w:rPr>
              <w:t>Progresa con normalidad</w:t>
            </w:r>
          </w:p>
          <w:p w:rsidR="00B070BF" w:rsidRPr="009577DE" w:rsidRDefault="00B070BF" w:rsidP="00C33D4A">
            <w:pPr>
              <w:widowControl w:val="0"/>
              <w:jc w:val="center"/>
              <w:rPr>
                <w:bCs/>
                <w:sz w:val="16"/>
                <w:szCs w:val="16"/>
                <w:lang w:val="es-ES_tradnl"/>
              </w:rPr>
            </w:pPr>
          </w:p>
          <w:p w:rsidR="00B070BF" w:rsidRPr="009577DE" w:rsidRDefault="00B070BF" w:rsidP="00C33D4A">
            <w:pPr>
              <w:widowControl w:val="0"/>
              <w:jc w:val="center"/>
              <w:rPr>
                <w:bCs/>
                <w:sz w:val="16"/>
                <w:szCs w:val="16"/>
                <w:lang w:val="es-ES_tradnl"/>
              </w:rPr>
            </w:pPr>
          </w:p>
        </w:tc>
      </w:tr>
      <w:tr w:rsidR="00B070BF" w:rsidRPr="009577DE" w:rsidTr="00C33D4A">
        <w:trPr>
          <w:cantSplit/>
        </w:trPr>
        <w:tc>
          <w:tcPr>
            <w:tcW w:w="887" w:type="pct"/>
            <w:shd w:val="clear" w:color="auto" w:fill="auto"/>
          </w:tcPr>
          <w:p w:rsidR="00B070BF" w:rsidRPr="009577DE" w:rsidRDefault="00B070BF" w:rsidP="00C33D4A">
            <w:pPr>
              <w:widowControl w:val="0"/>
              <w:rPr>
                <w:sz w:val="16"/>
                <w:szCs w:val="16"/>
                <w:lang w:val="es-ES_tradnl"/>
              </w:rPr>
            </w:pPr>
            <w:r w:rsidRPr="009577DE">
              <w:rPr>
                <w:sz w:val="16"/>
                <w:szCs w:val="16"/>
                <w:lang w:val="es-ES_tradnl"/>
              </w:rPr>
              <w:t>Porcentaje de participantes satisfechos con la calidad de los talleres y seminarios sobre la innovación y su comercialización.</w:t>
            </w:r>
          </w:p>
          <w:p w:rsidR="00B070BF" w:rsidRPr="009577DE" w:rsidRDefault="00B070BF" w:rsidP="00C33D4A">
            <w:pPr>
              <w:widowControl w:val="0"/>
              <w:rPr>
                <w:sz w:val="16"/>
                <w:szCs w:val="16"/>
                <w:lang w:val="es-ES_tradnl"/>
              </w:rPr>
            </w:pPr>
          </w:p>
        </w:tc>
        <w:tc>
          <w:tcPr>
            <w:tcW w:w="887" w:type="pct"/>
            <w:shd w:val="clear" w:color="auto" w:fill="B3B3B3"/>
          </w:tcPr>
          <w:p w:rsidR="00B070BF" w:rsidRPr="009577DE" w:rsidRDefault="00B070BF" w:rsidP="00C33D4A">
            <w:pPr>
              <w:widowControl w:val="0"/>
              <w:rPr>
                <w:sz w:val="16"/>
                <w:szCs w:val="16"/>
                <w:lang w:val="es-ES_tradnl"/>
              </w:rPr>
            </w:pPr>
            <w:r w:rsidRPr="009577DE">
              <w:rPr>
                <w:sz w:val="16"/>
                <w:szCs w:val="16"/>
                <w:lang w:val="es-ES_tradnl"/>
              </w:rPr>
              <w:t>Se dispone de información general, pero no de datos específicos.</w:t>
            </w:r>
          </w:p>
        </w:tc>
        <w:tc>
          <w:tcPr>
            <w:tcW w:w="885" w:type="pct"/>
            <w:shd w:val="clear" w:color="auto" w:fill="auto"/>
            <w:tcMar>
              <w:top w:w="110" w:type="dxa"/>
            </w:tcMar>
          </w:tcPr>
          <w:p w:rsidR="00B070BF" w:rsidRPr="009577DE" w:rsidRDefault="00B070BF" w:rsidP="00C33D4A">
            <w:pPr>
              <w:widowControl w:val="0"/>
              <w:ind w:firstLineChars="100" w:firstLine="160"/>
              <w:rPr>
                <w:sz w:val="16"/>
                <w:szCs w:val="16"/>
                <w:lang w:val="es-ES_tradnl"/>
              </w:rPr>
            </w:pPr>
          </w:p>
        </w:tc>
        <w:tc>
          <w:tcPr>
            <w:tcW w:w="1817" w:type="pct"/>
            <w:gridSpan w:val="2"/>
            <w:shd w:val="clear" w:color="auto" w:fill="FFFFFF"/>
            <w:tcMar>
              <w:top w:w="110" w:type="dxa"/>
            </w:tcMar>
          </w:tcPr>
          <w:p w:rsidR="00B070BF" w:rsidRPr="009577DE" w:rsidRDefault="00B070BF" w:rsidP="00C33D4A">
            <w:pPr>
              <w:widowControl w:val="0"/>
              <w:rPr>
                <w:sz w:val="16"/>
                <w:szCs w:val="16"/>
                <w:lang w:val="es-ES_tradnl" w:bidi="th-TH"/>
              </w:rPr>
            </w:pPr>
            <w:r w:rsidRPr="009577DE">
              <w:rPr>
                <w:sz w:val="16"/>
                <w:szCs w:val="16"/>
                <w:lang w:val="es-ES_tradnl" w:bidi="th-TH"/>
              </w:rPr>
              <w:t>El 85% de los participantes encuestados estaba satisfecho con la calidad de los talleres y la formación.</w:t>
            </w:r>
            <w:r w:rsidRPr="009577DE" w:rsidDel="009B1FD9">
              <w:rPr>
                <w:sz w:val="16"/>
                <w:szCs w:val="16"/>
                <w:lang w:val="es-ES_tradnl" w:bidi="th-TH"/>
              </w:rPr>
              <w:t xml:space="preserve"> </w:t>
            </w:r>
          </w:p>
          <w:p w:rsidR="00B070BF" w:rsidRPr="009577DE" w:rsidRDefault="00B070BF" w:rsidP="00C33D4A">
            <w:pPr>
              <w:widowControl w:val="0"/>
              <w:rPr>
                <w:sz w:val="16"/>
                <w:szCs w:val="16"/>
                <w:lang w:val="es-ES_tradnl" w:bidi="th-TH"/>
              </w:rPr>
            </w:pPr>
          </w:p>
          <w:p w:rsidR="00B070BF" w:rsidRPr="009577DE" w:rsidRDefault="00B070BF" w:rsidP="00C33D4A">
            <w:pPr>
              <w:widowControl w:val="0"/>
              <w:rPr>
                <w:sz w:val="16"/>
                <w:szCs w:val="16"/>
                <w:lang w:val="es-ES_tradnl" w:bidi="th-TH"/>
              </w:rPr>
            </w:pPr>
          </w:p>
        </w:tc>
        <w:tc>
          <w:tcPr>
            <w:tcW w:w="524" w:type="pct"/>
            <w:shd w:val="clear" w:color="auto" w:fill="auto"/>
          </w:tcPr>
          <w:p w:rsidR="00B070BF" w:rsidRPr="009577DE" w:rsidRDefault="00B070BF" w:rsidP="00C33D4A">
            <w:pPr>
              <w:widowControl w:val="0"/>
              <w:jc w:val="center"/>
              <w:rPr>
                <w:b/>
                <w:bCs/>
                <w:sz w:val="16"/>
                <w:szCs w:val="16"/>
                <w:lang w:val="es-ES_tradnl"/>
              </w:rPr>
            </w:pPr>
            <w:r w:rsidRPr="009577DE">
              <w:rPr>
                <w:b/>
                <w:bCs/>
                <w:color w:val="008000"/>
                <w:sz w:val="16"/>
                <w:szCs w:val="16"/>
                <w:lang w:val="es-ES_tradnl"/>
              </w:rPr>
              <w:t>Progresa con normalidad</w:t>
            </w:r>
          </w:p>
          <w:p w:rsidR="00B070BF" w:rsidRPr="009577DE" w:rsidRDefault="00B070BF" w:rsidP="00C33D4A">
            <w:pPr>
              <w:widowControl w:val="0"/>
              <w:jc w:val="center"/>
              <w:rPr>
                <w:bCs/>
                <w:sz w:val="16"/>
                <w:szCs w:val="16"/>
                <w:lang w:val="es-ES_tradnl"/>
              </w:rPr>
            </w:pPr>
          </w:p>
          <w:p w:rsidR="00B070BF" w:rsidRPr="009577DE" w:rsidRDefault="00B070BF" w:rsidP="00C33D4A">
            <w:pPr>
              <w:widowControl w:val="0"/>
              <w:jc w:val="center"/>
              <w:rPr>
                <w:bCs/>
                <w:sz w:val="16"/>
                <w:szCs w:val="16"/>
                <w:lang w:val="es-ES_tradnl"/>
              </w:rPr>
            </w:pPr>
          </w:p>
        </w:tc>
      </w:tr>
      <w:tr w:rsidR="00B070BF" w:rsidRPr="009577DE" w:rsidTr="00C33D4A">
        <w:trPr>
          <w:cantSplit/>
        </w:trPr>
        <w:tc>
          <w:tcPr>
            <w:tcW w:w="5000" w:type="pct"/>
            <w:gridSpan w:val="6"/>
            <w:tcBorders>
              <w:top w:val="single" w:sz="4" w:space="0" w:color="auto"/>
              <w:bottom w:val="single" w:sz="4" w:space="0" w:color="auto"/>
            </w:tcBorders>
            <w:shd w:val="clear" w:color="auto" w:fill="CCFFFF"/>
            <w:vAlign w:val="center"/>
          </w:tcPr>
          <w:p w:rsidR="00B070BF" w:rsidRPr="009577DE" w:rsidRDefault="00B070BF" w:rsidP="00C33D4A">
            <w:pPr>
              <w:keepNext/>
              <w:widowControl w:val="0"/>
              <w:spacing w:before="120" w:after="120"/>
              <w:ind w:left="1735" w:hanging="1735"/>
              <w:rPr>
                <w:b/>
                <w:bCs/>
                <w:sz w:val="16"/>
                <w:szCs w:val="16"/>
                <w:lang w:val="es-ES_tradnl"/>
              </w:rPr>
            </w:pPr>
            <w:r w:rsidRPr="009577DE">
              <w:rPr>
                <w:b/>
                <w:bCs/>
                <w:sz w:val="16"/>
                <w:szCs w:val="16"/>
                <w:lang w:val="es-ES_tradnl"/>
              </w:rPr>
              <w:lastRenderedPageBreak/>
              <w:t>Resultado previsto:</w:t>
            </w:r>
            <w:r w:rsidRPr="009577DE">
              <w:rPr>
                <w:b/>
                <w:bCs/>
                <w:sz w:val="16"/>
                <w:szCs w:val="16"/>
                <w:lang w:val="es-ES_tradnl"/>
              </w:rPr>
              <w:tab/>
            </w:r>
            <w:r w:rsidRPr="009577DE">
              <w:rPr>
                <w:bCs/>
                <w:sz w:val="16"/>
                <w:szCs w:val="16"/>
                <w:lang w:val="es-ES_tradnl"/>
              </w:rPr>
              <w:t xml:space="preserve"> Mejora en el acceso a la información y los conocimientos sobre P.I. y su utilización por las instituciones de P.I. y el público, para fomentar la innovación y aumentar el acceso a las obras que son fruto de la creatividad, tanto las que están protegidas como las que se encuentran en el dominio público.</w:t>
            </w:r>
          </w:p>
        </w:tc>
      </w:tr>
      <w:tr w:rsidR="00B070BF" w:rsidRPr="009577DE" w:rsidTr="00C33D4A">
        <w:trPr>
          <w:cantSplit/>
        </w:trPr>
        <w:tc>
          <w:tcPr>
            <w:tcW w:w="887" w:type="pct"/>
            <w:tcBorders>
              <w:top w:val="single" w:sz="4" w:space="0" w:color="auto"/>
            </w:tcBorders>
            <w:shd w:val="clear" w:color="auto" w:fill="auto"/>
            <w:vAlign w:val="center"/>
          </w:tcPr>
          <w:p w:rsidR="00B070BF" w:rsidRPr="009577DE" w:rsidRDefault="00B070BF" w:rsidP="00C33D4A">
            <w:pPr>
              <w:keepNext/>
              <w:widowControl w:val="0"/>
              <w:spacing w:after="120"/>
              <w:rPr>
                <w:sz w:val="16"/>
                <w:szCs w:val="16"/>
                <w:lang w:val="es-ES_tradnl"/>
              </w:rPr>
            </w:pPr>
            <w:r w:rsidRPr="009577DE">
              <w:rPr>
                <w:b/>
                <w:bCs/>
                <w:sz w:val="16"/>
                <w:szCs w:val="16"/>
                <w:lang w:val="es-ES_tradnl"/>
              </w:rPr>
              <w:t>Indicadores de rendimiento</w:t>
            </w:r>
          </w:p>
        </w:tc>
        <w:tc>
          <w:tcPr>
            <w:tcW w:w="887" w:type="pct"/>
            <w:tcBorders>
              <w:top w:val="single" w:sz="4" w:space="0" w:color="auto"/>
            </w:tcBorders>
            <w:shd w:val="clear" w:color="auto" w:fill="C0C0C0"/>
          </w:tcPr>
          <w:p w:rsidR="00B070BF" w:rsidRPr="009577DE" w:rsidRDefault="00B070BF" w:rsidP="00C33D4A">
            <w:pPr>
              <w:keepNext/>
              <w:widowControl w:val="0"/>
              <w:spacing w:after="120"/>
              <w:rPr>
                <w:b/>
                <w:bCs/>
                <w:sz w:val="16"/>
                <w:szCs w:val="16"/>
                <w:lang w:val="es-ES_tradnl"/>
              </w:rPr>
            </w:pPr>
            <w:r w:rsidRPr="009577DE">
              <w:rPr>
                <w:b/>
                <w:bCs/>
                <w:sz w:val="16"/>
                <w:szCs w:val="16"/>
                <w:lang w:val="es-ES_tradnl"/>
              </w:rPr>
              <w:t>Referencia (</w:t>
            </w:r>
            <w:proofErr w:type="spellStart"/>
            <w:r w:rsidRPr="009577DE">
              <w:rPr>
                <w:b/>
                <w:bCs/>
                <w:sz w:val="16"/>
                <w:szCs w:val="16"/>
                <w:lang w:val="es-ES_tradnl"/>
              </w:rPr>
              <w:t>Presup</w:t>
            </w:r>
            <w:proofErr w:type="spellEnd"/>
            <w:r w:rsidRPr="009577DE">
              <w:rPr>
                <w:b/>
                <w:bCs/>
                <w:sz w:val="16"/>
                <w:szCs w:val="16"/>
                <w:lang w:val="es-ES_tradnl"/>
              </w:rPr>
              <w:t xml:space="preserve">. por </w:t>
            </w:r>
            <w:proofErr w:type="spellStart"/>
            <w:r w:rsidRPr="009577DE">
              <w:rPr>
                <w:b/>
                <w:bCs/>
                <w:sz w:val="16"/>
                <w:szCs w:val="16"/>
                <w:lang w:val="es-ES_tradnl"/>
              </w:rPr>
              <w:t>prog</w:t>
            </w:r>
            <w:proofErr w:type="spellEnd"/>
            <w:r w:rsidRPr="009577DE">
              <w:rPr>
                <w:b/>
                <w:bCs/>
                <w:sz w:val="16"/>
                <w:szCs w:val="16"/>
                <w:lang w:val="es-ES_tradnl"/>
              </w:rPr>
              <w:t>. 2012/13)</w:t>
            </w:r>
          </w:p>
        </w:tc>
        <w:tc>
          <w:tcPr>
            <w:tcW w:w="885" w:type="pct"/>
            <w:tcBorders>
              <w:top w:val="single" w:sz="4" w:space="0" w:color="auto"/>
            </w:tcBorders>
            <w:shd w:val="clear" w:color="auto" w:fill="auto"/>
            <w:tcMar>
              <w:top w:w="110" w:type="dxa"/>
            </w:tcMar>
            <w:vAlign w:val="center"/>
          </w:tcPr>
          <w:p w:rsidR="00B070BF" w:rsidRPr="009577DE" w:rsidRDefault="00B070BF" w:rsidP="00C33D4A">
            <w:pPr>
              <w:keepNext/>
              <w:widowControl w:val="0"/>
              <w:spacing w:after="120"/>
              <w:rPr>
                <w:b/>
                <w:sz w:val="16"/>
                <w:szCs w:val="16"/>
                <w:lang w:val="es-ES_tradnl"/>
              </w:rPr>
            </w:pPr>
            <w:r w:rsidRPr="00BF138D">
              <w:rPr>
                <w:b/>
                <w:color w:val="993300"/>
                <w:sz w:val="16"/>
                <w:szCs w:val="16"/>
                <w:lang w:val="es-ES_tradnl"/>
              </w:rPr>
              <w:t>Referencia actualizada a finales de 2011</w:t>
            </w:r>
          </w:p>
        </w:tc>
        <w:tc>
          <w:tcPr>
            <w:tcW w:w="1817" w:type="pct"/>
            <w:gridSpan w:val="2"/>
            <w:tcBorders>
              <w:top w:val="single" w:sz="4" w:space="0" w:color="auto"/>
            </w:tcBorders>
            <w:shd w:val="clear" w:color="auto" w:fill="FFFFFF"/>
            <w:tcMar>
              <w:top w:w="110" w:type="dxa"/>
            </w:tcMar>
            <w:vAlign w:val="center"/>
          </w:tcPr>
          <w:p w:rsidR="00B070BF" w:rsidRPr="009577DE" w:rsidRDefault="00B070BF" w:rsidP="00C33D4A">
            <w:pPr>
              <w:keepNext/>
              <w:widowControl w:val="0"/>
              <w:spacing w:after="120"/>
              <w:rPr>
                <w:sz w:val="16"/>
                <w:szCs w:val="16"/>
                <w:lang w:val="es-ES_tradnl"/>
              </w:rPr>
            </w:pPr>
            <w:r w:rsidRPr="009577DE">
              <w:rPr>
                <w:b/>
                <w:bCs/>
                <w:sz w:val="16"/>
                <w:szCs w:val="16"/>
                <w:lang w:val="es-ES_tradnl"/>
              </w:rPr>
              <w:t>Datos sobre el rendimiento</w:t>
            </w:r>
          </w:p>
        </w:tc>
        <w:tc>
          <w:tcPr>
            <w:tcW w:w="524" w:type="pct"/>
            <w:tcBorders>
              <w:top w:val="single" w:sz="4" w:space="0" w:color="auto"/>
            </w:tcBorders>
            <w:shd w:val="clear" w:color="auto" w:fill="auto"/>
            <w:tcMar>
              <w:top w:w="110" w:type="dxa"/>
            </w:tcMar>
            <w:vAlign w:val="center"/>
          </w:tcPr>
          <w:p w:rsidR="00B070BF" w:rsidRPr="009577DE" w:rsidRDefault="00B070BF" w:rsidP="00C33D4A">
            <w:pPr>
              <w:keepNext/>
              <w:widowControl w:val="0"/>
              <w:spacing w:after="120"/>
              <w:jc w:val="center"/>
              <w:rPr>
                <w:b/>
                <w:bCs/>
                <w:sz w:val="16"/>
                <w:szCs w:val="16"/>
                <w:lang w:val="es-ES_tradnl"/>
              </w:rPr>
            </w:pPr>
            <w:r w:rsidRPr="009577DE">
              <w:rPr>
                <w:b/>
                <w:bCs/>
                <w:sz w:val="16"/>
                <w:szCs w:val="16"/>
                <w:lang w:val="es-ES_tradnl"/>
              </w:rPr>
              <w:t>Clave de colores</w:t>
            </w:r>
          </w:p>
        </w:tc>
      </w:tr>
      <w:tr w:rsidR="00B070BF" w:rsidRPr="009577DE" w:rsidTr="00C33D4A">
        <w:trPr>
          <w:cantSplit/>
        </w:trPr>
        <w:tc>
          <w:tcPr>
            <w:tcW w:w="887" w:type="pct"/>
            <w:shd w:val="clear" w:color="auto" w:fill="FFFFFF"/>
          </w:tcPr>
          <w:p w:rsidR="00B070BF" w:rsidRPr="009577DE" w:rsidRDefault="00B070BF" w:rsidP="00C33D4A">
            <w:pPr>
              <w:widowControl w:val="0"/>
              <w:rPr>
                <w:sz w:val="16"/>
                <w:szCs w:val="16"/>
                <w:lang w:val="es-ES_tradnl" w:bidi="th-TH"/>
              </w:rPr>
            </w:pPr>
            <w:r w:rsidRPr="009577DE">
              <w:rPr>
                <w:sz w:val="16"/>
                <w:szCs w:val="16"/>
                <w:lang w:val="es-ES_tradnl" w:bidi="th-TH"/>
              </w:rPr>
              <w:t>Número de redes nacionales de CATI puestas en marcha.</w:t>
            </w:r>
          </w:p>
        </w:tc>
        <w:tc>
          <w:tcPr>
            <w:tcW w:w="887" w:type="pct"/>
            <w:shd w:val="clear" w:color="auto" w:fill="C0C0C0"/>
          </w:tcPr>
          <w:p w:rsidR="00B070BF" w:rsidRPr="009577DE" w:rsidRDefault="00B070BF" w:rsidP="00C33D4A">
            <w:pPr>
              <w:widowControl w:val="0"/>
              <w:rPr>
                <w:sz w:val="16"/>
                <w:szCs w:val="16"/>
                <w:lang w:val="es-ES_tradnl" w:bidi="th-TH"/>
              </w:rPr>
            </w:pPr>
            <w:r w:rsidRPr="009577DE">
              <w:rPr>
                <w:sz w:val="16"/>
                <w:szCs w:val="16"/>
                <w:lang w:val="es-ES_tradnl" w:bidi="th-TH"/>
              </w:rPr>
              <w:t xml:space="preserve">Puesta en marcha de nueve redes nacionales de CATI (primer trimestre 2011): África (3); región de los países árabes (3);  Asia y el Pacífico (1);  América Latina y el Caribe (2). </w:t>
            </w:r>
          </w:p>
        </w:tc>
        <w:tc>
          <w:tcPr>
            <w:tcW w:w="885" w:type="pct"/>
            <w:shd w:val="clear" w:color="auto" w:fill="auto"/>
            <w:tcMar>
              <w:top w:w="110" w:type="dxa"/>
            </w:tcMar>
          </w:tcPr>
          <w:p w:rsidR="00B070BF" w:rsidRPr="00D44D8F" w:rsidRDefault="00B070BF" w:rsidP="00C33D4A">
            <w:pPr>
              <w:widowControl w:val="0"/>
              <w:rPr>
                <w:color w:val="993300"/>
                <w:sz w:val="16"/>
                <w:szCs w:val="16"/>
                <w:lang w:val="es-ES_tradnl" w:bidi="th-TH"/>
              </w:rPr>
            </w:pPr>
            <w:r w:rsidRPr="00D44D8F">
              <w:rPr>
                <w:color w:val="993300"/>
                <w:sz w:val="16"/>
                <w:szCs w:val="16"/>
                <w:lang w:val="es-ES_tradnl" w:bidi="th-TH"/>
              </w:rPr>
              <w:t xml:space="preserve">18 redes de CATI: </w:t>
            </w:r>
          </w:p>
          <w:p w:rsidR="00B070BF" w:rsidRPr="00D44D8F" w:rsidRDefault="00B070BF" w:rsidP="00C33D4A">
            <w:pPr>
              <w:widowControl w:val="0"/>
              <w:rPr>
                <w:color w:val="993300"/>
                <w:sz w:val="16"/>
                <w:szCs w:val="16"/>
                <w:lang w:val="es-ES_tradnl" w:bidi="th-TH"/>
              </w:rPr>
            </w:pPr>
            <w:r w:rsidRPr="00D44D8F">
              <w:rPr>
                <w:color w:val="993300"/>
                <w:sz w:val="16"/>
                <w:szCs w:val="16"/>
                <w:lang w:val="es-ES_tradnl" w:bidi="th-TH"/>
              </w:rPr>
              <w:t xml:space="preserve">África (4);   región de los países árabes (7);  </w:t>
            </w:r>
          </w:p>
          <w:p w:rsidR="00B070BF" w:rsidRPr="00D44D8F" w:rsidRDefault="00B070BF" w:rsidP="00C33D4A">
            <w:pPr>
              <w:widowControl w:val="0"/>
              <w:rPr>
                <w:color w:val="993300"/>
                <w:sz w:val="16"/>
                <w:szCs w:val="16"/>
                <w:lang w:val="es-ES_tradnl" w:bidi="th-TH"/>
              </w:rPr>
            </w:pPr>
            <w:r w:rsidRPr="00D44D8F">
              <w:rPr>
                <w:color w:val="993300"/>
                <w:sz w:val="16"/>
                <w:szCs w:val="16"/>
                <w:lang w:val="es-ES_tradnl" w:bidi="th-TH"/>
              </w:rPr>
              <w:t xml:space="preserve">Asia y el Pacífico (2);  América Latina y el Caribe (5) </w:t>
            </w:r>
            <w:r w:rsidRPr="00D44D8F">
              <w:rPr>
                <w:color w:val="993300"/>
                <w:sz w:val="16"/>
                <w:szCs w:val="16"/>
                <w:lang w:val="es-ES_tradnl" w:bidi="th-TH"/>
              </w:rPr>
              <w:br/>
            </w:r>
          </w:p>
          <w:p w:rsidR="00B070BF" w:rsidRPr="00D44D8F" w:rsidRDefault="00B070BF" w:rsidP="00C33D4A">
            <w:pPr>
              <w:widowControl w:val="0"/>
              <w:rPr>
                <w:color w:val="993300"/>
                <w:sz w:val="16"/>
                <w:szCs w:val="16"/>
                <w:lang w:val="es-ES_tradnl" w:bidi="th-TH"/>
              </w:rPr>
            </w:pPr>
          </w:p>
        </w:tc>
        <w:tc>
          <w:tcPr>
            <w:tcW w:w="1817" w:type="pct"/>
            <w:gridSpan w:val="2"/>
            <w:shd w:val="clear" w:color="auto" w:fill="FFFFFF"/>
            <w:tcMar>
              <w:top w:w="110" w:type="dxa"/>
            </w:tcMar>
          </w:tcPr>
          <w:p w:rsidR="00B070BF" w:rsidRPr="009577DE" w:rsidRDefault="00B070BF" w:rsidP="00C33D4A">
            <w:pPr>
              <w:widowControl w:val="0"/>
              <w:rPr>
                <w:sz w:val="16"/>
                <w:szCs w:val="16"/>
                <w:lang w:val="es-ES_tradnl" w:bidi="th-TH"/>
              </w:rPr>
            </w:pPr>
            <w:r w:rsidRPr="009577DE">
              <w:rPr>
                <w:sz w:val="16"/>
                <w:szCs w:val="16"/>
                <w:lang w:val="es-ES_tradnl" w:bidi="th-TH"/>
              </w:rPr>
              <w:t xml:space="preserve">Puesta en marcha de 15 redes de CATI adicionales: </w:t>
            </w:r>
          </w:p>
          <w:p w:rsidR="00B070BF" w:rsidRPr="009577DE" w:rsidRDefault="00B070BF" w:rsidP="00B070BF">
            <w:pPr>
              <w:widowControl w:val="0"/>
              <w:numPr>
                <w:ilvl w:val="0"/>
                <w:numId w:val="47"/>
              </w:numPr>
              <w:tabs>
                <w:tab w:val="num" w:pos="484"/>
              </w:tabs>
              <w:ind w:left="484" w:hanging="284"/>
              <w:rPr>
                <w:sz w:val="16"/>
                <w:szCs w:val="16"/>
                <w:lang w:val="es-ES_tradnl" w:bidi="th-TH"/>
              </w:rPr>
            </w:pPr>
            <w:r w:rsidRPr="009577DE">
              <w:rPr>
                <w:sz w:val="16"/>
                <w:szCs w:val="16"/>
                <w:lang w:val="es-ES_tradnl" w:bidi="th-TH"/>
              </w:rPr>
              <w:t>África (10)</w:t>
            </w:r>
          </w:p>
          <w:p w:rsidR="00B070BF" w:rsidRPr="009577DE" w:rsidRDefault="00B070BF" w:rsidP="00B070BF">
            <w:pPr>
              <w:widowControl w:val="0"/>
              <w:numPr>
                <w:ilvl w:val="0"/>
                <w:numId w:val="47"/>
              </w:numPr>
              <w:tabs>
                <w:tab w:val="num" w:pos="484"/>
              </w:tabs>
              <w:ind w:left="484" w:hanging="284"/>
              <w:rPr>
                <w:sz w:val="16"/>
                <w:szCs w:val="16"/>
                <w:lang w:val="es-ES_tradnl" w:bidi="th-TH"/>
              </w:rPr>
            </w:pPr>
            <w:r w:rsidRPr="009577DE">
              <w:rPr>
                <w:sz w:val="16"/>
                <w:szCs w:val="16"/>
                <w:lang w:val="es-ES_tradnl" w:bidi="th-TH"/>
              </w:rPr>
              <w:t>región de los países árabes (1)</w:t>
            </w:r>
          </w:p>
          <w:p w:rsidR="00B070BF" w:rsidRPr="009577DE" w:rsidRDefault="00B070BF" w:rsidP="00B070BF">
            <w:pPr>
              <w:widowControl w:val="0"/>
              <w:numPr>
                <w:ilvl w:val="0"/>
                <w:numId w:val="47"/>
              </w:numPr>
              <w:tabs>
                <w:tab w:val="num" w:pos="484"/>
              </w:tabs>
              <w:ind w:left="484" w:hanging="284"/>
              <w:rPr>
                <w:sz w:val="16"/>
                <w:szCs w:val="16"/>
                <w:lang w:val="es-ES_tradnl" w:bidi="th-TH"/>
              </w:rPr>
            </w:pPr>
            <w:r w:rsidRPr="009577DE">
              <w:rPr>
                <w:sz w:val="16"/>
                <w:szCs w:val="16"/>
                <w:lang w:val="es-ES_tradnl" w:bidi="th-TH"/>
              </w:rPr>
              <w:t>América Latina y el Caribe (4)</w:t>
            </w:r>
          </w:p>
          <w:p w:rsidR="00B070BF" w:rsidRPr="009577DE" w:rsidRDefault="00B070BF" w:rsidP="00C33D4A">
            <w:pPr>
              <w:widowControl w:val="0"/>
              <w:rPr>
                <w:sz w:val="16"/>
                <w:szCs w:val="16"/>
                <w:lang w:val="es-ES_tradnl" w:bidi="th-TH"/>
              </w:rPr>
            </w:pPr>
          </w:p>
          <w:p w:rsidR="00B070BF" w:rsidRPr="009577DE" w:rsidRDefault="00B070BF" w:rsidP="00C33D4A">
            <w:pPr>
              <w:widowControl w:val="0"/>
              <w:rPr>
                <w:sz w:val="16"/>
                <w:szCs w:val="16"/>
                <w:lang w:val="es-ES_tradnl" w:bidi="th-TH"/>
              </w:rPr>
            </w:pPr>
          </w:p>
          <w:p w:rsidR="00B070BF" w:rsidRPr="009577DE" w:rsidRDefault="00B070BF" w:rsidP="00C33D4A">
            <w:pPr>
              <w:widowControl w:val="0"/>
              <w:rPr>
                <w:sz w:val="16"/>
                <w:szCs w:val="16"/>
                <w:lang w:val="es-ES_tradnl" w:bidi="th-TH"/>
              </w:rPr>
            </w:pPr>
          </w:p>
        </w:tc>
        <w:tc>
          <w:tcPr>
            <w:tcW w:w="524" w:type="pct"/>
            <w:shd w:val="clear" w:color="auto" w:fill="auto"/>
            <w:tcMar>
              <w:top w:w="110" w:type="dxa"/>
            </w:tcMar>
          </w:tcPr>
          <w:p w:rsidR="00B070BF" w:rsidRPr="009577DE" w:rsidRDefault="00B070BF" w:rsidP="00C33D4A">
            <w:pPr>
              <w:widowControl w:val="0"/>
              <w:jc w:val="center"/>
              <w:rPr>
                <w:b/>
                <w:bCs/>
                <w:sz w:val="16"/>
                <w:szCs w:val="16"/>
                <w:lang w:val="es-ES_tradnl"/>
              </w:rPr>
            </w:pPr>
            <w:r w:rsidRPr="009577DE">
              <w:rPr>
                <w:b/>
                <w:bCs/>
                <w:color w:val="008000"/>
                <w:sz w:val="16"/>
                <w:szCs w:val="16"/>
                <w:lang w:val="es-ES_tradnl"/>
              </w:rPr>
              <w:t>Progresa con normalidad</w:t>
            </w:r>
          </w:p>
          <w:p w:rsidR="00B070BF" w:rsidRPr="009577DE" w:rsidRDefault="00B070BF" w:rsidP="00C33D4A">
            <w:pPr>
              <w:widowControl w:val="0"/>
              <w:jc w:val="center"/>
              <w:rPr>
                <w:bCs/>
                <w:sz w:val="16"/>
                <w:szCs w:val="16"/>
                <w:lang w:val="es-ES_tradnl"/>
              </w:rPr>
            </w:pPr>
          </w:p>
        </w:tc>
      </w:tr>
      <w:tr w:rsidR="00B070BF" w:rsidRPr="009577DE" w:rsidTr="00C33D4A">
        <w:trPr>
          <w:cantSplit/>
        </w:trPr>
        <w:tc>
          <w:tcPr>
            <w:tcW w:w="887" w:type="pct"/>
            <w:shd w:val="clear" w:color="auto" w:fill="FFFFFF"/>
          </w:tcPr>
          <w:p w:rsidR="00B070BF" w:rsidRPr="009577DE" w:rsidRDefault="00B070BF" w:rsidP="00C33D4A">
            <w:pPr>
              <w:widowControl w:val="0"/>
              <w:rPr>
                <w:sz w:val="16"/>
                <w:szCs w:val="16"/>
                <w:lang w:val="es-ES_tradnl" w:bidi="th-TH"/>
              </w:rPr>
            </w:pPr>
            <w:r w:rsidRPr="009577DE">
              <w:rPr>
                <w:sz w:val="16"/>
                <w:szCs w:val="16"/>
                <w:lang w:val="es-ES_tradnl" w:bidi="th-TH"/>
              </w:rPr>
              <w:t>Número de usuarios que utilizan los servicios de los CATI por trimestre y por país.</w:t>
            </w:r>
          </w:p>
        </w:tc>
        <w:tc>
          <w:tcPr>
            <w:tcW w:w="887" w:type="pct"/>
            <w:shd w:val="clear" w:color="auto" w:fill="C0C0C0"/>
          </w:tcPr>
          <w:p w:rsidR="00B070BF" w:rsidRPr="009577DE" w:rsidRDefault="00B070BF" w:rsidP="00C33D4A">
            <w:pPr>
              <w:widowControl w:val="0"/>
              <w:rPr>
                <w:sz w:val="16"/>
                <w:szCs w:val="16"/>
                <w:lang w:val="es-ES_tradnl" w:bidi="th-TH"/>
              </w:rPr>
            </w:pPr>
            <w:r w:rsidRPr="009577DE">
              <w:rPr>
                <w:sz w:val="16"/>
                <w:szCs w:val="16"/>
                <w:lang w:val="es-ES_tradnl" w:bidi="th-TH"/>
              </w:rPr>
              <w:t>A determinar a fines de 2011.</w:t>
            </w:r>
          </w:p>
        </w:tc>
        <w:tc>
          <w:tcPr>
            <w:tcW w:w="885" w:type="pct"/>
            <w:shd w:val="clear" w:color="auto" w:fill="auto"/>
            <w:tcMar>
              <w:top w:w="110" w:type="dxa"/>
            </w:tcMar>
          </w:tcPr>
          <w:p w:rsidR="00B070BF" w:rsidRPr="00D44D8F" w:rsidRDefault="00B070BF" w:rsidP="00C33D4A">
            <w:pPr>
              <w:widowControl w:val="0"/>
              <w:rPr>
                <w:color w:val="993300"/>
                <w:sz w:val="16"/>
                <w:szCs w:val="16"/>
                <w:lang w:val="es-ES_tradnl" w:bidi="th-TH"/>
              </w:rPr>
            </w:pPr>
            <w:r w:rsidRPr="00D44D8F">
              <w:rPr>
                <w:color w:val="993300"/>
                <w:sz w:val="16"/>
                <w:szCs w:val="16"/>
                <w:lang w:val="es-ES_tradnl" w:bidi="th-TH"/>
              </w:rPr>
              <w:t xml:space="preserve">Entre 200 y 630 usuarios atendidos en promedio por los CATI cada día. </w:t>
            </w:r>
          </w:p>
          <w:p w:rsidR="00B070BF" w:rsidRPr="00D44D8F" w:rsidRDefault="00B070BF" w:rsidP="00C33D4A">
            <w:pPr>
              <w:widowControl w:val="0"/>
              <w:rPr>
                <w:color w:val="993300"/>
                <w:sz w:val="16"/>
                <w:szCs w:val="16"/>
                <w:lang w:val="es-ES_tradnl" w:bidi="th-TH"/>
              </w:rPr>
            </w:pPr>
          </w:p>
        </w:tc>
        <w:tc>
          <w:tcPr>
            <w:tcW w:w="1817" w:type="pct"/>
            <w:gridSpan w:val="2"/>
            <w:shd w:val="clear" w:color="auto" w:fill="FFFFFF"/>
            <w:tcMar>
              <w:top w:w="110" w:type="dxa"/>
            </w:tcMar>
          </w:tcPr>
          <w:p w:rsidR="00B070BF" w:rsidRPr="009577DE" w:rsidRDefault="00B070BF" w:rsidP="00C33D4A">
            <w:pPr>
              <w:widowControl w:val="0"/>
              <w:rPr>
                <w:sz w:val="16"/>
                <w:szCs w:val="16"/>
                <w:lang w:val="es-ES_tradnl" w:bidi="th-TH"/>
              </w:rPr>
            </w:pPr>
            <w:r w:rsidRPr="009577DE">
              <w:rPr>
                <w:sz w:val="16"/>
                <w:szCs w:val="16"/>
                <w:lang w:val="es-ES_tradnl" w:bidi="th-TH"/>
              </w:rPr>
              <w:t xml:space="preserve">Entre 300 y 750 usuarios atendidos en promedio por los CATI cada día. </w:t>
            </w:r>
          </w:p>
          <w:p w:rsidR="00B070BF" w:rsidRPr="009577DE" w:rsidRDefault="00B070BF" w:rsidP="00C33D4A">
            <w:pPr>
              <w:widowControl w:val="0"/>
              <w:rPr>
                <w:sz w:val="16"/>
                <w:szCs w:val="16"/>
                <w:lang w:val="es-ES_tradnl" w:bidi="th-TH"/>
              </w:rPr>
            </w:pPr>
          </w:p>
          <w:p w:rsidR="00B070BF" w:rsidRPr="009577DE" w:rsidRDefault="00B070BF" w:rsidP="00C33D4A">
            <w:pPr>
              <w:widowControl w:val="0"/>
              <w:rPr>
                <w:sz w:val="16"/>
                <w:szCs w:val="16"/>
                <w:lang w:val="es-ES_tradnl" w:bidi="th-TH"/>
              </w:rPr>
            </w:pPr>
          </w:p>
        </w:tc>
        <w:tc>
          <w:tcPr>
            <w:tcW w:w="524" w:type="pct"/>
            <w:shd w:val="clear" w:color="auto" w:fill="auto"/>
            <w:tcMar>
              <w:top w:w="110" w:type="dxa"/>
            </w:tcMar>
          </w:tcPr>
          <w:p w:rsidR="00B070BF" w:rsidRPr="009577DE" w:rsidRDefault="00B070BF" w:rsidP="00C33D4A">
            <w:pPr>
              <w:widowControl w:val="0"/>
              <w:jc w:val="center"/>
              <w:rPr>
                <w:b/>
                <w:bCs/>
                <w:sz w:val="16"/>
                <w:szCs w:val="16"/>
                <w:lang w:val="es-ES_tradnl"/>
              </w:rPr>
            </w:pPr>
            <w:r w:rsidRPr="009577DE">
              <w:rPr>
                <w:b/>
                <w:bCs/>
                <w:color w:val="008000"/>
                <w:sz w:val="16"/>
                <w:szCs w:val="16"/>
                <w:lang w:val="es-ES_tradnl"/>
              </w:rPr>
              <w:t>Progresa con normalidad</w:t>
            </w:r>
          </w:p>
          <w:p w:rsidR="00B070BF" w:rsidRPr="009577DE" w:rsidRDefault="00B070BF" w:rsidP="00C33D4A">
            <w:pPr>
              <w:widowControl w:val="0"/>
              <w:jc w:val="center"/>
              <w:rPr>
                <w:bCs/>
                <w:sz w:val="16"/>
                <w:szCs w:val="16"/>
                <w:lang w:val="es-ES_tradnl"/>
              </w:rPr>
            </w:pPr>
          </w:p>
          <w:p w:rsidR="00B070BF" w:rsidRPr="009577DE" w:rsidRDefault="00B070BF" w:rsidP="00C33D4A">
            <w:pPr>
              <w:widowControl w:val="0"/>
              <w:jc w:val="center"/>
              <w:rPr>
                <w:bCs/>
                <w:sz w:val="16"/>
                <w:szCs w:val="16"/>
                <w:lang w:val="es-ES_tradnl"/>
              </w:rPr>
            </w:pPr>
          </w:p>
        </w:tc>
      </w:tr>
      <w:tr w:rsidR="00B070BF" w:rsidRPr="009577DE" w:rsidTr="00C33D4A">
        <w:trPr>
          <w:cantSplit/>
        </w:trPr>
        <w:tc>
          <w:tcPr>
            <w:tcW w:w="887" w:type="pct"/>
            <w:shd w:val="clear" w:color="auto" w:fill="FFFFFF"/>
          </w:tcPr>
          <w:p w:rsidR="00B070BF" w:rsidRPr="009577DE" w:rsidRDefault="00B070BF" w:rsidP="00C33D4A">
            <w:pPr>
              <w:widowControl w:val="0"/>
              <w:rPr>
                <w:sz w:val="16"/>
                <w:szCs w:val="16"/>
                <w:lang w:val="es-ES_tradnl" w:bidi="th-TH"/>
              </w:rPr>
            </w:pPr>
            <w:r w:rsidRPr="009577DE">
              <w:rPr>
                <w:sz w:val="16"/>
                <w:szCs w:val="16"/>
                <w:lang w:val="es-ES_tradnl" w:bidi="th-TH"/>
              </w:rPr>
              <w:t xml:space="preserve">Número de Estados miembros que han desarrollado su marco de P.I. y establecido oficinas universitarias de transferencia de tecnología (OTT). </w:t>
            </w:r>
          </w:p>
        </w:tc>
        <w:tc>
          <w:tcPr>
            <w:tcW w:w="887" w:type="pct"/>
            <w:shd w:val="clear" w:color="auto" w:fill="C0C0C0"/>
          </w:tcPr>
          <w:p w:rsidR="00B070BF" w:rsidRPr="009577DE" w:rsidRDefault="00B070BF" w:rsidP="00C33D4A">
            <w:pPr>
              <w:widowControl w:val="0"/>
              <w:rPr>
                <w:sz w:val="16"/>
                <w:szCs w:val="16"/>
                <w:lang w:val="es-ES_tradnl" w:bidi="th-TH"/>
              </w:rPr>
            </w:pPr>
            <w:r w:rsidRPr="009577DE">
              <w:rPr>
                <w:sz w:val="16"/>
                <w:szCs w:val="16"/>
                <w:lang w:val="es-ES_tradnl" w:bidi="th-TH"/>
              </w:rPr>
              <w:t>Se ha adoptado el proyecto piloto de marco de P.I. y se ha asignado la financiación correspondiente.</w:t>
            </w:r>
          </w:p>
        </w:tc>
        <w:tc>
          <w:tcPr>
            <w:tcW w:w="885" w:type="pct"/>
            <w:shd w:val="clear" w:color="auto" w:fill="auto"/>
            <w:tcMar>
              <w:top w:w="110" w:type="dxa"/>
            </w:tcMar>
          </w:tcPr>
          <w:p w:rsidR="00B070BF" w:rsidRPr="009577DE" w:rsidRDefault="00B070BF" w:rsidP="00C33D4A">
            <w:pPr>
              <w:widowControl w:val="0"/>
              <w:rPr>
                <w:i/>
                <w:sz w:val="16"/>
                <w:szCs w:val="16"/>
                <w:lang w:val="es-ES_tradnl"/>
              </w:rPr>
            </w:pPr>
          </w:p>
          <w:p w:rsidR="00B070BF" w:rsidRPr="009577DE" w:rsidRDefault="00B070BF" w:rsidP="00C33D4A">
            <w:pPr>
              <w:widowControl w:val="0"/>
              <w:rPr>
                <w:i/>
                <w:sz w:val="16"/>
                <w:szCs w:val="16"/>
                <w:lang w:val="es-ES_tradnl"/>
              </w:rPr>
            </w:pPr>
          </w:p>
          <w:p w:rsidR="00B070BF" w:rsidRPr="009577DE" w:rsidRDefault="00B070BF" w:rsidP="00C33D4A">
            <w:pPr>
              <w:widowControl w:val="0"/>
              <w:rPr>
                <w:i/>
                <w:sz w:val="16"/>
                <w:szCs w:val="16"/>
                <w:lang w:val="es-ES_tradnl"/>
              </w:rPr>
            </w:pPr>
          </w:p>
          <w:p w:rsidR="00B070BF" w:rsidRPr="009577DE" w:rsidRDefault="00B070BF" w:rsidP="00C33D4A">
            <w:pPr>
              <w:widowControl w:val="0"/>
              <w:rPr>
                <w:i/>
                <w:sz w:val="16"/>
                <w:szCs w:val="16"/>
                <w:lang w:val="es-ES_tradnl"/>
              </w:rPr>
            </w:pPr>
          </w:p>
          <w:p w:rsidR="00B070BF" w:rsidRPr="009577DE" w:rsidRDefault="00B070BF" w:rsidP="00C33D4A">
            <w:pPr>
              <w:widowControl w:val="0"/>
              <w:rPr>
                <w:i/>
                <w:sz w:val="16"/>
                <w:szCs w:val="16"/>
                <w:lang w:val="es-ES_tradnl"/>
              </w:rPr>
            </w:pPr>
          </w:p>
          <w:p w:rsidR="00B070BF" w:rsidRPr="009577DE" w:rsidRDefault="00B070BF" w:rsidP="00C33D4A">
            <w:pPr>
              <w:widowControl w:val="0"/>
              <w:rPr>
                <w:i/>
                <w:sz w:val="16"/>
                <w:szCs w:val="16"/>
                <w:lang w:val="es-ES_tradnl"/>
              </w:rPr>
            </w:pPr>
          </w:p>
          <w:p w:rsidR="00B070BF" w:rsidRPr="009577DE" w:rsidRDefault="00B070BF" w:rsidP="00C33D4A">
            <w:pPr>
              <w:widowControl w:val="0"/>
              <w:rPr>
                <w:i/>
                <w:sz w:val="16"/>
                <w:szCs w:val="16"/>
                <w:lang w:val="es-ES_tradnl"/>
              </w:rPr>
            </w:pPr>
          </w:p>
          <w:p w:rsidR="00B070BF" w:rsidRPr="009577DE" w:rsidRDefault="00B070BF" w:rsidP="00C33D4A">
            <w:pPr>
              <w:widowControl w:val="0"/>
              <w:rPr>
                <w:i/>
                <w:sz w:val="16"/>
                <w:szCs w:val="16"/>
                <w:lang w:val="es-ES_tradnl"/>
              </w:rPr>
            </w:pPr>
          </w:p>
          <w:p w:rsidR="00B070BF" w:rsidRPr="009577DE" w:rsidRDefault="00B070BF" w:rsidP="00C33D4A">
            <w:pPr>
              <w:widowControl w:val="0"/>
              <w:rPr>
                <w:i/>
                <w:sz w:val="16"/>
                <w:szCs w:val="16"/>
                <w:lang w:val="es-ES_tradnl"/>
              </w:rPr>
            </w:pPr>
          </w:p>
          <w:p w:rsidR="00B070BF" w:rsidRPr="009577DE" w:rsidRDefault="00B070BF" w:rsidP="00C33D4A">
            <w:pPr>
              <w:widowControl w:val="0"/>
              <w:rPr>
                <w:sz w:val="16"/>
                <w:szCs w:val="16"/>
                <w:lang w:val="es-ES_tradnl" w:bidi="th-TH"/>
              </w:rPr>
            </w:pPr>
          </w:p>
        </w:tc>
        <w:tc>
          <w:tcPr>
            <w:tcW w:w="1817" w:type="pct"/>
            <w:gridSpan w:val="2"/>
            <w:shd w:val="clear" w:color="auto" w:fill="FFFFFF"/>
            <w:tcMar>
              <w:top w:w="110" w:type="dxa"/>
            </w:tcMar>
          </w:tcPr>
          <w:p w:rsidR="00B070BF" w:rsidRPr="009577DE" w:rsidRDefault="00B070BF" w:rsidP="00C33D4A">
            <w:pPr>
              <w:widowControl w:val="0"/>
              <w:rPr>
                <w:sz w:val="16"/>
                <w:szCs w:val="16"/>
                <w:lang w:val="es-ES_tradnl" w:bidi="th-TH"/>
              </w:rPr>
            </w:pPr>
            <w:r w:rsidRPr="009577DE">
              <w:rPr>
                <w:i/>
                <w:sz w:val="16"/>
                <w:szCs w:val="16"/>
                <w:lang w:val="es-ES_tradnl" w:bidi="th-TH"/>
              </w:rPr>
              <w:t>Inicio en Túnez del proyecto para el establecimiento de una oficina de transferencia de tecnología en la región de los países árabes</w:t>
            </w:r>
            <w:r w:rsidRPr="009577DE">
              <w:rPr>
                <w:sz w:val="16"/>
                <w:szCs w:val="16"/>
                <w:lang w:val="es-ES_tradnl" w:bidi="th-TH"/>
              </w:rPr>
              <w:t>:  misión exploratoria y de evaluación de las necesidades llevada a cabo en diciembre de 2012 en Túnez, que sirvió de base para un plan de acción que deberá examinar y aprobar el Gobierno en 2013 siempre que se disponga de fondos.</w:t>
            </w:r>
          </w:p>
          <w:p w:rsidR="00B070BF" w:rsidRPr="009577DE" w:rsidRDefault="00B070BF" w:rsidP="00C33D4A">
            <w:pPr>
              <w:widowControl w:val="0"/>
              <w:rPr>
                <w:sz w:val="16"/>
                <w:szCs w:val="16"/>
                <w:lang w:val="es-ES_tradnl" w:bidi="th-TH"/>
              </w:rPr>
            </w:pPr>
          </w:p>
          <w:p w:rsidR="00B070BF" w:rsidRPr="009577DE" w:rsidRDefault="00B070BF" w:rsidP="00C33D4A">
            <w:pPr>
              <w:widowControl w:val="0"/>
              <w:rPr>
                <w:sz w:val="16"/>
                <w:szCs w:val="16"/>
                <w:lang w:val="es-ES_tradnl" w:bidi="th-TH"/>
              </w:rPr>
            </w:pPr>
            <w:r w:rsidRPr="009577DE">
              <w:rPr>
                <w:sz w:val="16"/>
                <w:szCs w:val="16"/>
                <w:lang w:val="es-ES_tradnl" w:bidi="th-TH"/>
              </w:rPr>
              <w:t>En el marco de la Iniciativa universitaria de la OMPI, 20 OTT colaboraron en el desarrollo de políticas institucionales de P.I. (5 de la CESPAO, 6 de Marruecos, 5 de Chile, 3 de Filipinas y 1 de Ghana).</w:t>
            </w:r>
          </w:p>
          <w:p w:rsidR="00B070BF" w:rsidRPr="009577DE" w:rsidRDefault="00B070BF" w:rsidP="00C33D4A">
            <w:pPr>
              <w:widowControl w:val="0"/>
              <w:rPr>
                <w:sz w:val="16"/>
                <w:szCs w:val="16"/>
                <w:lang w:val="es-ES_tradnl" w:bidi="th-TH"/>
              </w:rPr>
            </w:pPr>
          </w:p>
          <w:p w:rsidR="00B070BF" w:rsidRPr="009577DE" w:rsidRDefault="00B070BF" w:rsidP="00C33D4A">
            <w:pPr>
              <w:widowControl w:val="0"/>
              <w:rPr>
                <w:sz w:val="16"/>
                <w:szCs w:val="16"/>
                <w:lang w:val="es-ES_tradnl" w:bidi="th-TH"/>
              </w:rPr>
            </w:pPr>
            <w:r w:rsidRPr="009577DE">
              <w:rPr>
                <w:i/>
                <w:iCs/>
                <w:sz w:val="16"/>
                <w:szCs w:val="16"/>
                <w:lang w:val="es-ES_tradnl" w:bidi="th-TH"/>
              </w:rPr>
              <w:t>Plataforma de innovación en red</w:t>
            </w:r>
            <w:r w:rsidRPr="009577DE">
              <w:rPr>
                <w:sz w:val="16"/>
                <w:szCs w:val="16"/>
                <w:lang w:val="es-ES_tradnl" w:bidi="th-TH"/>
              </w:rPr>
              <w:t xml:space="preserve">: Redacción del primer proyecto de un documento marco para una plataforma de innovación en red que utilizará las imágenes de satélite para detectar las aguas subterráneas y promover las tecnologías autóctonas para la extracción de agua.  Se elaborará un documento marco más específico para la integración modular de los informes sobre análisis de la actividad de </w:t>
            </w:r>
            <w:proofErr w:type="spellStart"/>
            <w:r w:rsidRPr="009577DE">
              <w:rPr>
                <w:sz w:val="16"/>
                <w:szCs w:val="16"/>
                <w:lang w:val="es-ES_tradnl" w:bidi="th-TH"/>
              </w:rPr>
              <w:t>patentamiento</w:t>
            </w:r>
            <w:proofErr w:type="spellEnd"/>
            <w:r w:rsidRPr="009577DE">
              <w:rPr>
                <w:sz w:val="16"/>
                <w:szCs w:val="16"/>
                <w:lang w:val="es-ES_tradnl" w:bidi="th-TH"/>
              </w:rPr>
              <w:t xml:space="preserve"> (fase inicial), los concursos de tecnologías y los CATI (fase inicial), las tecnologías ecológicamente racionales por medio de WIPO Green (fase intermedia) y los programas de creación de capacidad en materia de P.I. (fase final) con objeto de disponer de un programa con un costo mínimo que permita a la OMPI actuar como facilitador.</w:t>
            </w:r>
          </w:p>
          <w:p w:rsidR="00B070BF" w:rsidRPr="009577DE" w:rsidRDefault="00B070BF" w:rsidP="00C33D4A">
            <w:pPr>
              <w:widowControl w:val="0"/>
              <w:rPr>
                <w:sz w:val="16"/>
                <w:szCs w:val="16"/>
                <w:lang w:val="es-ES_tradnl" w:bidi="th-TH"/>
              </w:rPr>
            </w:pPr>
          </w:p>
        </w:tc>
        <w:tc>
          <w:tcPr>
            <w:tcW w:w="524" w:type="pct"/>
            <w:shd w:val="clear" w:color="auto" w:fill="auto"/>
            <w:tcMar>
              <w:top w:w="110" w:type="dxa"/>
            </w:tcMar>
          </w:tcPr>
          <w:p w:rsidR="00B070BF" w:rsidRPr="009577DE" w:rsidRDefault="00B070BF" w:rsidP="00C33D4A">
            <w:pPr>
              <w:widowControl w:val="0"/>
              <w:jc w:val="center"/>
              <w:rPr>
                <w:b/>
                <w:bCs/>
                <w:sz w:val="16"/>
                <w:szCs w:val="16"/>
                <w:lang w:val="es-ES_tradnl"/>
              </w:rPr>
            </w:pPr>
            <w:r w:rsidRPr="009577DE">
              <w:rPr>
                <w:b/>
                <w:bCs/>
                <w:color w:val="008000"/>
                <w:sz w:val="16"/>
                <w:szCs w:val="16"/>
                <w:lang w:val="es-ES_tradnl"/>
              </w:rPr>
              <w:t>Progresa con normalidad</w:t>
            </w:r>
          </w:p>
          <w:p w:rsidR="00B070BF" w:rsidRPr="009577DE" w:rsidRDefault="00B070BF" w:rsidP="00C33D4A">
            <w:pPr>
              <w:widowControl w:val="0"/>
              <w:jc w:val="center"/>
              <w:rPr>
                <w:bCs/>
                <w:sz w:val="16"/>
                <w:szCs w:val="16"/>
                <w:lang w:val="es-ES_tradnl"/>
              </w:rPr>
            </w:pPr>
          </w:p>
        </w:tc>
      </w:tr>
      <w:tr w:rsidR="00B070BF" w:rsidRPr="009577DE" w:rsidTr="00C33D4A">
        <w:trPr>
          <w:cantSplit/>
        </w:trPr>
        <w:tc>
          <w:tcPr>
            <w:tcW w:w="5000" w:type="pct"/>
            <w:gridSpan w:val="6"/>
            <w:tcBorders>
              <w:top w:val="single" w:sz="4" w:space="0" w:color="auto"/>
              <w:bottom w:val="single" w:sz="4" w:space="0" w:color="auto"/>
            </w:tcBorders>
            <w:shd w:val="clear" w:color="auto" w:fill="CCFFFF"/>
            <w:vAlign w:val="center"/>
          </w:tcPr>
          <w:p w:rsidR="00B070BF" w:rsidRPr="009577DE" w:rsidRDefault="00B070BF" w:rsidP="00C33D4A">
            <w:pPr>
              <w:keepNext/>
              <w:widowControl w:val="0"/>
              <w:spacing w:before="120" w:after="120"/>
              <w:ind w:left="1735" w:hanging="1735"/>
              <w:rPr>
                <w:b/>
                <w:bCs/>
                <w:sz w:val="16"/>
                <w:szCs w:val="16"/>
                <w:lang w:val="es-ES_tradnl"/>
              </w:rPr>
            </w:pPr>
            <w:r w:rsidRPr="009577DE">
              <w:rPr>
                <w:b/>
                <w:bCs/>
                <w:sz w:val="16"/>
                <w:szCs w:val="16"/>
                <w:lang w:val="es-ES_tradnl"/>
              </w:rPr>
              <w:lastRenderedPageBreak/>
              <w:t>Resultado previsto:</w:t>
            </w:r>
            <w:r w:rsidRPr="009577DE">
              <w:rPr>
                <w:b/>
                <w:bCs/>
                <w:sz w:val="16"/>
                <w:szCs w:val="16"/>
                <w:lang w:val="es-ES_tradnl"/>
              </w:rPr>
              <w:tab/>
            </w:r>
            <w:r w:rsidRPr="009577DE">
              <w:rPr>
                <w:bCs/>
                <w:sz w:val="16"/>
                <w:szCs w:val="16"/>
                <w:lang w:val="es-ES_tradnl"/>
              </w:rPr>
              <w:t xml:space="preserve"> Mejora en la infraestructura técnica y de conocimientos de las oficinas y demás instituciones de P.I. que les permite prestar mejores servicios (más económicos, más rápidos y de mejor calidad) a sus usuarios.</w:t>
            </w:r>
          </w:p>
        </w:tc>
      </w:tr>
      <w:tr w:rsidR="00B070BF" w:rsidRPr="009577DE" w:rsidTr="00C33D4A">
        <w:trPr>
          <w:cantSplit/>
        </w:trPr>
        <w:tc>
          <w:tcPr>
            <w:tcW w:w="887" w:type="pct"/>
            <w:tcBorders>
              <w:top w:val="single" w:sz="4" w:space="0" w:color="auto"/>
            </w:tcBorders>
            <w:shd w:val="clear" w:color="auto" w:fill="auto"/>
            <w:vAlign w:val="center"/>
          </w:tcPr>
          <w:p w:rsidR="00B070BF" w:rsidRPr="009577DE" w:rsidRDefault="00B070BF" w:rsidP="00C33D4A">
            <w:pPr>
              <w:widowControl w:val="0"/>
              <w:spacing w:after="120"/>
              <w:rPr>
                <w:sz w:val="16"/>
                <w:szCs w:val="16"/>
                <w:lang w:val="es-ES_tradnl"/>
              </w:rPr>
            </w:pPr>
            <w:r w:rsidRPr="009577DE">
              <w:rPr>
                <w:b/>
                <w:bCs/>
                <w:sz w:val="16"/>
                <w:szCs w:val="16"/>
                <w:lang w:val="es-ES_tradnl"/>
              </w:rPr>
              <w:t>Indicadores de rendimiento</w:t>
            </w:r>
          </w:p>
        </w:tc>
        <w:tc>
          <w:tcPr>
            <w:tcW w:w="887" w:type="pct"/>
            <w:tcBorders>
              <w:top w:val="single" w:sz="4" w:space="0" w:color="auto"/>
            </w:tcBorders>
            <w:shd w:val="clear" w:color="auto" w:fill="C0C0C0"/>
          </w:tcPr>
          <w:p w:rsidR="00B070BF" w:rsidRPr="009577DE" w:rsidRDefault="00B070BF" w:rsidP="00C33D4A">
            <w:pPr>
              <w:widowControl w:val="0"/>
              <w:spacing w:after="120"/>
              <w:rPr>
                <w:b/>
                <w:bCs/>
                <w:sz w:val="16"/>
                <w:szCs w:val="16"/>
                <w:lang w:val="es-ES_tradnl"/>
              </w:rPr>
            </w:pPr>
            <w:r w:rsidRPr="009577DE">
              <w:rPr>
                <w:b/>
                <w:bCs/>
                <w:sz w:val="16"/>
                <w:szCs w:val="16"/>
                <w:lang w:val="es-ES_tradnl"/>
              </w:rPr>
              <w:t>Referencia (</w:t>
            </w:r>
            <w:proofErr w:type="spellStart"/>
            <w:r w:rsidRPr="009577DE">
              <w:rPr>
                <w:b/>
                <w:bCs/>
                <w:sz w:val="16"/>
                <w:szCs w:val="16"/>
                <w:lang w:val="es-ES_tradnl"/>
              </w:rPr>
              <w:t>Presup</w:t>
            </w:r>
            <w:proofErr w:type="spellEnd"/>
            <w:r w:rsidRPr="009577DE">
              <w:rPr>
                <w:b/>
                <w:bCs/>
                <w:sz w:val="16"/>
                <w:szCs w:val="16"/>
                <w:lang w:val="es-ES_tradnl"/>
              </w:rPr>
              <w:t xml:space="preserve">. por </w:t>
            </w:r>
            <w:proofErr w:type="spellStart"/>
            <w:r w:rsidRPr="009577DE">
              <w:rPr>
                <w:b/>
                <w:bCs/>
                <w:sz w:val="16"/>
                <w:szCs w:val="16"/>
                <w:lang w:val="es-ES_tradnl"/>
              </w:rPr>
              <w:t>prog</w:t>
            </w:r>
            <w:proofErr w:type="spellEnd"/>
            <w:r w:rsidRPr="009577DE">
              <w:rPr>
                <w:b/>
                <w:bCs/>
                <w:sz w:val="16"/>
                <w:szCs w:val="16"/>
                <w:lang w:val="es-ES_tradnl"/>
              </w:rPr>
              <w:t>. 2012/13)</w:t>
            </w:r>
          </w:p>
        </w:tc>
        <w:tc>
          <w:tcPr>
            <w:tcW w:w="885" w:type="pct"/>
            <w:tcBorders>
              <w:top w:val="single" w:sz="4" w:space="0" w:color="auto"/>
            </w:tcBorders>
            <w:shd w:val="clear" w:color="auto" w:fill="auto"/>
            <w:tcMar>
              <w:top w:w="110" w:type="dxa"/>
            </w:tcMar>
            <w:vAlign w:val="center"/>
          </w:tcPr>
          <w:p w:rsidR="00B070BF" w:rsidRPr="009577DE" w:rsidRDefault="00B070BF" w:rsidP="00C33D4A">
            <w:pPr>
              <w:widowControl w:val="0"/>
              <w:spacing w:after="120"/>
              <w:rPr>
                <w:b/>
                <w:sz w:val="16"/>
                <w:szCs w:val="16"/>
                <w:lang w:val="es-ES_tradnl"/>
              </w:rPr>
            </w:pPr>
            <w:r w:rsidRPr="00BF138D">
              <w:rPr>
                <w:b/>
                <w:color w:val="993300"/>
                <w:sz w:val="16"/>
                <w:szCs w:val="16"/>
                <w:lang w:val="es-ES_tradnl"/>
              </w:rPr>
              <w:t>Referencia actualizada a finales de 2011</w:t>
            </w:r>
          </w:p>
        </w:tc>
        <w:tc>
          <w:tcPr>
            <w:tcW w:w="1768" w:type="pct"/>
            <w:tcBorders>
              <w:top w:val="single" w:sz="4" w:space="0" w:color="auto"/>
            </w:tcBorders>
            <w:shd w:val="clear" w:color="auto" w:fill="FFFFFF"/>
            <w:tcMar>
              <w:top w:w="110" w:type="dxa"/>
            </w:tcMar>
            <w:vAlign w:val="center"/>
          </w:tcPr>
          <w:p w:rsidR="00B070BF" w:rsidRPr="009577DE" w:rsidRDefault="00B070BF" w:rsidP="00C33D4A">
            <w:pPr>
              <w:widowControl w:val="0"/>
              <w:spacing w:after="120"/>
              <w:rPr>
                <w:sz w:val="16"/>
                <w:szCs w:val="16"/>
                <w:lang w:val="es-ES_tradnl"/>
              </w:rPr>
            </w:pPr>
            <w:r w:rsidRPr="009577DE">
              <w:rPr>
                <w:b/>
                <w:bCs/>
                <w:sz w:val="16"/>
                <w:szCs w:val="16"/>
                <w:lang w:val="es-ES_tradnl"/>
              </w:rPr>
              <w:t>Datos sobre el rendimiento</w:t>
            </w:r>
          </w:p>
        </w:tc>
        <w:tc>
          <w:tcPr>
            <w:tcW w:w="573" w:type="pct"/>
            <w:gridSpan w:val="2"/>
            <w:tcBorders>
              <w:top w:val="single" w:sz="4" w:space="0" w:color="auto"/>
            </w:tcBorders>
            <w:shd w:val="clear" w:color="auto" w:fill="auto"/>
            <w:tcMar>
              <w:top w:w="110" w:type="dxa"/>
            </w:tcMar>
            <w:vAlign w:val="center"/>
          </w:tcPr>
          <w:p w:rsidR="00B070BF" w:rsidRPr="009577DE" w:rsidRDefault="00B070BF" w:rsidP="00C33D4A">
            <w:pPr>
              <w:widowControl w:val="0"/>
              <w:spacing w:after="120"/>
              <w:jc w:val="center"/>
              <w:rPr>
                <w:b/>
                <w:bCs/>
                <w:sz w:val="16"/>
                <w:szCs w:val="16"/>
                <w:lang w:val="es-ES_tradnl"/>
              </w:rPr>
            </w:pPr>
            <w:r w:rsidRPr="009577DE">
              <w:rPr>
                <w:b/>
                <w:bCs/>
                <w:sz w:val="16"/>
                <w:szCs w:val="16"/>
                <w:lang w:val="es-ES_tradnl"/>
              </w:rPr>
              <w:t>Clave de colores</w:t>
            </w:r>
          </w:p>
        </w:tc>
      </w:tr>
      <w:tr w:rsidR="00B070BF" w:rsidRPr="009577DE" w:rsidTr="00C33D4A">
        <w:trPr>
          <w:cantSplit/>
        </w:trPr>
        <w:tc>
          <w:tcPr>
            <w:tcW w:w="887" w:type="pct"/>
            <w:shd w:val="clear" w:color="auto" w:fill="FFFFFF"/>
          </w:tcPr>
          <w:p w:rsidR="00B070BF" w:rsidRPr="009577DE" w:rsidRDefault="00B070BF" w:rsidP="00C33D4A">
            <w:pPr>
              <w:widowControl w:val="0"/>
              <w:rPr>
                <w:sz w:val="16"/>
                <w:szCs w:val="16"/>
                <w:lang w:val="es-ES_tradnl" w:bidi="th-TH"/>
              </w:rPr>
            </w:pPr>
            <w:r w:rsidRPr="009577DE">
              <w:rPr>
                <w:sz w:val="16"/>
                <w:szCs w:val="16"/>
                <w:lang w:val="es-ES_tradnl" w:bidi="th-TH"/>
              </w:rPr>
              <w:t xml:space="preserve">Número de oficinas que disponen de sistemas de administración de P.I. totalmente automatizados proporcionados por la OMPI, en comparación con las que disponen de sistemas automatizados parcialmente. </w:t>
            </w:r>
          </w:p>
          <w:p w:rsidR="00B070BF" w:rsidRPr="009577DE" w:rsidRDefault="00B070BF" w:rsidP="00C33D4A">
            <w:pPr>
              <w:widowControl w:val="0"/>
              <w:rPr>
                <w:sz w:val="16"/>
                <w:szCs w:val="16"/>
                <w:lang w:val="es-ES_tradnl" w:bidi="th-TH"/>
              </w:rPr>
            </w:pPr>
          </w:p>
          <w:p w:rsidR="00B070BF" w:rsidRPr="009577DE" w:rsidRDefault="00B070BF" w:rsidP="00C33D4A">
            <w:pPr>
              <w:widowControl w:val="0"/>
              <w:rPr>
                <w:sz w:val="16"/>
                <w:szCs w:val="16"/>
                <w:lang w:val="es-ES_tradnl" w:bidi="th-TH"/>
              </w:rPr>
            </w:pPr>
          </w:p>
          <w:p w:rsidR="00B070BF" w:rsidRPr="009577DE" w:rsidRDefault="00B070BF" w:rsidP="00C33D4A">
            <w:pPr>
              <w:widowControl w:val="0"/>
              <w:rPr>
                <w:sz w:val="16"/>
                <w:szCs w:val="16"/>
                <w:lang w:val="es-ES_tradnl" w:bidi="th-TH"/>
              </w:rPr>
            </w:pPr>
          </w:p>
          <w:p w:rsidR="00B070BF" w:rsidRPr="009577DE" w:rsidRDefault="00B070BF" w:rsidP="00C33D4A">
            <w:pPr>
              <w:widowControl w:val="0"/>
              <w:rPr>
                <w:sz w:val="16"/>
                <w:szCs w:val="16"/>
                <w:lang w:val="es-ES_tradnl" w:bidi="th-TH"/>
              </w:rPr>
            </w:pPr>
          </w:p>
          <w:p w:rsidR="00B070BF" w:rsidRPr="009577DE" w:rsidRDefault="00B070BF" w:rsidP="00C33D4A">
            <w:pPr>
              <w:widowControl w:val="0"/>
              <w:rPr>
                <w:sz w:val="16"/>
                <w:szCs w:val="16"/>
                <w:lang w:val="es-ES_tradnl" w:bidi="th-TH"/>
              </w:rPr>
            </w:pPr>
          </w:p>
        </w:tc>
        <w:tc>
          <w:tcPr>
            <w:tcW w:w="887" w:type="pct"/>
            <w:shd w:val="clear" w:color="auto" w:fill="C0C0C0"/>
          </w:tcPr>
          <w:p w:rsidR="00B070BF" w:rsidRPr="009577DE" w:rsidRDefault="00B070BF" w:rsidP="00C33D4A">
            <w:pPr>
              <w:widowControl w:val="0"/>
              <w:rPr>
                <w:sz w:val="16"/>
                <w:szCs w:val="16"/>
                <w:lang w:val="es-ES_tradnl" w:bidi="th-TH"/>
              </w:rPr>
            </w:pPr>
            <w:r w:rsidRPr="009577DE">
              <w:rPr>
                <w:sz w:val="16"/>
                <w:szCs w:val="16"/>
                <w:lang w:val="es-ES_tradnl" w:bidi="th-TH"/>
              </w:rPr>
              <w:t xml:space="preserve">África (14);  </w:t>
            </w:r>
          </w:p>
          <w:p w:rsidR="00B070BF" w:rsidRPr="009577DE" w:rsidRDefault="00B070BF" w:rsidP="00C33D4A">
            <w:pPr>
              <w:widowControl w:val="0"/>
              <w:rPr>
                <w:sz w:val="16"/>
                <w:szCs w:val="16"/>
                <w:lang w:val="es-ES_tradnl" w:bidi="th-TH"/>
              </w:rPr>
            </w:pPr>
            <w:r w:rsidRPr="009577DE">
              <w:rPr>
                <w:sz w:val="16"/>
                <w:szCs w:val="16"/>
                <w:lang w:val="es-ES_tradnl" w:bidi="th-TH"/>
              </w:rPr>
              <w:t>región de los países árabes (13);</w:t>
            </w:r>
          </w:p>
          <w:p w:rsidR="00B070BF" w:rsidRPr="009577DE" w:rsidRDefault="00B070BF" w:rsidP="00C33D4A">
            <w:pPr>
              <w:widowControl w:val="0"/>
              <w:rPr>
                <w:sz w:val="16"/>
                <w:szCs w:val="16"/>
                <w:lang w:val="es-ES_tradnl" w:bidi="th-TH"/>
              </w:rPr>
            </w:pPr>
            <w:r w:rsidRPr="009577DE">
              <w:rPr>
                <w:sz w:val="16"/>
                <w:szCs w:val="16"/>
                <w:lang w:val="es-ES_tradnl" w:bidi="th-TH"/>
              </w:rPr>
              <w:t>Asia y el Pacífico (7);  América Latina y el Caribe (12)</w:t>
            </w:r>
          </w:p>
          <w:p w:rsidR="00B070BF" w:rsidRPr="009577DE" w:rsidRDefault="00B070BF" w:rsidP="00C33D4A">
            <w:pPr>
              <w:widowControl w:val="0"/>
              <w:rPr>
                <w:sz w:val="16"/>
                <w:szCs w:val="16"/>
                <w:lang w:val="es-ES_tradnl" w:bidi="th-TH"/>
              </w:rPr>
            </w:pPr>
          </w:p>
          <w:p w:rsidR="00B070BF" w:rsidRPr="009577DE" w:rsidRDefault="00B070BF" w:rsidP="00C33D4A">
            <w:pPr>
              <w:widowControl w:val="0"/>
              <w:rPr>
                <w:sz w:val="16"/>
                <w:szCs w:val="16"/>
                <w:lang w:val="es-ES_tradnl" w:bidi="th-TH"/>
              </w:rPr>
            </w:pPr>
          </w:p>
          <w:p w:rsidR="00B070BF" w:rsidRPr="009577DE" w:rsidRDefault="00B070BF" w:rsidP="00C33D4A">
            <w:pPr>
              <w:widowControl w:val="0"/>
              <w:rPr>
                <w:sz w:val="16"/>
                <w:szCs w:val="16"/>
                <w:lang w:val="es-ES_tradnl" w:bidi="th-TH"/>
              </w:rPr>
            </w:pPr>
          </w:p>
          <w:p w:rsidR="00B070BF" w:rsidRPr="009577DE" w:rsidRDefault="00B070BF" w:rsidP="00C33D4A">
            <w:pPr>
              <w:widowControl w:val="0"/>
              <w:rPr>
                <w:sz w:val="16"/>
                <w:szCs w:val="16"/>
                <w:lang w:val="es-ES_tradnl" w:bidi="th-TH"/>
              </w:rPr>
            </w:pPr>
          </w:p>
        </w:tc>
        <w:tc>
          <w:tcPr>
            <w:tcW w:w="885" w:type="pct"/>
            <w:shd w:val="clear" w:color="auto" w:fill="auto"/>
            <w:tcMar>
              <w:top w:w="110" w:type="dxa"/>
            </w:tcMar>
          </w:tcPr>
          <w:p w:rsidR="00B070BF" w:rsidRPr="009577DE" w:rsidRDefault="00B070BF" w:rsidP="00C33D4A">
            <w:pPr>
              <w:widowControl w:val="0"/>
              <w:rPr>
                <w:sz w:val="16"/>
                <w:szCs w:val="16"/>
                <w:lang w:val="es-ES_tradnl" w:bidi="th-TH"/>
              </w:rPr>
            </w:pPr>
          </w:p>
        </w:tc>
        <w:tc>
          <w:tcPr>
            <w:tcW w:w="1768" w:type="pct"/>
            <w:shd w:val="clear" w:color="auto" w:fill="FFFFFF"/>
            <w:tcMar>
              <w:top w:w="110" w:type="dxa"/>
            </w:tcMar>
          </w:tcPr>
          <w:p w:rsidR="00B070BF" w:rsidRPr="009577DE" w:rsidRDefault="00B070BF" w:rsidP="00C33D4A">
            <w:pPr>
              <w:widowControl w:val="0"/>
              <w:rPr>
                <w:sz w:val="16"/>
                <w:szCs w:val="16"/>
                <w:lang w:val="es-ES_tradnl" w:bidi="th-TH"/>
              </w:rPr>
            </w:pPr>
            <w:r w:rsidRPr="009577DE">
              <w:rPr>
                <w:sz w:val="16"/>
                <w:szCs w:val="16"/>
                <w:lang w:val="es-ES_tradnl" w:bidi="th-TH"/>
              </w:rPr>
              <w:t>Número de oficinas con sistemas totalmente automatizados a finales de 2012:  32</w:t>
            </w:r>
          </w:p>
          <w:p w:rsidR="00B070BF" w:rsidRPr="009577DE" w:rsidRDefault="00B070BF" w:rsidP="00B070BF">
            <w:pPr>
              <w:widowControl w:val="0"/>
              <w:numPr>
                <w:ilvl w:val="0"/>
                <w:numId w:val="45"/>
              </w:numPr>
              <w:rPr>
                <w:sz w:val="16"/>
                <w:szCs w:val="16"/>
                <w:lang w:val="es-ES_tradnl"/>
              </w:rPr>
            </w:pPr>
            <w:r w:rsidRPr="009577DE">
              <w:rPr>
                <w:sz w:val="16"/>
                <w:szCs w:val="16"/>
                <w:lang w:val="es-ES_tradnl"/>
              </w:rPr>
              <w:t>África (8)</w:t>
            </w:r>
          </w:p>
          <w:p w:rsidR="00B070BF" w:rsidRPr="009577DE" w:rsidRDefault="00B070BF" w:rsidP="00B070BF">
            <w:pPr>
              <w:widowControl w:val="0"/>
              <w:numPr>
                <w:ilvl w:val="0"/>
                <w:numId w:val="45"/>
              </w:numPr>
              <w:rPr>
                <w:sz w:val="16"/>
                <w:szCs w:val="16"/>
                <w:lang w:val="es-ES_tradnl"/>
              </w:rPr>
            </w:pPr>
            <w:r w:rsidRPr="009577DE">
              <w:rPr>
                <w:sz w:val="16"/>
                <w:szCs w:val="16"/>
                <w:lang w:val="es-ES_tradnl"/>
              </w:rPr>
              <w:t>región de los países árabes (9)</w:t>
            </w:r>
          </w:p>
          <w:p w:rsidR="00B070BF" w:rsidRPr="009577DE" w:rsidRDefault="00B070BF" w:rsidP="00B070BF">
            <w:pPr>
              <w:widowControl w:val="0"/>
              <w:numPr>
                <w:ilvl w:val="0"/>
                <w:numId w:val="45"/>
              </w:numPr>
              <w:rPr>
                <w:sz w:val="16"/>
                <w:szCs w:val="16"/>
                <w:lang w:val="es-ES_tradnl"/>
              </w:rPr>
            </w:pPr>
            <w:r w:rsidRPr="009577DE">
              <w:rPr>
                <w:sz w:val="16"/>
                <w:szCs w:val="16"/>
                <w:lang w:val="es-ES_tradnl"/>
              </w:rPr>
              <w:t>Asia y el Pacífico (7)</w:t>
            </w:r>
          </w:p>
          <w:p w:rsidR="00B070BF" w:rsidRPr="009577DE" w:rsidRDefault="00B070BF" w:rsidP="00B070BF">
            <w:pPr>
              <w:widowControl w:val="0"/>
              <w:numPr>
                <w:ilvl w:val="0"/>
                <w:numId w:val="45"/>
              </w:numPr>
              <w:rPr>
                <w:sz w:val="16"/>
                <w:szCs w:val="16"/>
                <w:lang w:val="es-ES_tradnl"/>
              </w:rPr>
            </w:pPr>
            <w:r w:rsidRPr="009577DE">
              <w:rPr>
                <w:sz w:val="16"/>
                <w:szCs w:val="16"/>
                <w:lang w:val="es-ES_tradnl"/>
              </w:rPr>
              <w:t>América Latina y el Caribe (8)</w:t>
            </w:r>
          </w:p>
          <w:p w:rsidR="00B070BF" w:rsidRPr="009577DE" w:rsidRDefault="00B070BF" w:rsidP="00C33D4A">
            <w:pPr>
              <w:widowControl w:val="0"/>
              <w:ind w:left="567"/>
              <w:rPr>
                <w:sz w:val="16"/>
                <w:szCs w:val="16"/>
                <w:lang w:val="es-ES_tradnl" w:bidi="th-TH"/>
              </w:rPr>
            </w:pPr>
          </w:p>
          <w:p w:rsidR="00B070BF" w:rsidRPr="009577DE" w:rsidRDefault="00B070BF" w:rsidP="00C33D4A">
            <w:pPr>
              <w:widowControl w:val="0"/>
              <w:rPr>
                <w:sz w:val="16"/>
                <w:szCs w:val="16"/>
                <w:lang w:val="es-ES_tradnl" w:bidi="th-TH"/>
              </w:rPr>
            </w:pPr>
            <w:r w:rsidRPr="009577DE">
              <w:rPr>
                <w:sz w:val="16"/>
                <w:szCs w:val="16"/>
                <w:lang w:val="es-ES_tradnl" w:bidi="th-TH"/>
              </w:rPr>
              <w:t>Número de oficinas automatizadas parcialmente a finales de 2012:  22</w:t>
            </w:r>
          </w:p>
          <w:p w:rsidR="00B070BF" w:rsidRPr="009577DE" w:rsidRDefault="00B070BF" w:rsidP="00B070BF">
            <w:pPr>
              <w:widowControl w:val="0"/>
              <w:numPr>
                <w:ilvl w:val="0"/>
                <w:numId w:val="45"/>
              </w:numPr>
              <w:rPr>
                <w:sz w:val="16"/>
                <w:szCs w:val="16"/>
                <w:lang w:val="es-ES_tradnl"/>
              </w:rPr>
            </w:pPr>
            <w:r w:rsidRPr="009577DE">
              <w:rPr>
                <w:sz w:val="16"/>
                <w:szCs w:val="16"/>
                <w:lang w:val="es-ES_tradnl"/>
              </w:rPr>
              <w:t>África (9)</w:t>
            </w:r>
          </w:p>
          <w:p w:rsidR="00B070BF" w:rsidRPr="009577DE" w:rsidRDefault="00B070BF" w:rsidP="00B070BF">
            <w:pPr>
              <w:widowControl w:val="0"/>
              <w:numPr>
                <w:ilvl w:val="0"/>
                <w:numId w:val="45"/>
              </w:numPr>
              <w:rPr>
                <w:sz w:val="16"/>
                <w:szCs w:val="16"/>
                <w:lang w:val="es-ES_tradnl"/>
              </w:rPr>
            </w:pPr>
            <w:r w:rsidRPr="009577DE">
              <w:rPr>
                <w:sz w:val="16"/>
                <w:szCs w:val="16"/>
                <w:lang w:val="es-ES_tradnl"/>
              </w:rPr>
              <w:t>región de los países árabes (6)</w:t>
            </w:r>
          </w:p>
          <w:p w:rsidR="00B070BF" w:rsidRPr="009577DE" w:rsidRDefault="00B070BF" w:rsidP="00B070BF">
            <w:pPr>
              <w:widowControl w:val="0"/>
              <w:numPr>
                <w:ilvl w:val="0"/>
                <w:numId w:val="45"/>
              </w:numPr>
              <w:rPr>
                <w:sz w:val="16"/>
                <w:szCs w:val="16"/>
                <w:lang w:val="es-ES_tradnl"/>
              </w:rPr>
            </w:pPr>
            <w:r w:rsidRPr="009577DE">
              <w:rPr>
                <w:sz w:val="16"/>
                <w:szCs w:val="16"/>
                <w:lang w:val="es-ES_tradnl"/>
              </w:rPr>
              <w:t>Asia y el Pacífico (2)</w:t>
            </w:r>
          </w:p>
          <w:p w:rsidR="00B070BF" w:rsidRPr="009577DE" w:rsidRDefault="00B070BF" w:rsidP="00B070BF">
            <w:pPr>
              <w:widowControl w:val="0"/>
              <w:numPr>
                <w:ilvl w:val="0"/>
                <w:numId w:val="45"/>
              </w:numPr>
              <w:rPr>
                <w:sz w:val="16"/>
                <w:szCs w:val="16"/>
                <w:lang w:val="es-ES_tradnl"/>
              </w:rPr>
            </w:pPr>
            <w:r w:rsidRPr="009577DE">
              <w:rPr>
                <w:sz w:val="16"/>
                <w:szCs w:val="16"/>
                <w:lang w:val="es-ES_tradnl"/>
              </w:rPr>
              <w:t>América Latina y el Caribe (5)</w:t>
            </w:r>
          </w:p>
          <w:p w:rsidR="00B070BF" w:rsidRPr="009577DE" w:rsidRDefault="00B070BF" w:rsidP="00C33D4A">
            <w:pPr>
              <w:widowControl w:val="0"/>
              <w:rPr>
                <w:sz w:val="16"/>
                <w:szCs w:val="16"/>
                <w:lang w:val="es-ES_tradnl" w:bidi="th-TH"/>
              </w:rPr>
            </w:pPr>
          </w:p>
          <w:p w:rsidR="00B070BF" w:rsidRPr="009577DE" w:rsidRDefault="00B070BF" w:rsidP="00C33D4A">
            <w:pPr>
              <w:widowControl w:val="0"/>
              <w:rPr>
                <w:sz w:val="16"/>
                <w:szCs w:val="16"/>
                <w:lang w:val="es-ES_tradnl" w:bidi="th-TH"/>
              </w:rPr>
            </w:pPr>
            <w:r w:rsidRPr="009577DE">
              <w:rPr>
                <w:sz w:val="16"/>
                <w:szCs w:val="16"/>
                <w:lang w:val="es-ES_tradnl" w:bidi="th-TH"/>
              </w:rPr>
              <w:t>A finales de 2012, un total de 54 oficinas utilizaban sistemas de administración de P.I. proporcionados por la OMPI.</w:t>
            </w:r>
          </w:p>
          <w:p w:rsidR="00B070BF" w:rsidRPr="009577DE" w:rsidRDefault="00B070BF" w:rsidP="00C33D4A">
            <w:pPr>
              <w:widowControl w:val="0"/>
              <w:rPr>
                <w:sz w:val="16"/>
                <w:szCs w:val="16"/>
                <w:lang w:val="es-ES_tradnl" w:bidi="th-TH"/>
              </w:rPr>
            </w:pPr>
          </w:p>
        </w:tc>
        <w:tc>
          <w:tcPr>
            <w:tcW w:w="573" w:type="pct"/>
            <w:gridSpan w:val="2"/>
            <w:shd w:val="clear" w:color="auto" w:fill="auto"/>
            <w:tcMar>
              <w:top w:w="110" w:type="dxa"/>
            </w:tcMar>
          </w:tcPr>
          <w:p w:rsidR="00B070BF" w:rsidRPr="009577DE" w:rsidRDefault="00B070BF" w:rsidP="00C33D4A">
            <w:pPr>
              <w:widowControl w:val="0"/>
              <w:jc w:val="center"/>
              <w:rPr>
                <w:b/>
                <w:bCs/>
                <w:sz w:val="16"/>
                <w:szCs w:val="16"/>
                <w:lang w:val="es-ES_tradnl"/>
              </w:rPr>
            </w:pPr>
            <w:r w:rsidRPr="009577DE">
              <w:rPr>
                <w:b/>
                <w:bCs/>
                <w:color w:val="008000"/>
                <w:sz w:val="16"/>
                <w:szCs w:val="16"/>
                <w:lang w:val="es-ES_tradnl"/>
              </w:rPr>
              <w:t>Progresa con normalidad</w:t>
            </w:r>
          </w:p>
          <w:p w:rsidR="00B070BF" w:rsidRPr="009577DE" w:rsidRDefault="00B070BF" w:rsidP="00C33D4A">
            <w:pPr>
              <w:widowControl w:val="0"/>
              <w:jc w:val="center"/>
              <w:rPr>
                <w:bCs/>
                <w:sz w:val="16"/>
                <w:szCs w:val="16"/>
                <w:lang w:val="es-ES_tradnl"/>
              </w:rPr>
            </w:pPr>
          </w:p>
        </w:tc>
      </w:tr>
      <w:tr w:rsidR="00B070BF" w:rsidRPr="009577DE" w:rsidTr="00C33D4A">
        <w:trPr>
          <w:cantSplit/>
        </w:trPr>
        <w:tc>
          <w:tcPr>
            <w:tcW w:w="887" w:type="pct"/>
            <w:shd w:val="clear" w:color="auto" w:fill="FFFFFF"/>
          </w:tcPr>
          <w:p w:rsidR="00B070BF" w:rsidRPr="009577DE" w:rsidRDefault="00B070BF" w:rsidP="00C33D4A">
            <w:pPr>
              <w:widowControl w:val="0"/>
              <w:rPr>
                <w:sz w:val="16"/>
                <w:szCs w:val="16"/>
                <w:lang w:val="es-ES_tradnl" w:bidi="th-TH"/>
              </w:rPr>
            </w:pPr>
            <w:r w:rsidRPr="009577DE">
              <w:rPr>
                <w:sz w:val="16"/>
                <w:szCs w:val="16"/>
                <w:lang w:val="es-ES_tradnl" w:bidi="th-TH"/>
              </w:rPr>
              <w:t>Número de oficinas cuyos datos de P.I. están disponibles en las bases de datos de la OMPI en Internet.</w:t>
            </w:r>
          </w:p>
        </w:tc>
        <w:tc>
          <w:tcPr>
            <w:tcW w:w="887" w:type="pct"/>
            <w:shd w:val="clear" w:color="auto" w:fill="C0C0C0"/>
          </w:tcPr>
          <w:p w:rsidR="00B070BF" w:rsidRPr="009577DE" w:rsidRDefault="00B070BF" w:rsidP="00C33D4A">
            <w:pPr>
              <w:widowControl w:val="0"/>
              <w:rPr>
                <w:sz w:val="16"/>
                <w:szCs w:val="16"/>
                <w:lang w:val="es-ES_tradnl" w:bidi="th-TH"/>
              </w:rPr>
            </w:pPr>
            <w:r w:rsidRPr="009577DE">
              <w:rPr>
                <w:sz w:val="16"/>
                <w:szCs w:val="16"/>
                <w:lang w:val="es-ES_tradnl" w:bidi="th-TH"/>
              </w:rPr>
              <w:t>Total: 20 (desglose regional por determinar).</w:t>
            </w:r>
          </w:p>
          <w:p w:rsidR="00B070BF" w:rsidRPr="009577DE" w:rsidRDefault="00B070BF" w:rsidP="00C33D4A">
            <w:pPr>
              <w:widowControl w:val="0"/>
              <w:rPr>
                <w:sz w:val="16"/>
                <w:szCs w:val="16"/>
                <w:lang w:val="es-ES_tradnl" w:bidi="th-TH"/>
              </w:rPr>
            </w:pPr>
          </w:p>
        </w:tc>
        <w:tc>
          <w:tcPr>
            <w:tcW w:w="885" w:type="pct"/>
            <w:shd w:val="clear" w:color="auto" w:fill="auto"/>
            <w:tcMar>
              <w:top w:w="110" w:type="dxa"/>
            </w:tcMar>
          </w:tcPr>
          <w:p w:rsidR="00B070BF" w:rsidRPr="009577DE" w:rsidRDefault="00B070BF" w:rsidP="00C33D4A">
            <w:pPr>
              <w:widowControl w:val="0"/>
              <w:rPr>
                <w:sz w:val="16"/>
                <w:szCs w:val="16"/>
                <w:lang w:val="es-ES_tradnl" w:bidi="th-TH"/>
              </w:rPr>
            </w:pPr>
          </w:p>
        </w:tc>
        <w:tc>
          <w:tcPr>
            <w:tcW w:w="1768" w:type="pct"/>
            <w:shd w:val="clear" w:color="auto" w:fill="FFFFFF"/>
            <w:tcMar>
              <w:top w:w="110" w:type="dxa"/>
            </w:tcMar>
          </w:tcPr>
          <w:p w:rsidR="00B070BF" w:rsidRPr="009577DE" w:rsidRDefault="00B070BF" w:rsidP="00C33D4A">
            <w:pPr>
              <w:widowControl w:val="0"/>
              <w:rPr>
                <w:sz w:val="16"/>
                <w:szCs w:val="16"/>
                <w:lang w:val="es-ES_tradnl" w:bidi="th-TH"/>
              </w:rPr>
            </w:pPr>
            <w:r w:rsidRPr="009577DE">
              <w:rPr>
                <w:sz w:val="16"/>
                <w:szCs w:val="16"/>
                <w:lang w:val="es-ES_tradnl" w:bidi="th-TH"/>
              </w:rPr>
              <w:t>28 oficinas cuyos datos de P.I. están disponibles en las bases de datos proporcionadas por la OMPI en Internet (PATENTSCOPE y la Base Mundial de Datos sobre Marcas)</w:t>
            </w:r>
          </w:p>
          <w:p w:rsidR="00B070BF" w:rsidRPr="009577DE" w:rsidRDefault="00B070BF" w:rsidP="00B070BF">
            <w:pPr>
              <w:widowControl w:val="0"/>
              <w:numPr>
                <w:ilvl w:val="0"/>
                <w:numId w:val="45"/>
              </w:numPr>
              <w:rPr>
                <w:sz w:val="16"/>
                <w:szCs w:val="16"/>
                <w:lang w:val="es-ES_tradnl"/>
              </w:rPr>
            </w:pPr>
            <w:r w:rsidRPr="009577DE">
              <w:rPr>
                <w:sz w:val="16"/>
                <w:szCs w:val="16"/>
                <w:lang w:val="es-ES_tradnl"/>
              </w:rPr>
              <w:t>África (3)</w:t>
            </w:r>
          </w:p>
          <w:p w:rsidR="00B070BF" w:rsidRPr="009577DE" w:rsidRDefault="00B070BF" w:rsidP="00B070BF">
            <w:pPr>
              <w:widowControl w:val="0"/>
              <w:numPr>
                <w:ilvl w:val="0"/>
                <w:numId w:val="45"/>
              </w:numPr>
              <w:rPr>
                <w:sz w:val="16"/>
                <w:szCs w:val="16"/>
                <w:lang w:val="es-ES_tradnl"/>
              </w:rPr>
            </w:pPr>
            <w:r w:rsidRPr="009577DE">
              <w:rPr>
                <w:sz w:val="16"/>
                <w:szCs w:val="16"/>
                <w:lang w:val="es-ES_tradnl"/>
              </w:rPr>
              <w:t>región de los países árabes (6)</w:t>
            </w:r>
          </w:p>
          <w:p w:rsidR="00B070BF" w:rsidRPr="009577DE" w:rsidRDefault="00B070BF" w:rsidP="00B070BF">
            <w:pPr>
              <w:widowControl w:val="0"/>
              <w:numPr>
                <w:ilvl w:val="0"/>
                <w:numId w:val="45"/>
              </w:numPr>
              <w:rPr>
                <w:sz w:val="16"/>
                <w:szCs w:val="16"/>
                <w:lang w:val="es-ES_tradnl"/>
              </w:rPr>
            </w:pPr>
            <w:r w:rsidRPr="009577DE">
              <w:rPr>
                <w:sz w:val="16"/>
                <w:szCs w:val="16"/>
                <w:lang w:val="es-ES_tradnl"/>
              </w:rPr>
              <w:t>Asia y el Pacífico (3)</w:t>
            </w:r>
          </w:p>
          <w:p w:rsidR="00B070BF" w:rsidRPr="009577DE" w:rsidRDefault="00B070BF" w:rsidP="00B070BF">
            <w:pPr>
              <w:widowControl w:val="0"/>
              <w:numPr>
                <w:ilvl w:val="0"/>
                <w:numId w:val="45"/>
              </w:numPr>
              <w:rPr>
                <w:sz w:val="16"/>
                <w:szCs w:val="16"/>
                <w:lang w:val="es-ES_tradnl"/>
              </w:rPr>
            </w:pPr>
            <w:r w:rsidRPr="009577DE">
              <w:rPr>
                <w:sz w:val="16"/>
                <w:szCs w:val="16"/>
                <w:lang w:val="es-ES_tradnl"/>
              </w:rPr>
              <w:t>América Latina y el Caribe (16)</w:t>
            </w:r>
          </w:p>
          <w:p w:rsidR="00B070BF" w:rsidRPr="009577DE" w:rsidRDefault="00B070BF" w:rsidP="00C33D4A">
            <w:pPr>
              <w:widowControl w:val="0"/>
              <w:rPr>
                <w:sz w:val="16"/>
                <w:szCs w:val="16"/>
                <w:lang w:val="es-ES_tradnl" w:bidi="th-TH"/>
              </w:rPr>
            </w:pPr>
          </w:p>
        </w:tc>
        <w:tc>
          <w:tcPr>
            <w:tcW w:w="573" w:type="pct"/>
            <w:gridSpan w:val="2"/>
            <w:shd w:val="clear" w:color="auto" w:fill="auto"/>
            <w:tcMar>
              <w:top w:w="110" w:type="dxa"/>
            </w:tcMar>
          </w:tcPr>
          <w:p w:rsidR="00B070BF" w:rsidRPr="009577DE" w:rsidRDefault="00B070BF" w:rsidP="00C33D4A">
            <w:pPr>
              <w:widowControl w:val="0"/>
              <w:jc w:val="center"/>
              <w:rPr>
                <w:b/>
                <w:bCs/>
                <w:sz w:val="16"/>
                <w:szCs w:val="16"/>
                <w:lang w:val="es-ES_tradnl"/>
              </w:rPr>
            </w:pPr>
            <w:r w:rsidRPr="009577DE">
              <w:rPr>
                <w:b/>
                <w:bCs/>
                <w:color w:val="008000"/>
                <w:sz w:val="16"/>
                <w:szCs w:val="16"/>
                <w:lang w:val="es-ES_tradnl"/>
              </w:rPr>
              <w:t>Progresa con normalidad</w:t>
            </w:r>
          </w:p>
          <w:p w:rsidR="00B070BF" w:rsidRPr="009577DE" w:rsidRDefault="00B070BF" w:rsidP="00C33D4A">
            <w:pPr>
              <w:widowControl w:val="0"/>
              <w:jc w:val="center"/>
              <w:rPr>
                <w:bCs/>
                <w:sz w:val="16"/>
                <w:szCs w:val="16"/>
                <w:lang w:val="es-ES_tradnl"/>
              </w:rPr>
            </w:pPr>
          </w:p>
        </w:tc>
      </w:tr>
      <w:tr w:rsidR="00B070BF" w:rsidRPr="009577DE" w:rsidTr="00C33D4A">
        <w:trPr>
          <w:cantSplit/>
        </w:trPr>
        <w:tc>
          <w:tcPr>
            <w:tcW w:w="887" w:type="pct"/>
            <w:shd w:val="clear" w:color="auto" w:fill="FFFFFF"/>
          </w:tcPr>
          <w:p w:rsidR="00B070BF" w:rsidRPr="009577DE" w:rsidRDefault="00B070BF" w:rsidP="00C33D4A">
            <w:pPr>
              <w:widowControl w:val="0"/>
              <w:rPr>
                <w:sz w:val="16"/>
                <w:szCs w:val="16"/>
                <w:lang w:val="es-ES_tradnl" w:bidi="th-TH"/>
              </w:rPr>
            </w:pPr>
            <w:r w:rsidRPr="009577DE">
              <w:rPr>
                <w:sz w:val="16"/>
                <w:szCs w:val="16"/>
                <w:lang w:val="es-ES_tradnl" w:bidi="th-TH"/>
              </w:rPr>
              <w:t>Número de grupos de oficinas que participan en una plataforma común.</w:t>
            </w:r>
          </w:p>
        </w:tc>
        <w:tc>
          <w:tcPr>
            <w:tcW w:w="887" w:type="pct"/>
            <w:shd w:val="clear" w:color="auto" w:fill="C0C0C0"/>
          </w:tcPr>
          <w:p w:rsidR="00B070BF" w:rsidRPr="009577DE" w:rsidRDefault="00B070BF" w:rsidP="00C33D4A">
            <w:pPr>
              <w:widowControl w:val="0"/>
              <w:rPr>
                <w:sz w:val="16"/>
                <w:szCs w:val="16"/>
                <w:lang w:val="es-ES_tradnl" w:bidi="th-TH"/>
              </w:rPr>
            </w:pPr>
            <w:r w:rsidRPr="009577DE">
              <w:rPr>
                <w:sz w:val="16"/>
                <w:szCs w:val="16"/>
                <w:lang w:val="es-ES_tradnl" w:bidi="th-TH"/>
              </w:rPr>
              <w:t>Uno</w:t>
            </w:r>
          </w:p>
        </w:tc>
        <w:tc>
          <w:tcPr>
            <w:tcW w:w="885" w:type="pct"/>
            <w:shd w:val="clear" w:color="auto" w:fill="auto"/>
            <w:tcMar>
              <w:top w:w="110" w:type="dxa"/>
            </w:tcMar>
          </w:tcPr>
          <w:p w:rsidR="00B070BF" w:rsidRPr="009577DE" w:rsidRDefault="00B070BF" w:rsidP="00C33D4A">
            <w:pPr>
              <w:widowControl w:val="0"/>
              <w:rPr>
                <w:sz w:val="16"/>
                <w:szCs w:val="16"/>
                <w:lang w:val="es-ES_tradnl" w:bidi="th-TH"/>
              </w:rPr>
            </w:pPr>
          </w:p>
        </w:tc>
        <w:tc>
          <w:tcPr>
            <w:tcW w:w="1768" w:type="pct"/>
            <w:shd w:val="clear" w:color="auto" w:fill="FFFFFF"/>
            <w:tcMar>
              <w:top w:w="110" w:type="dxa"/>
            </w:tcMar>
          </w:tcPr>
          <w:p w:rsidR="00B070BF" w:rsidRPr="009577DE" w:rsidRDefault="00B070BF" w:rsidP="00C33D4A">
            <w:pPr>
              <w:widowControl w:val="0"/>
              <w:rPr>
                <w:sz w:val="16"/>
                <w:szCs w:val="16"/>
                <w:lang w:val="es-ES_tradnl" w:bidi="th-TH"/>
              </w:rPr>
            </w:pPr>
            <w:r w:rsidRPr="009577DE">
              <w:rPr>
                <w:sz w:val="16"/>
                <w:szCs w:val="16"/>
                <w:lang w:val="es-ES_tradnl" w:bidi="th-TH"/>
              </w:rPr>
              <w:t>1 grupo (comprende 4 oficinas: Australia, el Canadá, Nueva Zelandia y el Reino Unido)</w:t>
            </w:r>
          </w:p>
          <w:p w:rsidR="00B070BF" w:rsidRPr="009577DE" w:rsidRDefault="00B070BF" w:rsidP="00C33D4A">
            <w:pPr>
              <w:widowControl w:val="0"/>
              <w:rPr>
                <w:sz w:val="16"/>
                <w:szCs w:val="16"/>
                <w:lang w:val="es-ES_tradnl" w:bidi="th-TH"/>
              </w:rPr>
            </w:pPr>
          </w:p>
          <w:p w:rsidR="00B070BF" w:rsidRPr="009577DE" w:rsidRDefault="00B070BF" w:rsidP="00C33D4A">
            <w:pPr>
              <w:widowControl w:val="0"/>
              <w:rPr>
                <w:sz w:val="16"/>
                <w:szCs w:val="16"/>
                <w:lang w:val="es-ES_tradnl" w:bidi="th-TH"/>
              </w:rPr>
            </w:pPr>
          </w:p>
          <w:p w:rsidR="00B070BF" w:rsidRPr="009577DE" w:rsidRDefault="00B070BF" w:rsidP="00C33D4A">
            <w:pPr>
              <w:widowControl w:val="0"/>
              <w:rPr>
                <w:sz w:val="16"/>
                <w:szCs w:val="16"/>
                <w:lang w:val="es-ES_tradnl" w:bidi="th-TH"/>
              </w:rPr>
            </w:pPr>
          </w:p>
          <w:p w:rsidR="00B070BF" w:rsidRPr="009577DE" w:rsidRDefault="00B070BF" w:rsidP="00C33D4A">
            <w:pPr>
              <w:widowControl w:val="0"/>
              <w:rPr>
                <w:sz w:val="16"/>
                <w:szCs w:val="16"/>
                <w:lang w:val="es-ES_tradnl" w:bidi="th-TH"/>
              </w:rPr>
            </w:pPr>
          </w:p>
        </w:tc>
        <w:tc>
          <w:tcPr>
            <w:tcW w:w="573" w:type="pct"/>
            <w:gridSpan w:val="2"/>
            <w:shd w:val="clear" w:color="auto" w:fill="auto"/>
            <w:tcMar>
              <w:top w:w="110" w:type="dxa"/>
            </w:tcMar>
          </w:tcPr>
          <w:p w:rsidR="00B070BF" w:rsidRPr="009577DE" w:rsidRDefault="00B070BF" w:rsidP="00C33D4A">
            <w:pPr>
              <w:widowControl w:val="0"/>
              <w:jc w:val="center"/>
              <w:rPr>
                <w:b/>
                <w:bCs/>
                <w:sz w:val="16"/>
                <w:szCs w:val="16"/>
                <w:lang w:val="es-ES_tradnl"/>
              </w:rPr>
            </w:pPr>
            <w:r w:rsidRPr="009577DE">
              <w:rPr>
                <w:b/>
                <w:bCs/>
                <w:color w:val="FF0000"/>
                <w:sz w:val="16"/>
                <w:szCs w:val="16"/>
                <w:lang w:val="es-ES_tradnl"/>
              </w:rPr>
              <w:t>Sin avances significativos</w:t>
            </w:r>
          </w:p>
          <w:p w:rsidR="00B070BF" w:rsidRPr="009577DE" w:rsidRDefault="00B070BF" w:rsidP="00C33D4A">
            <w:pPr>
              <w:widowControl w:val="0"/>
              <w:jc w:val="center"/>
              <w:rPr>
                <w:bCs/>
                <w:sz w:val="16"/>
                <w:szCs w:val="16"/>
                <w:lang w:val="es-ES_tradnl"/>
              </w:rPr>
            </w:pPr>
          </w:p>
        </w:tc>
      </w:tr>
      <w:tr w:rsidR="00B070BF" w:rsidRPr="009577DE" w:rsidTr="00C33D4A">
        <w:trPr>
          <w:cantSplit/>
        </w:trPr>
        <w:tc>
          <w:tcPr>
            <w:tcW w:w="887" w:type="pct"/>
            <w:shd w:val="clear" w:color="auto" w:fill="FFFFFF"/>
          </w:tcPr>
          <w:p w:rsidR="00B070BF" w:rsidRPr="009577DE" w:rsidRDefault="00B070BF" w:rsidP="00C33D4A">
            <w:pPr>
              <w:widowControl w:val="0"/>
              <w:rPr>
                <w:sz w:val="16"/>
                <w:szCs w:val="16"/>
                <w:lang w:val="es-ES_tradnl" w:bidi="th-TH"/>
              </w:rPr>
            </w:pPr>
            <w:r w:rsidRPr="009577DE">
              <w:rPr>
                <w:sz w:val="16"/>
                <w:szCs w:val="16"/>
                <w:lang w:val="es-ES_tradnl" w:bidi="th-TH"/>
              </w:rPr>
              <w:t>Número de oficinas que tramitan los datos del PCT y del sistema de Madrid con el apoyo de sistemas proporcionados por la OMPI.</w:t>
            </w:r>
          </w:p>
        </w:tc>
        <w:tc>
          <w:tcPr>
            <w:tcW w:w="887" w:type="pct"/>
            <w:shd w:val="clear" w:color="auto" w:fill="C0C0C0"/>
          </w:tcPr>
          <w:p w:rsidR="00B070BF" w:rsidRPr="009577DE" w:rsidRDefault="00B070BF" w:rsidP="00C33D4A">
            <w:pPr>
              <w:widowControl w:val="0"/>
              <w:rPr>
                <w:sz w:val="16"/>
                <w:szCs w:val="16"/>
                <w:lang w:val="es-ES_tradnl" w:bidi="th-TH"/>
              </w:rPr>
            </w:pPr>
            <w:r w:rsidRPr="009577DE">
              <w:rPr>
                <w:sz w:val="16"/>
                <w:szCs w:val="16"/>
                <w:lang w:val="es-ES_tradnl" w:bidi="th-TH"/>
              </w:rPr>
              <w:t>Total: 5 (desglose regional por determinar).</w:t>
            </w:r>
          </w:p>
        </w:tc>
        <w:tc>
          <w:tcPr>
            <w:tcW w:w="885" w:type="pct"/>
            <w:shd w:val="clear" w:color="auto" w:fill="auto"/>
            <w:tcMar>
              <w:top w:w="110" w:type="dxa"/>
            </w:tcMar>
          </w:tcPr>
          <w:p w:rsidR="00B070BF" w:rsidRPr="009577DE" w:rsidRDefault="00B070BF" w:rsidP="00C33D4A">
            <w:pPr>
              <w:widowControl w:val="0"/>
              <w:rPr>
                <w:sz w:val="16"/>
                <w:szCs w:val="16"/>
                <w:lang w:val="es-ES_tradnl" w:bidi="th-TH"/>
              </w:rPr>
            </w:pPr>
          </w:p>
        </w:tc>
        <w:tc>
          <w:tcPr>
            <w:tcW w:w="1768" w:type="pct"/>
            <w:shd w:val="clear" w:color="auto" w:fill="FFFFFF"/>
            <w:tcMar>
              <w:top w:w="110" w:type="dxa"/>
            </w:tcMar>
          </w:tcPr>
          <w:p w:rsidR="00B070BF" w:rsidRPr="009577DE" w:rsidRDefault="00B070BF" w:rsidP="00C33D4A">
            <w:pPr>
              <w:widowControl w:val="0"/>
              <w:spacing w:after="80"/>
              <w:rPr>
                <w:sz w:val="16"/>
                <w:szCs w:val="16"/>
                <w:lang w:val="es-ES_tradnl"/>
              </w:rPr>
            </w:pPr>
            <w:r w:rsidRPr="009577DE">
              <w:rPr>
                <w:sz w:val="16"/>
                <w:szCs w:val="16"/>
                <w:lang w:val="es-ES_tradnl"/>
              </w:rPr>
              <w:t>En total, 20 oficinas:</w:t>
            </w:r>
          </w:p>
          <w:p w:rsidR="00B070BF" w:rsidRPr="009577DE" w:rsidRDefault="00B070BF" w:rsidP="00B070BF">
            <w:pPr>
              <w:widowControl w:val="0"/>
              <w:numPr>
                <w:ilvl w:val="0"/>
                <w:numId w:val="51"/>
              </w:numPr>
              <w:rPr>
                <w:sz w:val="16"/>
                <w:szCs w:val="16"/>
                <w:lang w:val="es-ES_tradnl"/>
              </w:rPr>
            </w:pPr>
            <w:r w:rsidRPr="009577DE">
              <w:rPr>
                <w:sz w:val="16"/>
                <w:szCs w:val="16"/>
                <w:lang w:val="es-ES_tradnl"/>
              </w:rPr>
              <w:t>África (PCT:  1; Madrid:  6)</w:t>
            </w:r>
          </w:p>
          <w:p w:rsidR="00B070BF" w:rsidRPr="009577DE" w:rsidRDefault="00B070BF" w:rsidP="00B070BF">
            <w:pPr>
              <w:widowControl w:val="0"/>
              <w:numPr>
                <w:ilvl w:val="0"/>
                <w:numId w:val="51"/>
              </w:numPr>
              <w:rPr>
                <w:sz w:val="16"/>
                <w:szCs w:val="16"/>
                <w:lang w:val="es-ES_tradnl"/>
              </w:rPr>
            </w:pPr>
            <w:r w:rsidRPr="009577DE">
              <w:rPr>
                <w:sz w:val="16"/>
                <w:szCs w:val="16"/>
                <w:lang w:val="es-ES_tradnl"/>
              </w:rPr>
              <w:t>región de los países árabes (PCT:  5;  Madrid: 1)</w:t>
            </w:r>
          </w:p>
          <w:p w:rsidR="00B070BF" w:rsidRPr="009577DE" w:rsidRDefault="00B070BF" w:rsidP="00B070BF">
            <w:pPr>
              <w:widowControl w:val="0"/>
              <w:numPr>
                <w:ilvl w:val="0"/>
                <w:numId w:val="51"/>
              </w:numPr>
              <w:rPr>
                <w:sz w:val="16"/>
                <w:szCs w:val="16"/>
                <w:lang w:val="es-ES_tradnl"/>
              </w:rPr>
            </w:pPr>
            <w:r w:rsidRPr="009577DE">
              <w:rPr>
                <w:sz w:val="16"/>
                <w:szCs w:val="16"/>
                <w:lang w:val="es-ES_tradnl"/>
              </w:rPr>
              <w:t>Asia y el Pacífico (Madrid:  2)</w:t>
            </w:r>
          </w:p>
          <w:p w:rsidR="00B070BF" w:rsidRPr="009577DE" w:rsidRDefault="00B070BF" w:rsidP="00B070BF">
            <w:pPr>
              <w:widowControl w:val="0"/>
              <w:numPr>
                <w:ilvl w:val="0"/>
                <w:numId w:val="51"/>
              </w:numPr>
              <w:rPr>
                <w:sz w:val="16"/>
                <w:szCs w:val="16"/>
                <w:lang w:val="es-ES_tradnl"/>
              </w:rPr>
            </w:pPr>
            <w:r w:rsidRPr="009577DE">
              <w:rPr>
                <w:sz w:val="16"/>
                <w:szCs w:val="16"/>
                <w:lang w:val="es-ES_tradnl"/>
              </w:rPr>
              <w:t>América Latina y el Caribe (PCT:  3; Madrid:  2)</w:t>
            </w:r>
          </w:p>
          <w:p w:rsidR="00B070BF" w:rsidRPr="009577DE" w:rsidRDefault="00B070BF" w:rsidP="00C33D4A">
            <w:pPr>
              <w:widowControl w:val="0"/>
              <w:rPr>
                <w:sz w:val="16"/>
                <w:szCs w:val="16"/>
                <w:highlight w:val="cyan"/>
                <w:lang w:val="es-ES_tradnl" w:bidi="th-TH"/>
              </w:rPr>
            </w:pPr>
          </w:p>
        </w:tc>
        <w:tc>
          <w:tcPr>
            <w:tcW w:w="573" w:type="pct"/>
            <w:gridSpan w:val="2"/>
            <w:shd w:val="clear" w:color="auto" w:fill="auto"/>
            <w:tcMar>
              <w:top w:w="110" w:type="dxa"/>
            </w:tcMar>
          </w:tcPr>
          <w:p w:rsidR="00B070BF" w:rsidRPr="009577DE" w:rsidRDefault="00B070BF" w:rsidP="00C33D4A">
            <w:pPr>
              <w:widowControl w:val="0"/>
              <w:jc w:val="center"/>
              <w:rPr>
                <w:b/>
                <w:bCs/>
                <w:sz w:val="16"/>
                <w:szCs w:val="16"/>
                <w:lang w:val="es-ES_tradnl"/>
              </w:rPr>
            </w:pPr>
            <w:r w:rsidRPr="009577DE">
              <w:rPr>
                <w:b/>
                <w:bCs/>
                <w:color w:val="008000"/>
                <w:sz w:val="16"/>
                <w:szCs w:val="16"/>
                <w:lang w:val="es-ES_tradnl"/>
              </w:rPr>
              <w:t>Progresa con normalidad</w:t>
            </w:r>
          </w:p>
          <w:p w:rsidR="00B070BF" w:rsidRPr="009577DE" w:rsidRDefault="00B070BF" w:rsidP="00C33D4A">
            <w:pPr>
              <w:widowControl w:val="0"/>
              <w:jc w:val="center"/>
              <w:rPr>
                <w:bCs/>
                <w:sz w:val="16"/>
                <w:szCs w:val="16"/>
                <w:lang w:val="es-ES_tradnl"/>
              </w:rPr>
            </w:pPr>
          </w:p>
          <w:p w:rsidR="00B070BF" w:rsidRPr="009577DE" w:rsidRDefault="00B070BF" w:rsidP="00C33D4A">
            <w:pPr>
              <w:widowControl w:val="0"/>
              <w:jc w:val="center"/>
              <w:rPr>
                <w:bCs/>
                <w:sz w:val="16"/>
                <w:szCs w:val="16"/>
                <w:lang w:val="es-ES_tradnl"/>
              </w:rPr>
            </w:pPr>
          </w:p>
        </w:tc>
      </w:tr>
      <w:tr w:rsidR="00B070BF" w:rsidRPr="009577DE" w:rsidTr="00C33D4A">
        <w:trPr>
          <w:cantSplit/>
        </w:trPr>
        <w:tc>
          <w:tcPr>
            <w:tcW w:w="5000" w:type="pct"/>
            <w:gridSpan w:val="6"/>
            <w:tcBorders>
              <w:top w:val="single" w:sz="4" w:space="0" w:color="auto"/>
              <w:bottom w:val="single" w:sz="4" w:space="0" w:color="auto"/>
            </w:tcBorders>
            <w:shd w:val="clear" w:color="auto" w:fill="CCFFFF"/>
            <w:vAlign w:val="center"/>
          </w:tcPr>
          <w:p w:rsidR="00B070BF" w:rsidRPr="009577DE" w:rsidRDefault="00B070BF" w:rsidP="00C33D4A">
            <w:pPr>
              <w:keepNext/>
              <w:widowControl w:val="0"/>
              <w:tabs>
                <w:tab w:val="left" w:pos="1452"/>
              </w:tabs>
              <w:spacing w:before="120" w:after="120"/>
              <w:ind w:left="1452" w:hanging="1452"/>
              <w:rPr>
                <w:b/>
                <w:bCs/>
                <w:sz w:val="16"/>
                <w:szCs w:val="16"/>
                <w:lang w:val="es-ES_tradnl"/>
              </w:rPr>
            </w:pPr>
            <w:r w:rsidRPr="009577DE">
              <w:rPr>
                <w:b/>
                <w:bCs/>
                <w:sz w:val="16"/>
                <w:szCs w:val="16"/>
                <w:lang w:val="es-ES_tradnl"/>
              </w:rPr>
              <w:lastRenderedPageBreak/>
              <w:t>Resultado previsto:</w:t>
            </w:r>
            <w:r w:rsidRPr="009577DE">
              <w:rPr>
                <w:b/>
                <w:bCs/>
                <w:sz w:val="16"/>
                <w:szCs w:val="16"/>
                <w:lang w:val="es-ES_tradnl"/>
              </w:rPr>
              <w:tab/>
            </w:r>
            <w:r w:rsidRPr="009577DE">
              <w:rPr>
                <w:bCs/>
                <w:sz w:val="16"/>
                <w:szCs w:val="16"/>
                <w:lang w:val="es-ES_tradnl"/>
              </w:rPr>
              <w:t xml:space="preserve"> Marcos de P.I. adaptados y equilibrados en el ámbito legislativo, regulador y de política.</w:t>
            </w:r>
            <w:r w:rsidRPr="009577DE">
              <w:rPr>
                <w:sz w:val="16"/>
                <w:szCs w:val="16"/>
                <w:lang w:val="es-ES_tradnl" w:bidi="th-TH"/>
              </w:rPr>
              <w:t xml:space="preserve">  </w:t>
            </w:r>
          </w:p>
        </w:tc>
      </w:tr>
      <w:tr w:rsidR="00B070BF" w:rsidRPr="009577DE" w:rsidTr="00C33D4A">
        <w:trPr>
          <w:cantSplit/>
        </w:trPr>
        <w:tc>
          <w:tcPr>
            <w:tcW w:w="887" w:type="pct"/>
            <w:tcBorders>
              <w:top w:val="single" w:sz="4" w:space="0" w:color="auto"/>
            </w:tcBorders>
            <w:shd w:val="clear" w:color="auto" w:fill="auto"/>
            <w:vAlign w:val="center"/>
          </w:tcPr>
          <w:p w:rsidR="00B070BF" w:rsidRPr="009577DE" w:rsidRDefault="00B070BF" w:rsidP="00C33D4A">
            <w:pPr>
              <w:keepNext/>
              <w:widowControl w:val="0"/>
              <w:spacing w:after="120"/>
              <w:rPr>
                <w:sz w:val="16"/>
                <w:szCs w:val="16"/>
                <w:lang w:val="es-ES_tradnl"/>
              </w:rPr>
            </w:pPr>
            <w:r w:rsidRPr="009577DE">
              <w:rPr>
                <w:b/>
                <w:bCs/>
                <w:sz w:val="16"/>
                <w:szCs w:val="16"/>
                <w:lang w:val="es-ES_tradnl"/>
              </w:rPr>
              <w:t>Indicadores de rendimiento</w:t>
            </w:r>
          </w:p>
        </w:tc>
        <w:tc>
          <w:tcPr>
            <w:tcW w:w="887" w:type="pct"/>
            <w:tcBorders>
              <w:top w:val="single" w:sz="4" w:space="0" w:color="auto"/>
            </w:tcBorders>
            <w:shd w:val="clear" w:color="auto" w:fill="C0C0C0"/>
          </w:tcPr>
          <w:p w:rsidR="00B070BF" w:rsidRPr="009577DE" w:rsidRDefault="00B070BF" w:rsidP="00C33D4A">
            <w:pPr>
              <w:keepNext/>
              <w:widowControl w:val="0"/>
              <w:spacing w:after="120"/>
              <w:rPr>
                <w:b/>
                <w:bCs/>
                <w:sz w:val="16"/>
                <w:szCs w:val="16"/>
                <w:lang w:val="es-ES_tradnl"/>
              </w:rPr>
            </w:pPr>
            <w:r w:rsidRPr="009577DE">
              <w:rPr>
                <w:b/>
                <w:bCs/>
                <w:sz w:val="16"/>
                <w:szCs w:val="16"/>
                <w:lang w:val="es-ES_tradnl"/>
              </w:rPr>
              <w:t>Referencia (</w:t>
            </w:r>
            <w:proofErr w:type="spellStart"/>
            <w:r w:rsidRPr="009577DE">
              <w:rPr>
                <w:b/>
                <w:bCs/>
                <w:sz w:val="16"/>
                <w:szCs w:val="16"/>
                <w:lang w:val="es-ES_tradnl"/>
              </w:rPr>
              <w:t>Presup</w:t>
            </w:r>
            <w:proofErr w:type="spellEnd"/>
            <w:r w:rsidRPr="009577DE">
              <w:rPr>
                <w:b/>
                <w:bCs/>
                <w:sz w:val="16"/>
                <w:szCs w:val="16"/>
                <w:lang w:val="es-ES_tradnl"/>
              </w:rPr>
              <w:t xml:space="preserve">. por </w:t>
            </w:r>
            <w:proofErr w:type="spellStart"/>
            <w:r w:rsidRPr="009577DE">
              <w:rPr>
                <w:b/>
                <w:bCs/>
                <w:sz w:val="16"/>
                <w:szCs w:val="16"/>
                <w:lang w:val="es-ES_tradnl"/>
              </w:rPr>
              <w:t>prog</w:t>
            </w:r>
            <w:proofErr w:type="spellEnd"/>
            <w:r w:rsidRPr="009577DE">
              <w:rPr>
                <w:b/>
                <w:bCs/>
                <w:sz w:val="16"/>
                <w:szCs w:val="16"/>
                <w:lang w:val="es-ES_tradnl"/>
              </w:rPr>
              <w:t>. 2012/13)</w:t>
            </w:r>
          </w:p>
        </w:tc>
        <w:tc>
          <w:tcPr>
            <w:tcW w:w="885" w:type="pct"/>
            <w:tcBorders>
              <w:top w:val="single" w:sz="4" w:space="0" w:color="auto"/>
            </w:tcBorders>
            <w:shd w:val="clear" w:color="auto" w:fill="auto"/>
            <w:tcMar>
              <w:top w:w="110" w:type="dxa"/>
            </w:tcMar>
            <w:vAlign w:val="center"/>
          </w:tcPr>
          <w:p w:rsidR="00B070BF" w:rsidRPr="009577DE" w:rsidRDefault="00B070BF" w:rsidP="00C33D4A">
            <w:pPr>
              <w:keepNext/>
              <w:widowControl w:val="0"/>
              <w:spacing w:after="120"/>
              <w:rPr>
                <w:b/>
                <w:sz w:val="16"/>
                <w:szCs w:val="16"/>
                <w:lang w:val="es-ES_tradnl"/>
              </w:rPr>
            </w:pPr>
            <w:r w:rsidRPr="00BF138D">
              <w:rPr>
                <w:b/>
                <w:color w:val="993300"/>
                <w:sz w:val="16"/>
                <w:szCs w:val="16"/>
                <w:lang w:val="es-ES_tradnl"/>
              </w:rPr>
              <w:t>Referencia actualizada a finales de 2011</w:t>
            </w:r>
          </w:p>
        </w:tc>
        <w:tc>
          <w:tcPr>
            <w:tcW w:w="1817" w:type="pct"/>
            <w:gridSpan w:val="2"/>
            <w:tcBorders>
              <w:top w:val="single" w:sz="4" w:space="0" w:color="auto"/>
            </w:tcBorders>
            <w:shd w:val="clear" w:color="auto" w:fill="FFFFFF"/>
            <w:tcMar>
              <w:top w:w="110" w:type="dxa"/>
            </w:tcMar>
            <w:vAlign w:val="center"/>
          </w:tcPr>
          <w:p w:rsidR="00B070BF" w:rsidRPr="009577DE" w:rsidRDefault="00B070BF" w:rsidP="00C33D4A">
            <w:pPr>
              <w:keepNext/>
              <w:widowControl w:val="0"/>
              <w:spacing w:after="120"/>
              <w:rPr>
                <w:sz w:val="16"/>
                <w:szCs w:val="16"/>
                <w:lang w:val="es-ES_tradnl"/>
              </w:rPr>
            </w:pPr>
            <w:r w:rsidRPr="009577DE">
              <w:rPr>
                <w:b/>
                <w:bCs/>
                <w:sz w:val="16"/>
                <w:szCs w:val="16"/>
                <w:lang w:val="es-ES_tradnl"/>
              </w:rPr>
              <w:t>Datos sobre el rendimiento</w:t>
            </w:r>
          </w:p>
        </w:tc>
        <w:tc>
          <w:tcPr>
            <w:tcW w:w="524" w:type="pct"/>
            <w:tcBorders>
              <w:top w:val="single" w:sz="4" w:space="0" w:color="auto"/>
            </w:tcBorders>
            <w:shd w:val="clear" w:color="auto" w:fill="auto"/>
            <w:tcMar>
              <w:top w:w="110" w:type="dxa"/>
            </w:tcMar>
            <w:vAlign w:val="center"/>
          </w:tcPr>
          <w:p w:rsidR="00B070BF" w:rsidRPr="009577DE" w:rsidRDefault="00B070BF" w:rsidP="00C33D4A">
            <w:pPr>
              <w:keepNext/>
              <w:widowControl w:val="0"/>
              <w:spacing w:after="120"/>
              <w:jc w:val="center"/>
              <w:rPr>
                <w:b/>
                <w:bCs/>
                <w:sz w:val="16"/>
                <w:szCs w:val="16"/>
                <w:lang w:val="es-ES_tradnl"/>
              </w:rPr>
            </w:pPr>
            <w:r w:rsidRPr="009577DE">
              <w:rPr>
                <w:b/>
                <w:bCs/>
                <w:sz w:val="16"/>
                <w:szCs w:val="16"/>
                <w:lang w:val="es-ES_tradnl"/>
              </w:rPr>
              <w:t>Clave de colores</w:t>
            </w:r>
          </w:p>
        </w:tc>
      </w:tr>
      <w:tr w:rsidR="00B070BF" w:rsidRPr="009577DE" w:rsidTr="00C33D4A">
        <w:trPr>
          <w:cantSplit/>
        </w:trPr>
        <w:tc>
          <w:tcPr>
            <w:tcW w:w="887" w:type="pct"/>
            <w:shd w:val="clear" w:color="auto" w:fill="FFFFFF"/>
          </w:tcPr>
          <w:p w:rsidR="00B070BF" w:rsidRPr="009577DE" w:rsidRDefault="00B070BF" w:rsidP="00C33D4A">
            <w:pPr>
              <w:widowControl w:val="0"/>
              <w:rPr>
                <w:sz w:val="16"/>
                <w:szCs w:val="16"/>
                <w:lang w:val="es-ES_tradnl" w:bidi="th-TH"/>
              </w:rPr>
            </w:pPr>
            <w:r w:rsidRPr="009577DE">
              <w:rPr>
                <w:sz w:val="16"/>
                <w:szCs w:val="16"/>
                <w:lang w:val="es-ES_tradnl" w:bidi="th-TH"/>
              </w:rPr>
              <w:t>Número de peticiones de asesoramiento en materia legislativa, y tipos de asesoramiento brindado en relación con las patentes, los modelos de utilidad, los secretos comerciales y los circuitos integrados, incluidas las flexibilidades pertinentes en materia de P.I.</w:t>
            </w:r>
          </w:p>
        </w:tc>
        <w:tc>
          <w:tcPr>
            <w:tcW w:w="887" w:type="pct"/>
            <w:shd w:val="clear" w:color="auto" w:fill="C0C0C0"/>
          </w:tcPr>
          <w:p w:rsidR="00B070BF" w:rsidRPr="009577DE" w:rsidRDefault="00B070BF" w:rsidP="00C33D4A">
            <w:pPr>
              <w:widowControl w:val="0"/>
              <w:rPr>
                <w:sz w:val="16"/>
                <w:szCs w:val="16"/>
                <w:lang w:val="es-ES_tradnl" w:bidi="th-TH"/>
              </w:rPr>
            </w:pPr>
            <w:r w:rsidRPr="009577DE">
              <w:rPr>
                <w:sz w:val="16"/>
                <w:szCs w:val="16"/>
                <w:lang w:val="es-ES_tradnl" w:bidi="th-TH"/>
              </w:rPr>
              <w:t>En 2010, se proporcionaron 12 comentarios a los Estados miembros.</w:t>
            </w:r>
          </w:p>
        </w:tc>
        <w:tc>
          <w:tcPr>
            <w:tcW w:w="885" w:type="pct"/>
            <w:shd w:val="clear" w:color="auto" w:fill="auto"/>
            <w:tcMar>
              <w:top w:w="110" w:type="dxa"/>
            </w:tcMar>
          </w:tcPr>
          <w:p w:rsidR="00B070BF" w:rsidRPr="00D44D8F" w:rsidRDefault="00B070BF" w:rsidP="00C33D4A">
            <w:pPr>
              <w:widowControl w:val="0"/>
              <w:rPr>
                <w:color w:val="993300"/>
                <w:sz w:val="16"/>
                <w:szCs w:val="16"/>
                <w:lang w:val="es-ES_tradnl" w:bidi="th-TH"/>
              </w:rPr>
            </w:pPr>
            <w:r w:rsidRPr="00D44D8F">
              <w:rPr>
                <w:color w:val="993300"/>
                <w:sz w:val="16"/>
                <w:szCs w:val="16"/>
                <w:lang w:val="es-ES_tradnl" w:bidi="th-TH"/>
              </w:rPr>
              <w:t>En 2011 se proporcionaron 10 comentarios por escrito a los Estados miembros.  Además, se organizaron 8 actividades con objeto de examinar, revisar o redactar textos jurídicos o analizar las opciones en materia de políticas.</w:t>
            </w:r>
          </w:p>
        </w:tc>
        <w:tc>
          <w:tcPr>
            <w:tcW w:w="1817" w:type="pct"/>
            <w:gridSpan w:val="2"/>
            <w:shd w:val="clear" w:color="auto" w:fill="FFFFFF"/>
            <w:tcMar>
              <w:top w:w="110" w:type="dxa"/>
            </w:tcMar>
          </w:tcPr>
          <w:p w:rsidR="00B070BF" w:rsidRPr="009577DE" w:rsidRDefault="00B070BF" w:rsidP="00C33D4A">
            <w:pPr>
              <w:widowControl w:val="0"/>
              <w:rPr>
                <w:sz w:val="16"/>
                <w:szCs w:val="16"/>
                <w:lang w:val="es-ES_tradnl" w:bidi="th-TH"/>
              </w:rPr>
            </w:pPr>
            <w:r w:rsidRPr="009577DE">
              <w:rPr>
                <w:sz w:val="16"/>
                <w:szCs w:val="16"/>
                <w:lang w:val="es-ES_tradnl" w:bidi="th-TH"/>
              </w:rPr>
              <w:t>Se proporcionó asesoramiento en materia legislativa a cuatro expertos jurídicos de Liberia durante su visita de estudio a la sede de la OMPI.</w:t>
            </w:r>
          </w:p>
          <w:p w:rsidR="00B070BF" w:rsidRPr="009577DE" w:rsidRDefault="00B070BF" w:rsidP="00C33D4A">
            <w:pPr>
              <w:widowControl w:val="0"/>
              <w:rPr>
                <w:sz w:val="16"/>
                <w:szCs w:val="16"/>
                <w:lang w:val="es-ES_tradnl" w:bidi="th-TH"/>
              </w:rPr>
            </w:pPr>
          </w:p>
          <w:p w:rsidR="00B070BF" w:rsidRPr="009577DE" w:rsidRDefault="00B070BF" w:rsidP="00C33D4A">
            <w:pPr>
              <w:widowControl w:val="0"/>
              <w:rPr>
                <w:sz w:val="16"/>
                <w:szCs w:val="16"/>
                <w:lang w:val="es-ES_tradnl" w:bidi="th-TH"/>
              </w:rPr>
            </w:pPr>
            <w:r w:rsidRPr="009577DE">
              <w:rPr>
                <w:sz w:val="16"/>
                <w:szCs w:val="16"/>
                <w:lang w:val="es-ES_tradnl" w:bidi="th-TH"/>
              </w:rPr>
              <w:t>En 2012 se proporcionaron 11 comentarios por escrito a Estados miembros;  se organizaron 3 misiones breves a las capitales y 4 reuniones de consulta en la sede de la OMPI a fin de examinar, revisar y redactar textos jurídicos o analizar las opciones en materia de políticas.</w:t>
            </w:r>
          </w:p>
          <w:p w:rsidR="00B070BF" w:rsidRPr="009577DE" w:rsidRDefault="00B070BF" w:rsidP="00C33D4A">
            <w:pPr>
              <w:widowControl w:val="0"/>
              <w:rPr>
                <w:sz w:val="16"/>
                <w:szCs w:val="16"/>
                <w:lang w:val="es-ES_tradnl" w:bidi="th-TH"/>
              </w:rPr>
            </w:pPr>
          </w:p>
        </w:tc>
        <w:tc>
          <w:tcPr>
            <w:tcW w:w="524" w:type="pct"/>
            <w:shd w:val="clear" w:color="auto" w:fill="auto"/>
            <w:tcMar>
              <w:top w:w="110" w:type="dxa"/>
            </w:tcMar>
          </w:tcPr>
          <w:p w:rsidR="00B070BF" w:rsidRPr="009577DE" w:rsidRDefault="00B070BF" w:rsidP="00C33D4A">
            <w:pPr>
              <w:widowControl w:val="0"/>
              <w:jc w:val="center"/>
              <w:rPr>
                <w:b/>
                <w:bCs/>
                <w:sz w:val="16"/>
                <w:szCs w:val="16"/>
                <w:lang w:val="es-ES_tradnl"/>
              </w:rPr>
            </w:pPr>
            <w:r w:rsidRPr="009577DE">
              <w:rPr>
                <w:b/>
                <w:bCs/>
                <w:color w:val="008000"/>
                <w:sz w:val="16"/>
                <w:szCs w:val="16"/>
                <w:lang w:val="es-ES_tradnl"/>
              </w:rPr>
              <w:t>Progresa con normalidad</w:t>
            </w:r>
          </w:p>
          <w:p w:rsidR="00B070BF" w:rsidRPr="009577DE" w:rsidRDefault="00B070BF" w:rsidP="00C33D4A">
            <w:pPr>
              <w:widowControl w:val="0"/>
              <w:jc w:val="center"/>
              <w:rPr>
                <w:bCs/>
                <w:sz w:val="16"/>
                <w:szCs w:val="16"/>
                <w:lang w:val="es-ES_tradnl"/>
              </w:rPr>
            </w:pPr>
          </w:p>
          <w:p w:rsidR="00B070BF" w:rsidRPr="009577DE" w:rsidRDefault="00B070BF" w:rsidP="00C33D4A">
            <w:pPr>
              <w:widowControl w:val="0"/>
              <w:jc w:val="center"/>
              <w:rPr>
                <w:bCs/>
                <w:sz w:val="16"/>
                <w:szCs w:val="16"/>
                <w:lang w:val="es-ES_tradnl"/>
              </w:rPr>
            </w:pPr>
          </w:p>
        </w:tc>
      </w:tr>
      <w:tr w:rsidR="00B070BF" w:rsidRPr="009577DE" w:rsidTr="00C33D4A">
        <w:trPr>
          <w:cantSplit/>
          <w:trHeight w:val="1870"/>
        </w:trPr>
        <w:tc>
          <w:tcPr>
            <w:tcW w:w="887" w:type="pct"/>
            <w:shd w:val="clear" w:color="auto" w:fill="FFFFFF"/>
          </w:tcPr>
          <w:p w:rsidR="00B070BF" w:rsidRPr="009577DE" w:rsidRDefault="00B070BF" w:rsidP="00C33D4A">
            <w:pPr>
              <w:widowControl w:val="0"/>
              <w:rPr>
                <w:sz w:val="16"/>
                <w:szCs w:val="16"/>
                <w:lang w:val="es-ES_tradnl" w:bidi="th-TH"/>
              </w:rPr>
            </w:pPr>
            <w:r w:rsidRPr="009577DE">
              <w:rPr>
                <w:sz w:val="16"/>
                <w:szCs w:val="16"/>
                <w:lang w:val="es-ES_tradnl" w:bidi="th-TH"/>
              </w:rPr>
              <w:t>Número de países que consideraron útil el asesoramiento en materia legislativa relacionado con las patentes, los modelos de utilidad, los secretos comerciales y los circuitos integrados.</w:t>
            </w:r>
          </w:p>
        </w:tc>
        <w:tc>
          <w:tcPr>
            <w:tcW w:w="887" w:type="pct"/>
            <w:shd w:val="clear" w:color="auto" w:fill="C0C0C0"/>
          </w:tcPr>
          <w:p w:rsidR="00B070BF" w:rsidRPr="009577DE" w:rsidRDefault="00B070BF" w:rsidP="00C33D4A">
            <w:pPr>
              <w:widowControl w:val="0"/>
              <w:rPr>
                <w:sz w:val="16"/>
                <w:szCs w:val="16"/>
                <w:lang w:val="es-ES_tradnl" w:bidi="th-TH"/>
              </w:rPr>
            </w:pPr>
            <w:r w:rsidRPr="009577DE">
              <w:rPr>
                <w:sz w:val="16"/>
                <w:szCs w:val="16"/>
                <w:lang w:val="es-ES_tradnl" w:bidi="th-TH"/>
              </w:rPr>
              <w:t xml:space="preserve">No se dispone de datos. </w:t>
            </w:r>
          </w:p>
        </w:tc>
        <w:tc>
          <w:tcPr>
            <w:tcW w:w="885" w:type="pct"/>
            <w:shd w:val="clear" w:color="auto" w:fill="auto"/>
            <w:tcMar>
              <w:top w:w="110" w:type="dxa"/>
            </w:tcMar>
          </w:tcPr>
          <w:p w:rsidR="00B070BF" w:rsidRPr="00D44D8F" w:rsidRDefault="00B070BF" w:rsidP="00C33D4A">
            <w:pPr>
              <w:widowControl w:val="0"/>
              <w:rPr>
                <w:color w:val="993300"/>
                <w:sz w:val="16"/>
                <w:szCs w:val="16"/>
                <w:lang w:val="es-ES_tradnl" w:bidi="th-TH"/>
              </w:rPr>
            </w:pPr>
          </w:p>
        </w:tc>
        <w:tc>
          <w:tcPr>
            <w:tcW w:w="1817" w:type="pct"/>
            <w:gridSpan w:val="2"/>
            <w:shd w:val="clear" w:color="auto" w:fill="FFFFFF"/>
            <w:tcMar>
              <w:top w:w="110" w:type="dxa"/>
            </w:tcMar>
          </w:tcPr>
          <w:p w:rsidR="00B070BF" w:rsidRPr="009577DE" w:rsidRDefault="00B070BF" w:rsidP="00C33D4A">
            <w:pPr>
              <w:widowControl w:val="0"/>
              <w:rPr>
                <w:sz w:val="16"/>
                <w:szCs w:val="16"/>
                <w:lang w:val="es-ES_tradnl" w:bidi="th-TH"/>
              </w:rPr>
            </w:pPr>
            <w:r w:rsidRPr="009577DE">
              <w:rPr>
                <w:sz w:val="16"/>
                <w:szCs w:val="16"/>
                <w:lang w:val="es-ES_tradnl" w:bidi="th-TH"/>
              </w:rPr>
              <w:t xml:space="preserve">La encuesta de 2012 está en curso. </w:t>
            </w:r>
          </w:p>
          <w:p w:rsidR="00B070BF" w:rsidRPr="009577DE" w:rsidRDefault="00B070BF" w:rsidP="00C33D4A">
            <w:pPr>
              <w:widowControl w:val="0"/>
              <w:rPr>
                <w:sz w:val="16"/>
                <w:szCs w:val="16"/>
                <w:lang w:val="es-ES_tradnl" w:bidi="th-TH"/>
              </w:rPr>
            </w:pPr>
          </w:p>
          <w:p w:rsidR="00B070BF" w:rsidRPr="009577DE" w:rsidRDefault="00B070BF" w:rsidP="00C33D4A">
            <w:pPr>
              <w:widowControl w:val="0"/>
              <w:rPr>
                <w:sz w:val="16"/>
                <w:szCs w:val="16"/>
                <w:lang w:val="es-ES_tradnl" w:bidi="th-TH"/>
              </w:rPr>
            </w:pPr>
          </w:p>
          <w:p w:rsidR="00B070BF" w:rsidRPr="009577DE" w:rsidRDefault="00B070BF" w:rsidP="00C33D4A">
            <w:pPr>
              <w:widowControl w:val="0"/>
              <w:rPr>
                <w:sz w:val="16"/>
                <w:szCs w:val="16"/>
                <w:lang w:val="es-ES_tradnl" w:bidi="th-TH"/>
              </w:rPr>
            </w:pPr>
          </w:p>
        </w:tc>
        <w:tc>
          <w:tcPr>
            <w:tcW w:w="524" w:type="pct"/>
            <w:shd w:val="clear" w:color="auto" w:fill="auto"/>
            <w:tcMar>
              <w:top w:w="110" w:type="dxa"/>
            </w:tcMar>
          </w:tcPr>
          <w:p w:rsidR="00B070BF" w:rsidRPr="009577DE" w:rsidRDefault="00B070BF" w:rsidP="00C33D4A">
            <w:pPr>
              <w:widowControl w:val="0"/>
              <w:jc w:val="center"/>
              <w:rPr>
                <w:bCs/>
                <w:sz w:val="16"/>
                <w:szCs w:val="16"/>
                <w:lang w:val="es-ES_tradnl"/>
              </w:rPr>
            </w:pPr>
            <w:r w:rsidRPr="009577DE">
              <w:rPr>
                <w:b/>
                <w:bCs/>
                <w:sz w:val="16"/>
                <w:szCs w:val="16"/>
                <w:lang w:val="es-ES_tradnl"/>
              </w:rPr>
              <w:t>No disponible para 2012</w:t>
            </w:r>
          </w:p>
          <w:p w:rsidR="00B070BF" w:rsidRPr="009577DE" w:rsidRDefault="00B070BF" w:rsidP="00C33D4A">
            <w:pPr>
              <w:widowControl w:val="0"/>
              <w:rPr>
                <w:bCs/>
                <w:sz w:val="16"/>
                <w:szCs w:val="16"/>
                <w:lang w:val="es-ES_tradnl"/>
              </w:rPr>
            </w:pPr>
            <w:r w:rsidRPr="009577DE">
              <w:rPr>
                <w:bCs/>
                <w:sz w:val="16"/>
                <w:szCs w:val="16"/>
                <w:lang w:val="es-ES_tradnl"/>
              </w:rPr>
              <w:br/>
            </w:r>
          </w:p>
        </w:tc>
      </w:tr>
      <w:tr w:rsidR="00B070BF" w:rsidRPr="009577DE" w:rsidTr="00C33D4A">
        <w:trPr>
          <w:cantSplit/>
        </w:trPr>
        <w:tc>
          <w:tcPr>
            <w:tcW w:w="887" w:type="pct"/>
            <w:shd w:val="clear" w:color="auto" w:fill="FFFFFF"/>
          </w:tcPr>
          <w:p w:rsidR="00B070BF" w:rsidRPr="009577DE" w:rsidRDefault="00B070BF" w:rsidP="00C33D4A">
            <w:pPr>
              <w:widowControl w:val="0"/>
              <w:rPr>
                <w:sz w:val="16"/>
                <w:szCs w:val="16"/>
                <w:lang w:val="es-ES_tradnl" w:bidi="th-TH"/>
              </w:rPr>
            </w:pPr>
            <w:r w:rsidRPr="009577DE">
              <w:rPr>
                <w:sz w:val="16"/>
                <w:szCs w:val="16"/>
                <w:lang w:val="es-ES_tradnl" w:bidi="th-TH"/>
              </w:rPr>
              <w:t>Porcentaje de países que consideraron útil la información proporcionada en relación con los principios y prácticas del sistema de patentes, y ello incluye las flexibilidades que ofrece el sistema y los desafíos que se plantean en la materia.</w:t>
            </w:r>
          </w:p>
          <w:p w:rsidR="00B070BF" w:rsidRPr="009577DE" w:rsidRDefault="00B070BF" w:rsidP="00C33D4A">
            <w:pPr>
              <w:widowControl w:val="0"/>
              <w:rPr>
                <w:sz w:val="16"/>
                <w:szCs w:val="16"/>
                <w:lang w:val="es-ES_tradnl" w:bidi="th-TH"/>
              </w:rPr>
            </w:pPr>
          </w:p>
        </w:tc>
        <w:tc>
          <w:tcPr>
            <w:tcW w:w="887" w:type="pct"/>
            <w:shd w:val="clear" w:color="auto" w:fill="C0C0C0"/>
          </w:tcPr>
          <w:p w:rsidR="00B070BF" w:rsidRPr="009577DE" w:rsidRDefault="00B070BF" w:rsidP="00C33D4A">
            <w:pPr>
              <w:widowControl w:val="0"/>
              <w:rPr>
                <w:sz w:val="16"/>
                <w:szCs w:val="16"/>
                <w:lang w:val="es-ES_tradnl" w:bidi="th-TH"/>
              </w:rPr>
            </w:pPr>
            <w:r w:rsidRPr="009577DE">
              <w:rPr>
                <w:sz w:val="16"/>
                <w:szCs w:val="16"/>
                <w:lang w:val="es-ES_tradnl" w:bidi="th-TH"/>
              </w:rPr>
              <w:t>No se dispone de datos.</w:t>
            </w:r>
          </w:p>
        </w:tc>
        <w:tc>
          <w:tcPr>
            <w:tcW w:w="885" w:type="pct"/>
            <w:shd w:val="clear" w:color="auto" w:fill="auto"/>
            <w:tcMar>
              <w:top w:w="110" w:type="dxa"/>
            </w:tcMar>
          </w:tcPr>
          <w:p w:rsidR="00B070BF" w:rsidRPr="00D44D8F" w:rsidRDefault="00B070BF" w:rsidP="00C33D4A">
            <w:pPr>
              <w:widowControl w:val="0"/>
              <w:rPr>
                <w:color w:val="993300"/>
                <w:sz w:val="16"/>
                <w:szCs w:val="16"/>
                <w:lang w:val="es-ES_tradnl" w:bidi="th-TH"/>
              </w:rPr>
            </w:pPr>
            <w:r w:rsidRPr="00D44D8F">
              <w:rPr>
                <w:color w:val="993300"/>
                <w:sz w:val="16"/>
                <w:szCs w:val="16"/>
                <w:lang w:val="es-ES_tradnl" w:bidi="th-TH"/>
              </w:rPr>
              <w:t>Los informes del SCP y del CDIP permiten conocer las opiniones de los Estados miembros (no se dispone de estadísticas).</w:t>
            </w:r>
          </w:p>
          <w:p w:rsidR="00B070BF" w:rsidRPr="00D44D8F" w:rsidRDefault="00B070BF" w:rsidP="00C33D4A">
            <w:pPr>
              <w:widowControl w:val="0"/>
              <w:rPr>
                <w:color w:val="993300"/>
                <w:sz w:val="16"/>
                <w:szCs w:val="16"/>
                <w:lang w:val="es-ES_tradnl" w:bidi="th-TH"/>
              </w:rPr>
            </w:pPr>
          </w:p>
        </w:tc>
        <w:tc>
          <w:tcPr>
            <w:tcW w:w="1817" w:type="pct"/>
            <w:gridSpan w:val="2"/>
            <w:shd w:val="clear" w:color="auto" w:fill="FFFFFF"/>
            <w:tcMar>
              <w:top w:w="110" w:type="dxa"/>
            </w:tcMar>
          </w:tcPr>
          <w:p w:rsidR="00B070BF" w:rsidRPr="009577DE" w:rsidRDefault="00B070BF" w:rsidP="00C33D4A">
            <w:pPr>
              <w:widowControl w:val="0"/>
              <w:rPr>
                <w:sz w:val="16"/>
                <w:szCs w:val="16"/>
                <w:lang w:val="es-ES_tradnl" w:bidi="th-TH"/>
              </w:rPr>
            </w:pPr>
            <w:r w:rsidRPr="009577DE">
              <w:rPr>
                <w:sz w:val="16"/>
                <w:szCs w:val="16"/>
                <w:lang w:val="es-ES_tradnl" w:bidi="th-TH"/>
              </w:rPr>
              <w:t>La mayoría de los Estados miembros expresó su satisfacción con la calidad de la información proporcionada.</w:t>
            </w:r>
          </w:p>
          <w:p w:rsidR="00B070BF" w:rsidRPr="009577DE" w:rsidRDefault="00B070BF" w:rsidP="00C33D4A">
            <w:pPr>
              <w:widowControl w:val="0"/>
              <w:rPr>
                <w:sz w:val="16"/>
                <w:szCs w:val="16"/>
                <w:lang w:val="es-ES_tradnl" w:bidi="th-TH"/>
              </w:rPr>
            </w:pPr>
          </w:p>
          <w:p w:rsidR="00B070BF" w:rsidRPr="009577DE" w:rsidRDefault="00B070BF" w:rsidP="00C33D4A">
            <w:pPr>
              <w:widowControl w:val="0"/>
              <w:rPr>
                <w:sz w:val="16"/>
                <w:szCs w:val="16"/>
                <w:lang w:val="es-ES_tradnl" w:bidi="th-TH"/>
              </w:rPr>
            </w:pPr>
          </w:p>
          <w:p w:rsidR="00B070BF" w:rsidRPr="009577DE" w:rsidRDefault="00B070BF" w:rsidP="00C33D4A">
            <w:pPr>
              <w:widowControl w:val="0"/>
              <w:rPr>
                <w:sz w:val="16"/>
                <w:szCs w:val="16"/>
                <w:lang w:val="es-ES_tradnl" w:bidi="th-TH"/>
              </w:rPr>
            </w:pPr>
          </w:p>
          <w:p w:rsidR="00B070BF" w:rsidRPr="009577DE" w:rsidRDefault="00B070BF" w:rsidP="00C33D4A">
            <w:pPr>
              <w:widowControl w:val="0"/>
              <w:rPr>
                <w:sz w:val="16"/>
                <w:szCs w:val="16"/>
                <w:lang w:val="es-ES_tradnl" w:bidi="th-TH"/>
              </w:rPr>
            </w:pPr>
          </w:p>
        </w:tc>
        <w:tc>
          <w:tcPr>
            <w:tcW w:w="524" w:type="pct"/>
            <w:shd w:val="clear" w:color="auto" w:fill="auto"/>
            <w:tcMar>
              <w:top w:w="110" w:type="dxa"/>
            </w:tcMar>
          </w:tcPr>
          <w:p w:rsidR="00B070BF" w:rsidRPr="009577DE" w:rsidRDefault="00B070BF" w:rsidP="00C33D4A">
            <w:pPr>
              <w:widowControl w:val="0"/>
              <w:jc w:val="center"/>
              <w:rPr>
                <w:b/>
                <w:bCs/>
                <w:sz w:val="16"/>
                <w:szCs w:val="16"/>
                <w:lang w:val="es-ES_tradnl"/>
              </w:rPr>
            </w:pPr>
            <w:r w:rsidRPr="009577DE">
              <w:rPr>
                <w:b/>
                <w:bCs/>
                <w:color w:val="008000"/>
                <w:sz w:val="16"/>
                <w:szCs w:val="16"/>
                <w:lang w:val="es-ES_tradnl"/>
              </w:rPr>
              <w:t>Progresa con normalidad</w:t>
            </w:r>
          </w:p>
          <w:p w:rsidR="00B070BF" w:rsidRPr="009577DE" w:rsidRDefault="00B070BF" w:rsidP="00C33D4A">
            <w:pPr>
              <w:widowControl w:val="0"/>
              <w:jc w:val="center"/>
              <w:rPr>
                <w:bCs/>
                <w:sz w:val="16"/>
                <w:szCs w:val="16"/>
                <w:lang w:val="es-ES_tradnl"/>
              </w:rPr>
            </w:pPr>
          </w:p>
          <w:p w:rsidR="00B070BF" w:rsidRPr="009577DE" w:rsidRDefault="00B070BF" w:rsidP="00C33D4A">
            <w:pPr>
              <w:widowControl w:val="0"/>
              <w:jc w:val="center"/>
              <w:rPr>
                <w:bCs/>
                <w:sz w:val="16"/>
                <w:szCs w:val="16"/>
                <w:lang w:val="es-ES_tradnl"/>
              </w:rPr>
            </w:pPr>
          </w:p>
        </w:tc>
      </w:tr>
      <w:tr w:rsidR="00B070BF" w:rsidRPr="009577DE" w:rsidTr="00C33D4A">
        <w:trPr>
          <w:cantSplit/>
        </w:trPr>
        <w:tc>
          <w:tcPr>
            <w:tcW w:w="887" w:type="pct"/>
            <w:shd w:val="clear" w:color="auto" w:fill="FFFFFF"/>
          </w:tcPr>
          <w:p w:rsidR="00B070BF" w:rsidRPr="009577DE" w:rsidRDefault="00B070BF" w:rsidP="00C33D4A">
            <w:pPr>
              <w:widowControl w:val="0"/>
              <w:rPr>
                <w:sz w:val="16"/>
                <w:szCs w:val="16"/>
                <w:lang w:val="es-ES_tradnl" w:bidi="th-TH"/>
              </w:rPr>
            </w:pPr>
            <w:r w:rsidRPr="009577DE">
              <w:rPr>
                <w:sz w:val="16"/>
                <w:szCs w:val="16"/>
                <w:lang w:val="es-ES_tradnl" w:bidi="th-TH"/>
              </w:rPr>
              <w:lastRenderedPageBreak/>
              <w:t xml:space="preserve">Porcentaje de participantes en talleres/seminarios sobre cuestiones específicas relacionadas con las patentes que expresaron satisfacción al respecto. </w:t>
            </w:r>
          </w:p>
        </w:tc>
        <w:tc>
          <w:tcPr>
            <w:tcW w:w="887" w:type="pct"/>
            <w:shd w:val="clear" w:color="auto" w:fill="C0C0C0"/>
          </w:tcPr>
          <w:p w:rsidR="00B070BF" w:rsidRPr="009577DE" w:rsidRDefault="00B070BF" w:rsidP="00C33D4A">
            <w:pPr>
              <w:widowControl w:val="0"/>
              <w:rPr>
                <w:sz w:val="16"/>
                <w:szCs w:val="16"/>
                <w:lang w:val="es-ES_tradnl" w:bidi="th-TH"/>
              </w:rPr>
            </w:pPr>
            <w:r w:rsidRPr="009577DE">
              <w:rPr>
                <w:sz w:val="16"/>
                <w:szCs w:val="16"/>
                <w:lang w:val="es-ES_tradnl" w:bidi="th-TH"/>
              </w:rPr>
              <w:t>No se dispone de datos.</w:t>
            </w:r>
          </w:p>
        </w:tc>
        <w:tc>
          <w:tcPr>
            <w:tcW w:w="885" w:type="pct"/>
            <w:shd w:val="clear" w:color="auto" w:fill="auto"/>
            <w:tcMar>
              <w:top w:w="110" w:type="dxa"/>
            </w:tcMar>
          </w:tcPr>
          <w:p w:rsidR="00B070BF" w:rsidRPr="009577DE" w:rsidRDefault="00B070BF" w:rsidP="00C33D4A">
            <w:pPr>
              <w:widowControl w:val="0"/>
              <w:rPr>
                <w:sz w:val="16"/>
                <w:szCs w:val="16"/>
                <w:lang w:val="es-ES_tradnl" w:bidi="th-TH"/>
              </w:rPr>
            </w:pPr>
          </w:p>
        </w:tc>
        <w:tc>
          <w:tcPr>
            <w:tcW w:w="1817" w:type="pct"/>
            <w:gridSpan w:val="2"/>
            <w:shd w:val="clear" w:color="auto" w:fill="FFFFFF"/>
            <w:tcMar>
              <w:top w:w="110" w:type="dxa"/>
            </w:tcMar>
          </w:tcPr>
          <w:p w:rsidR="00B070BF" w:rsidRPr="009577DE" w:rsidRDefault="00B070BF" w:rsidP="00C33D4A">
            <w:pPr>
              <w:widowControl w:val="0"/>
              <w:spacing w:after="80"/>
              <w:rPr>
                <w:sz w:val="16"/>
                <w:szCs w:val="16"/>
                <w:lang w:val="es-ES_tradnl" w:bidi="th-TH"/>
              </w:rPr>
            </w:pPr>
            <w:r w:rsidRPr="009577DE">
              <w:rPr>
                <w:sz w:val="16"/>
                <w:szCs w:val="16"/>
                <w:lang w:val="es-ES_tradnl" w:bidi="th-TH"/>
              </w:rPr>
              <w:t xml:space="preserve">Taller nacional sobre la política de patentes y su aplicación legislativa (Costa Rica, septiembre de 2012) (92,5%). </w:t>
            </w:r>
          </w:p>
          <w:p w:rsidR="00B070BF" w:rsidRPr="009577DE" w:rsidRDefault="00B070BF" w:rsidP="00C33D4A">
            <w:pPr>
              <w:widowControl w:val="0"/>
              <w:spacing w:after="80"/>
              <w:rPr>
                <w:sz w:val="16"/>
                <w:szCs w:val="16"/>
                <w:lang w:val="es-ES_tradnl" w:bidi="th-TH"/>
              </w:rPr>
            </w:pPr>
            <w:r w:rsidRPr="009577DE">
              <w:rPr>
                <w:sz w:val="16"/>
                <w:szCs w:val="16"/>
                <w:lang w:val="es-ES_tradnl" w:bidi="th-TH"/>
              </w:rPr>
              <w:t xml:space="preserve">Taller subregional sobre la protección de la invención en el sector farmacéutico:  patentes, información no divulgada y políticas de salud (Riad (Arabia Saudita), octubre de 2012) (96,7%). </w:t>
            </w:r>
          </w:p>
          <w:p w:rsidR="00B070BF" w:rsidRPr="009577DE" w:rsidRDefault="00B070BF" w:rsidP="00C33D4A">
            <w:pPr>
              <w:widowControl w:val="0"/>
              <w:rPr>
                <w:sz w:val="16"/>
                <w:szCs w:val="16"/>
                <w:lang w:val="es-ES_tradnl" w:bidi="th-TH"/>
              </w:rPr>
            </w:pPr>
            <w:r w:rsidRPr="009577DE">
              <w:rPr>
                <w:sz w:val="16"/>
                <w:szCs w:val="16"/>
                <w:lang w:val="es-ES_tradnl" w:bidi="th-TH"/>
              </w:rPr>
              <w:t xml:space="preserve">Seminario regional sobre los aspectos legislativos, económicos y de política del sistema de protección de los modelos de utilidad (Kuala Lumpur (Malasia), septiembre de 2012) (100%).  </w:t>
            </w:r>
          </w:p>
          <w:p w:rsidR="00B070BF" w:rsidRPr="009577DE" w:rsidRDefault="00B070BF" w:rsidP="00C33D4A">
            <w:pPr>
              <w:widowControl w:val="0"/>
              <w:rPr>
                <w:sz w:val="16"/>
                <w:szCs w:val="16"/>
                <w:lang w:val="es-ES_tradnl" w:bidi="th-TH"/>
              </w:rPr>
            </w:pPr>
          </w:p>
          <w:p w:rsidR="00B070BF" w:rsidRPr="009577DE" w:rsidRDefault="00B070BF" w:rsidP="00C33D4A">
            <w:pPr>
              <w:widowControl w:val="0"/>
              <w:rPr>
                <w:sz w:val="16"/>
                <w:szCs w:val="16"/>
                <w:lang w:val="es-ES_tradnl" w:bidi="th-TH"/>
              </w:rPr>
            </w:pPr>
            <w:r w:rsidRPr="009577DE">
              <w:rPr>
                <w:sz w:val="16"/>
                <w:szCs w:val="16"/>
                <w:lang w:val="es-ES_tradnl" w:bidi="th-TH"/>
              </w:rPr>
              <w:t>Curso de formación sobre Derecho y examen de patentes (República de Corea);  coloquio OMPI-OMC para enseñantes de propiedad intelectual (Ginebra);  seminario interregional de nivel intermedio sobre propiedad industrial (Ginebra).</w:t>
            </w:r>
          </w:p>
          <w:p w:rsidR="00B070BF" w:rsidRPr="009577DE" w:rsidRDefault="00B070BF" w:rsidP="00C33D4A">
            <w:pPr>
              <w:widowControl w:val="0"/>
              <w:rPr>
                <w:sz w:val="16"/>
                <w:szCs w:val="16"/>
                <w:lang w:val="es-ES_tradnl" w:bidi="th-TH"/>
              </w:rPr>
            </w:pPr>
          </w:p>
          <w:p w:rsidR="00B070BF" w:rsidRPr="009577DE" w:rsidRDefault="00B070BF" w:rsidP="00C33D4A">
            <w:pPr>
              <w:widowControl w:val="0"/>
              <w:rPr>
                <w:sz w:val="16"/>
                <w:szCs w:val="16"/>
                <w:lang w:val="es-ES_tradnl" w:bidi="th-TH"/>
              </w:rPr>
            </w:pPr>
            <w:r w:rsidRPr="009577DE">
              <w:rPr>
                <w:sz w:val="16"/>
                <w:szCs w:val="16"/>
                <w:lang w:val="es-ES_tradnl" w:bidi="th-TH"/>
              </w:rPr>
              <w:t>Todos los participantes expresaron su satisfacción con los talleres y seminarios a los que habían asistido (100%).</w:t>
            </w:r>
          </w:p>
          <w:p w:rsidR="00B070BF" w:rsidRPr="009577DE" w:rsidRDefault="00B070BF" w:rsidP="00C33D4A">
            <w:pPr>
              <w:widowControl w:val="0"/>
              <w:rPr>
                <w:sz w:val="16"/>
                <w:szCs w:val="16"/>
                <w:lang w:val="es-ES_tradnl" w:bidi="th-TH"/>
              </w:rPr>
            </w:pPr>
          </w:p>
          <w:p w:rsidR="00B070BF" w:rsidRPr="009577DE" w:rsidRDefault="00B070BF" w:rsidP="00C33D4A">
            <w:pPr>
              <w:widowControl w:val="0"/>
              <w:rPr>
                <w:sz w:val="16"/>
                <w:szCs w:val="16"/>
                <w:lang w:val="es-ES_tradnl" w:bidi="th-TH"/>
              </w:rPr>
            </w:pPr>
          </w:p>
        </w:tc>
        <w:tc>
          <w:tcPr>
            <w:tcW w:w="524" w:type="pct"/>
            <w:shd w:val="clear" w:color="auto" w:fill="auto"/>
            <w:tcMar>
              <w:top w:w="110" w:type="dxa"/>
            </w:tcMar>
          </w:tcPr>
          <w:p w:rsidR="00B070BF" w:rsidRPr="009577DE" w:rsidRDefault="00B070BF" w:rsidP="00C33D4A">
            <w:pPr>
              <w:widowControl w:val="0"/>
              <w:jc w:val="center"/>
              <w:rPr>
                <w:b/>
                <w:bCs/>
                <w:sz w:val="16"/>
                <w:szCs w:val="16"/>
                <w:lang w:val="es-ES_tradnl"/>
              </w:rPr>
            </w:pPr>
            <w:r w:rsidRPr="009577DE">
              <w:rPr>
                <w:b/>
                <w:bCs/>
                <w:color w:val="008000"/>
                <w:sz w:val="16"/>
                <w:szCs w:val="16"/>
                <w:lang w:val="es-ES_tradnl"/>
              </w:rPr>
              <w:t>Progresa con normalidad</w:t>
            </w:r>
          </w:p>
          <w:p w:rsidR="00B070BF" w:rsidRPr="009577DE" w:rsidRDefault="00B070BF" w:rsidP="00C33D4A">
            <w:pPr>
              <w:widowControl w:val="0"/>
              <w:jc w:val="center"/>
              <w:rPr>
                <w:bCs/>
                <w:sz w:val="16"/>
                <w:szCs w:val="16"/>
                <w:lang w:val="es-ES_tradnl"/>
              </w:rPr>
            </w:pPr>
          </w:p>
        </w:tc>
      </w:tr>
      <w:tr w:rsidR="00B070BF" w:rsidRPr="009577DE" w:rsidTr="00C33D4A">
        <w:trPr>
          <w:cantSplit/>
        </w:trPr>
        <w:tc>
          <w:tcPr>
            <w:tcW w:w="887" w:type="pct"/>
            <w:shd w:val="clear" w:color="auto" w:fill="FFFFFF"/>
          </w:tcPr>
          <w:p w:rsidR="00B070BF" w:rsidRPr="009577DE" w:rsidRDefault="00B070BF" w:rsidP="00C33D4A">
            <w:pPr>
              <w:widowControl w:val="0"/>
              <w:rPr>
                <w:sz w:val="16"/>
                <w:szCs w:val="16"/>
                <w:lang w:val="es-ES_tradnl" w:bidi="th-TH"/>
              </w:rPr>
            </w:pPr>
            <w:r w:rsidRPr="009577DE">
              <w:rPr>
                <w:sz w:val="16"/>
                <w:szCs w:val="16"/>
                <w:lang w:val="es-ES_tradnl" w:bidi="th-TH"/>
              </w:rPr>
              <w:t xml:space="preserve">Número de Estados miembros que recibieron asesoramiento en materia legislativa en la esfera de las marcas, los dibujos y modelos industriales y las indicaciones geográficas. </w:t>
            </w:r>
          </w:p>
          <w:p w:rsidR="00B070BF" w:rsidRPr="009577DE" w:rsidRDefault="00B070BF" w:rsidP="00C33D4A">
            <w:pPr>
              <w:widowControl w:val="0"/>
              <w:rPr>
                <w:sz w:val="16"/>
                <w:szCs w:val="16"/>
                <w:lang w:val="es-ES_tradnl" w:bidi="th-TH"/>
              </w:rPr>
            </w:pPr>
          </w:p>
        </w:tc>
        <w:tc>
          <w:tcPr>
            <w:tcW w:w="887" w:type="pct"/>
            <w:shd w:val="clear" w:color="auto" w:fill="C0C0C0"/>
          </w:tcPr>
          <w:p w:rsidR="00B070BF" w:rsidRPr="009577DE" w:rsidRDefault="00B070BF" w:rsidP="00C33D4A">
            <w:pPr>
              <w:widowControl w:val="0"/>
              <w:rPr>
                <w:sz w:val="16"/>
                <w:szCs w:val="16"/>
                <w:lang w:val="es-ES_tradnl" w:bidi="th-TH"/>
              </w:rPr>
            </w:pPr>
            <w:r w:rsidRPr="009577DE">
              <w:rPr>
                <w:sz w:val="16"/>
                <w:szCs w:val="16"/>
                <w:lang w:val="es-ES_tradnl" w:bidi="th-TH"/>
              </w:rPr>
              <w:t>18 (2010)</w:t>
            </w:r>
          </w:p>
          <w:p w:rsidR="00B070BF" w:rsidRPr="009577DE" w:rsidRDefault="00B070BF" w:rsidP="00C33D4A">
            <w:pPr>
              <w:widowControl w:val="0"/>
              <w:rPr>
                <w:sz w:val="16"/>
                <w:szCs w:val="16"/>
                <w:lang w:val="es-ES_tradnl" w:bidi="th-TH"/>
              </w:rPr>
            </w:pPr>
            <w:r w:rsidRPr="009577DE">
              <w:rPr>
                <w:sz w:val="16"/>
                <w:szCs w:val="16"/>
                <w:lang w:val="es-ES_tradnl" w:bidi="th-TH"/>
              </w:rPr>
              <w:t>19 (2011)</w:t>
            </w:r>
          </w:p>
        </w:tc>
        <w:tc>
          <w:tcPr>
            <w:tcW w:w="885" w:type="pct"/>
            <w:shd w:val="clear" w:color="auto" w:fill="auto"/>
            <w:tcMar>
              <w:top w:w="110" w:type="dxa"/>
            </w:tcMar>
          </w:tcPr>
          <w:p w:rsidR="00B070BF" w:rsidRPr="00D44D8F" w:rsidRDefault="00B070BF" w:rsidP="00C33D4A">
            <w:pPr>
              <w:widowControl w:val="0"/>
              <w:rPr>
                <w:color w:val="993300"/>
                <w:sz w:val="16"/>
                <w:szCs w:val="16"/>
                <w:lang w:val="es-ES_tradnl" w:bidi="th-TH"/>
              </w:rPr>
            </w:pPr>
            <w:r w:rsidRPr="00D44D8F">
              <w:rPr>
                <w:color w:val="993300"/>
                <w:sz w:val="16"/>
                <w:szCs w:val="16"/>
                <w:lang w:val="es-ES_tradnl" w:bidi="th-TH"/>
              </w:rPr>
              <w:t>19 (2010)</w:t>
            </w:r>
          </w:p>
          <w:p w:rsidR="00B070BF" w:rsidRPr="009577DE" w:rsidRDefault="00B070BF" w:rsidP="00C33D4A">
            <w:pPr>
              <w:widowControl w:val="0"/>
              <w:rPr>
                <w:sz w:val="16"/>
                <w:szCs w:val="16"/>
                <w:lang w:val="es-ES_tradnl" w:bidi="th-TH"/>
              </w:rPr>
            </w:pPr>
            <w:r w:rsidRPr="00D44D8F">
              <w:rPr>
                <w:color w:val="993300"/>
                <w:sz w:val="16"/>
                <w:szCs w:val="16"/>
                <w:lang w:val="es-ES_tradnl" w:bidi="th-TH"/>
              </w:rPr>
              <w:t>20 (2011</w:t>
            </w:r>
            <w:r w:rsidRPr="009577DE">
              <w:rPr>
                <w:sz w:val="16"/>
                <w:szCs w:val="16"/>
                <w:lang w:val="es-ES_tradnl" w:bidi="th-TH"/>
              </w:rPr>
              <w:t>)</w:t>
            </w:r>
          </w:p>
        </w:tc>
        <w:tc>
          <w:tcPr>
            <w:tcW w:w="1817" w:type="pct"/>
            <w:gridSpan w:val="2"/>
            <w:shd w:val="clear" w:color="auto" w:fill="FFFFFF"/>
            <w:tcMar>
              <w:top w:w="110" w:type="dxa"/>
            </w:tcMar>
          </w:tcPr>
          <w:p w:rsidR="00B070BF" w:rsidRPr="009577DE" w:rsidRDefault="00B070BF" w:rsidP="00C33D4A">
            <w:pPr>
              <w:widowControl w:val="0"/>
              <w:spacing w:after="40"/>
              <w:rPr>
                <w:sz w:val="16"/>
                <w:szCs w:val="16"/>
                <w:lang w:val="es-ES_tradnl" w:bidi="th-TH"/>
              </w:rPr>
            </w:pPr>
            <w:r w:rsidRPr="009577DE">
              <w:rPr>
                <w:sz w:val="16"/>
                <w:szCs w:val="16"/>
                <w:lang w:val="es-ES_tradnl" w:bidi="th-TH"/>
              </w:rPr>
              <w:t>Asesoramiento proporcionado a 11 Estados miembros sobre 18 proyectos de legislación distintos:</w:t>
            </w:r>
          </w:p>
          <w:p w:rsidR="00B070BF" w:rsidRPr="009577DE" w:rsidRDefault="00B070BF" w:rsidP="00B070BF">
            <w:pPr>
              <w:widowControl w:val="0"/>
              <w:numPr>
                <w:ilvl w:val="0"/>
                <w:numId w:val="46"/>
              </w:numPr>
              <w:rPr>
                <w:sz w:val="16"/>
                <w:szCs w:val="16"/>
                <w:lang w:val="es-ES_tradnl" w:bidi="th-TH"/>
              </w:rPr>
            </w:pPr>
            <w:r w:rsidRPr="009577DE">
              <w:rPr>
                <w:sz w:val="16"/>
                <w:szCs w:val="16"/>
                <w:lang w:val="es-ES_tradnl" w:bidi="th-TH"/>
              </w:rPr>
              <w:t>África (2)</w:t>
            </w:r>
          </w:p>
          <w:p w:rsidR="00B070BF" w:rsidRPr="009577DE" w:rsidRDefault="00B070BF" w:rsidP="00B070BF">
            <w:pPr>
              <w:widowControl w:val="0"/>
              <w:numPr>
                <w:ilvl w:val="0"/>
                <w:numId w:val="46"/>
              </w:numPr>
              <w:rPr>
                <w:sz w:val="16"/>
                <w:szCs w:val="16"/>
                <w:lang w:val="es-ES_tradnl" w:bidi="th-TH"/>
              </w:rPr>
            </w:pPr>
            <w:r w:rsidRPr="009577DE">
              <w:rPr>
                <w:sz w:val="16"/>
                <w:szCs w:val="16"/>
                <w:lang w:val="es-ES_tradnl" w:bidi="th-TH"/>
              </w:rPr>
              <w:t>región de los países árabes (1)</w:t>
            </w:r>
          </w:p>
          <w:p w:rsidR="00B070BF" w:rsidRPr="009577DE" w:rsidRDefault="00B070BF" w:rsidP="00B070BF">
            <w:pPr>
              <w:widowControl w:val="0"/>
              <w:numPr>
                <w:ilvl w:val="0"/>
                <w:numId w:val="46"/>
              </w:numPr>
              <w:rPr>
                <w:sz w:val="16"/>
                <w:szCs w:val="16"/>
                <w:lang w:val="es-ES_tradnl" w:bidi="th-TH"/>
              </w:rPr>
            </w:pPr>
            <w:r w:rsidRPr="009577DE">
              <w:rPr>
                <w:sz w:val="16"/>
                <w:szCs w:val="16"/>
                <w:lang w:val="es-ES_tradnl" w:bidi="th-TH"/>
              </w:rPr>
              <w:t>Asia y el Pacífico (1)</w:t>
            </w:r>
          </w:p>
          <w:p w:rsidR="00B070BF" w:rsidRPr="009577DE" w:rsidRDefault="00B070BF" w:rsidP="00B070BF">
            <w:pPr>
              <w:widowControl w:val="0"/>
              <w:numPr>
                <w:ilvl w:val="0"/>
                <w:numId w:val="46"/>
              </w:numPr>
              <w:ind w:right="268"/>
              <w:rPr>
                <w:sz w:val="16"/>
                <w:szCs w:val="16"/>
                <w:lang w:val="es-ES_tradnl" w:bidi="th-TH"/>
              </w:rPr>
            </w:pPr>
            <w:r w:rsidRPr="009577DE">
              <w:rPr>
                <w:sz w:val="16"/>
                <w:szCs w:val="16"/>
                <w:lang w:val="es-ES_tradnl" w:bidi="th-TH"/>
              </w:rPr>
              <w:t>América Latina y el Caribe (7)</w:t>
            </w:r>
          </w:p>
          <w:p w:rsidR="00B070BF" w:rsidRPr="009577DE" w:rsidRDefault="00B070BF" w:rsidP="00C33D4A">
            <w:pPr>
              <w:widowControl w:val="0"/>
              <w:rPr>
                <w:sz w:val="16"/>
                <w:szCs w:val="16"/>
                <w:lang w:val="es-ES_tradnl" w:bidi="th-TH"/>
              </w:rPr>
            </w:pPr>
          </w:p>
        </w:tc>
        <w:tc>
          <w:tcPr>
            <w:tcW w:w="524" w:type="pct"/>
            <w:shd w:val="clear" w:color="auto" w:fill="auto"/>
            <w:tcMar>
              <w:top w:w="110" w:type="dxa"/>
            </w:tcMar>
          </w:tcPr>
          <w:p w:rsidR="00B070BF" w:rsidRPr="009577DE" w:rsidRDefault="00B070BF" w:rsidP="00C33D4A">
            <w:pPr>
              <w:widowControl w:val="0"/>
              <w:jc w:val="center"/>
              <w:rPr>
                <w:b/>
                <w:bCs/>
                <w:sz w:val="16"/>
                <w:szCs w:val="16"/>
                <w:lang w:val="es-ES_tradnl"/>
              </w:rPr>
            </w:pPr>
            <w:r w:rsidRPr="009577DE">
              <w:rPr>
                <w:b/>
                <w:bCs/>
                <w:color w:val="008000"/>
                <w:sz w:val="16"/>
                <w:szCs w:val="16"/>
                <w:lang w:val="es-ES_tradnl"/>
              </w:rPr>
              <w:t>Progresa con normalidad</w:t>
            </w:r>
          </w:p>
          <w:p w:rsidR="00B070BF" w:rsidRPr="009577DE" w:rsidRDefault="00B070BF" w:rsidP="00C33D4A">
            <w:pPr>
              <w:widowControl w:val="0"/>
              <w:jc w:val="center"/>
              <w:rPr>
                <w:bCs/>
                <w:sz w:val="16"/>
                <w:szCs w:val="16"/>
                <w:lang w:val="es-ES_tradnl"/>
              </w:rPr>
            </w:pPr>
          </w:p>
        </w:tc>
      </w:tr>
      <w:tr w:rsidR="00B070BF" w:rsidRPr="009577DE" w:rsidTr="00C33D4A">
        <w:trPr>
          <w:cantSplit/>
        </w:trPr>
        <w:tc>
          <w:tcPr>
            <w:tcW w:w="887" w:type="pct"/>
            <w:shd w:val="clear" w:color="auto" w:fill="FFFFFF"/>
          </w:tcPr>
          <w:p w:rsidR="00B070BF" w:rsidRPr="009577DE" w:rsidRDefault="00B070BF" w:rsidP="00C33D4A">
            <w:pPr>
              <w:widowControl w:val="0"/>
              <w:rPr>
                <w:sz w:val="16"/>
                <w:szCs w:val="16"/>
                <w:lang w:val="es-ES_tradnl" w:bidi="th-TH"/>
              </w:rPr>
            </w:pPr>
            <w:r w:rsidRPr="009577DE">
              <w:rPr>
                <w:sz w:val="16"/>
                <w:szCs w:val="16"/>
                <w:lang w:val="es-ES_tradnl" w:bidi="th-TH"/>
              </w:rPr>
              <w:t xml:space="preserve">Número de países que presentaron comentarios positivos sobre la utilidad del asesoramiento proporcionado en materia legislativa en la esfera de las marcas, los dibujos y modelos industriales y las indicaciones geográficas. </w:t>
            </w:r>
          </w:p>
          <w:p w:rsidR="00B070BF" w:rsidRPr="009577DE" w:rsidRDefault="00B070BF" w:rsidP="00C33D4A">
            <w:pPr>
              <w:widowControl w:val="0"/>
              <w:rPr>
                <w:sz w:val="16"/>
                <w:szCs w:val="16"/>
                <w:lang w:val="es-ES_tradnl" w:bidi="th-TH"/>
              </w:rPr>
            </w:pPr>
          </w:p>
        </w:tc>
        <w:tc>
          <w:tcPr>
            <w:tcW w:w="887" w:type="pct"/>
            <w:shd w:val="clear" w:color="auto" w:fill="C0C0C0"/>
          </w:tcPr>
          <w:p w:rsidR="00B070BF" w:rsidRPr="009577DE" w:rsidRDefault="00B070BF" w:rsidP="00C33D4A">
            <w:pPr>
              <w:widowControl w:val="0"/>
              <w:rPr>
                <w:sz w:val="16"/>
                <w:szCs w:val="16"/>
                <w:lang w:val="es-ES_tradnl" w:bidi="th-TH"/>
              </w:rPr>
            </w:pPr>
            <w:r w:rsidRPr="009577DE">
              <w:rPr>
                <w:sz w:val="16"/>
                <w:szCs w:val="16"/>
                <w:lang w:val="es-ES_tradnl" w:bidi="th-TH"/>
              </w:rPr>
              <w:t>No se dispone de datos.</w:t>
            </w:r>
          </w:p>
        </w:tc>
        <w:tc>
          <w:tcPr>
            <w:tcW w:w="885" w:type="pct"/>
            <w:shd w:val="clear" w:color="auto" w:fill="auto"/>
            <w:tcMar>
              <w:top w:w="110" w:type="dxa"/>
            </w:tcMar>
          </w:tcPr>
          <w:p w:rsidR="00B070BF" w:rsidRPr="009577DE" w:rsidRDefault="00B070BF" w:rsidP="00C33D4A">
            <w:pPr>
              <w:widowControl w:val="0"/>
              <w:rPr>
                <w:sz w:val="16"/>
                <w:szCs w:val="16"/>
                <w:lang w:val="es-ES_tradnl" w:bidi="th-TH"/>
              </w:rPr>
            </w:pPr>
          </w:p>
        </w:tc>
        <w:tc>
          <w:tcPr>
            <w:tcW w:w="1817" w:type="pct"/>
            <w:gridSpan w:val="2"/>
            <w:shd w:val="clear" w:color="auto" w:fill="FFFFFF"/>
            <w:tcMar>
              <w:top w:w="110" w:type="dxa"/>
            </w:tcMar>
          </w:tcPr>
          <w:p w:rsidR="00B070BF" w:rsidRPr="009577DE" w:rsidRDefault="00B070BF" w:rsidP="00C33D4A">
            <w:pPr>
              <w:widowControl w:val="0"/>
              <w:rPr>
                <w:sz w:val="16"/>
                <w:szCs w:val="16"/>
                <w:lang w:val="es-ES_tradnl" w:bidi="th-TH"/>
              </w:rPr>
            </w:pPr>
            <w:r w:rsidRPr="009577DE">
              <w:rPr>
                <w:sz w:val="16"/>
                <w:szCs w:val="16"/>
                <w:lang w:val="es-ES_tradnl" w:bidi="th-TH"/>
              </w:rPr>
              <w:t>Se han recibido comentarios positivos de tres países (en una encuesta a la que respondieron tres encuestados).</w:t>
            </w:r>
          </w:p>
          <w:p w:rsidR="00B070BF" w:rsidRPr="009577DE" w:rsidRDefault="00B070BF" w:rsidP="00C33D4A">
            <w:pPr>
              <w:widowControl w:val="0"/>
              <w:rPr>
                <w:sz w:val="16"/>
                <w:szCs w:val="16"/>
                <w:lang w:val="es-ES_tradnl" w:bidi="th-TH"/>
              </w:rPr>
            </w:pPr>
          </w:p>
        </w:tc>
        <w:tc>
          <w:tcPr>
            <w:tcW w:w="524" w:type="pct"/>
            <w:shd w:val="clear" w:color="auto" w:fill="auto"/>
            <w:tcMar>
              <w:top w:w="110" w:type="dxa"/>
            </w:tcMar>
          </w:tcPr>
          <w:p w:rsidR="00B070BF" w:rsidRPr="009577DE" w:rsidRDefault="00B070BF" w:rsidP="00C33D4A">
            <w:pPr>
              <w:widowControl w:val="0"/>
              <w:jc w:val="center"/>
              <w:rPr>
                <w:b/>
                <w:bCs/>
                <w:sz w:val="16"/>
                <w:szCs w:val="16"/>
                <w:lang w:val="es-ES_tradnl"/>
              </w:rPr>
            </w:pPr>
            <w:r w:rsidRPr="009577DE">
              <w:rPr>
                <w:b/>
                <w:bCs/>
                <w:color w:val="008000"/>
                <w:sz w:val="16"/>
                <w:szCs w:val="16"/>
                <w:lang w:val="es-ES_tradnl"/>
              </w:rPr>
              <w:t>Progresa con normalidad</w:t>
            </w:r>
          </w:p>
          <w:p w:rsidR="00B070BF" w:rsidRPr="009577DE" w:rsidRDefault="00B070BF" w:rsidP="00C33D4A">
            <w:pPr>
              <w:widowControl w:val="0"/>
              <w:jc w:val="center"/>
              <w:rPr>
                <w:bCs/>
                <w:sz w:val="16"/>
                <w:szCs w:val="16"/>
                <w:lang w:val="es-ES_tradnl"/>
              </w:rPr>
            </w:pPr>
            <w:r w:rsidRPr="009577DE" w:rsidDel="00F806CA">
              <w:rPr>
                <w:bCs/>
                <w:sz w:val="16"/>
                <w:szCs w:val="16"/>
                <w:lang w:val="es-ES_tradnl"/>
              </w:rPr>
              <w:t xml:space="preserve"> </w:t>
            </w:r>
          </w:p>
        </w:tc>
      </w:tr>
      <w:tr w:rsidR="00B070BF" w:rsidRPr="009577DE" w:rsidTr="00C33D4A">
        <w:trPr>
          <w:cantSplit/>
        </w:trPr>
        <w:tc>
          <w:tcPr>
            <w:tcW w:w="887" w:type="pct"/>
            <w:shd w:val="clear" w:color="auto" w:fill="FFFFFF"/>
          </w:tcPr>
          <w:p w:rsidR="00B070BF" w:rsidRPr="009577DE" w:rsidRDefault="00B070BF" w:rsidP="00C33D4A">
            <w:pPr>
              <w:widowControl w:val="0"/>
              <w:rPr>
                <w:sz w:val="16"/>
                <w:szCs w:val="16"/>
                <w:lang w:val="es-ES_tradnl" w:bidi="th-TH"/>
              </w:rPr>
            </w:pPr>
            <w:r w:rsidRPr="009577DE">
              <w:rPr>
                <w:sz w:val="16"/>
                <w:szCs w:val="16"/>
                <w:lang w:val="es-ES_tradnl" w:bidi="th-TH"/>
              </w:rPr>
              <w:t>Número de países que han recibido asistencia técnica sobre marcos legislativos nuevos o actualizados de observancia de los derechos en los que se tienen en cuenta las flexibilidades previstas en la Parte III del Acuerdo sobre los ADPIC.</w:t>
            </w:r>
          </w:p>
          <w:p w:rsidR="00B070BF" w:rsidRPr="009577DE" w:rsidRDefault="00B070BF" w:rsidP="00C33D4A">
            <w:pPr>
              <w:widowControl w:val="0"/>
              <w:rPr>
                <w:sz w:val="16"/>
                <w:szCs w:val="16"/>
                <w:lang w:val="es-ES_tradnl" w:bidi="th-TH"/>
              </w:rPr>
            </w:pPr>
          </w:p>
        </w:tc>
        <w:tc>
          <w:tcPr>
            <w:tcW w:w="887" w:type="pct"/>
            <w:shd w:val="clear" w:color="auto" w:fill="C0C0C0"/>
          </w:tcPr>
          <w:p w:rsidR="00B070BF" w:rsidRPr="009577DE" w:rsidRDefault="00B070BF" w:rsidP="00C33D4A">
            <w:pPr>
              <w:widowControl w:val="0"/>
              <w:rPr>
                <w:sz w:val="16"/>
                <w:szCs w:val="16"/>
                <w:lang w:val="es-ES_tradnl" w:bidi="th-TH"/>
              </w:rPr>
            </w:pPr>
            <w:r w:rsidRPr="009577DE">
              <w:rPr>
                <w:sz w:val="16"/>
                <w:szCs w:val="16"/>
                <w:lang w:val="es-ES_tradnl" w:bidi="th-TH"/>
              </w:rPr>
              <w:t xml:space="preserve">Un grupo regional (África) </w:t>
            </w:r>
          </w:p>
          <w:p w:rsidR="00B070BF" w:rsidRPr="009577DE" w:rsidRDefault="00B070BF" w:rsidP="00C33D4A">
            <w:pPr>
              <w:widowControl w:val="0"/>
              <w:rPr>
                <w:sz w:val="16"/>
                <w:szCs w:val="16"/>
                <w:lang w:val="es-ES_tradnl" w:bidi="th-TH"/>
              </w:rPr>
            </w:pPr>
            <w:r w:rsidRPr="009577DE">
              <w:rPr>
                <w:sz w:val="16"/>
                <w:szCs w:val="16"/>
                <w:lang w:val="es-ES_tradnl" w:bidi="th-TH"/>
              </w:rPr>
              <w:t>Un país (Asia)</w:t>
            </w:r>
          </w:p>
        </w:tc>
        <w:tc>
          <w:tcPr>
            <w:tcW w:w="885" w:type="pct"/>
            <w:shd w:val="clear" w:color="auto" w:fill="auto"/>
            <w:tcMar>
              <w:top w:w="110" w:type="dxa"/>
            </w:tcMar>
          </w:tcPr>
          <w:p w:rsidR="00B070BF" w:rsidRPr="009577DE" w:rsidRDefault="00B070BF" w:rsidP="00C33D4A">
            <w:pPr>
              <w:widowControl w:val="0"/>
              <w:rPr>
                <w:sz w:val="16"/>
                <w:szCs w:val="16"/>
                <w:lang w:val="es-ES_tradnl" w:bidi="th-TH"/>
              </w:rPr>
            </w:pPr>
          </w:p>
        </w:tc>
        <w:tc>
          <w:tcPr>
            <w:tcW w:w="1817" w:type="pct"/>
            <w:gridSpan w:val="2"/>
            <w:shd w:val="clear" w:color="auto" w:fill="FFFFFF"/>
            <w:tcMar>
              <w:top w:w="110" w:type="dxa"/>
            </w:tcMar>
          </w:tcPr>
          <w:p w:rsidR="00B070BF" w:rsidRPr="009577DE" w:rsidRDefault="00B070BF" w:rsidP="00C33D4A">
            <w:pPr>
              <w:widowControl w:val="0"/>
              <w:ind w:right="49"/>
              <w:rPr>
                <w:sz w:val="16"/>
                <w:szCs w:val="16"/>
                <w:lang w:val="es-ES_tradnl" w:bidi="th-TH"/>
              </w:rPr>
            </w:pPr>
            <w:r w:rsidRPr="009577DE">
              <w:rPr>
                <w:sz w:val="16"/>
                <w:szCs w:val="16"/>
                <w:lang w:val="es-ES_tradnl" w:bidi="th-TH"/>
              </w:rPr>
              <w:t xml:space="preserve">En 2012 se prestó asistencia en materia legislativa a un grupo regional y a cuatro países (2 en África y 2 en Asia).  </w:t>
            </w:r>
          </w:p>
          <w:p w:rsidR="00B070BF" w:rsidRPr="009577DE" w:rsidRDefault="00B070BF" w:rsidP="00C33D4A">
            <w:pPr>
              <w:widowControl w:val="0"/>
              <w:rPr>
                <w:sz w:val="16"/>
                <w:szCs w:val="16"/>
                <w:lang w:val="es-ES_tradnl" w:bidi="th-TH"/>
              </w:rPr>
            </w:pPr>
          </w:p>
          <w:p w:rsidR="00B070BF" w:rsidRPr="009577DE" w:rsidRDefault="00B070BF" w:rsidP="00C33D4A">
            <w:pPr>
              <w:widowControl w:val="0"/>
              <w:rPr>
                <w:sz w:val="16"/>
                <w:szCs w:val="16"/>
                <w:highlight w:val="cyan"/>
                <w:lang w:val="es-ES_tradnl" w:bidi="th-TH"/>
              </w:rPr>
            </w:pPr>
          </w:p>
          <w:p w:rsidR="00B070BF" w:rsidRPr="009577DE" w:rsidRDefault="00B070BF" w:rsidP="00C33D4A">
            <w:pPr>
              <w:widowControl w:val="0"/>
              <w:rPr>
                <w:sz w:val="16"/>
                <w:szCs w:val="16"/>
                <w:highlight w:val="cyan"/>
                <w:lang w:val="es-ES_tradnl" w:bidi="th-TH"/>
              </w:rPr>
            </w:pPr>
          </w:p>
          <w:p w:rsidR="00B070BF" w:rsidRPr="009577DE" w:rsidRDefault="00B070BF" w:rsidP="00C33D4A">
            <w:pPr>
              <w:widowControl w:val="0"/>
              <w:rPr>
                <w:sz w:val="16"/>
                <w:szCs w:val="16"/>
                <w:highlight w:val="cyan"/>
                <w:lang w:val="es-ES_tradnl" w:bidi="th-TH"/>
              </w:rPr>
            </w:pPr>
          </w:p>
          <w:p w:rsidR="00B070BF" w:rsidRPr="009577DE" w:rsidRDefault="00B070BF" w:rsidP="00C33D4A">
            <w:pPr>
              <w:widowControl w:val="0"/>
              <w:rPr>
                <w:sz w:val="16"/>
                <w:szCs w:val="16"/>
                <w:highlight w:val="cyan"/>
                <w:lang w:val="es-ES_tradnl" w:bidi="th-TH"/>
              </w:rPr>
            </w:pPr>
          </w:p>
        </w:tc>
        <w:tc>
          <w:tcPr>
            <w:tcW w:w="524" w:type="pct"/>
            <w:shd w:val="clear" w:color="auto" w:fill="auto"/>
            <w:tcMar>
              <w:top w:w="110" w:type="dxa"/>
            </w:tcMar>
          </w:tcPr>
          <w:p w:rsidR="00B070BF" w:rsidRPr="009577DE" w:rsidRDefault="00B070BF" w:rsidP="00C33D4A">
            <w:pPr>
              <w:widowControl w:val="0"/>
              <w:jc w:val="center"/>
              <w:rPr>
                <w:b/>
                <w:bCs/>
                <w:sz w:val="16"/>
                <w:szCs w:val="16"/>
                <w:lang w:val="es-ES_tradnl"/>
              </w:rPr>
            </w:pPr>
            <w:r w:rsidRPr="009577DE">
              <w:rPr>
                <w:b/>
                <w:bCs/>
                <w:color w:val="008000"/>
                <w:sz w:val="16"/>
                <w:szCs w:val="16"/>
                <w:lang w:val="es-ES_tradnl"/>
              </w:rPr>
              <w:t>Progresa con normalidad</w:t>
            </w:r>
          </w:p>
          <w:p w:rsidR="00B070BF" w:rsidRPr="009577DE" w:rsidRDefault="00B070BF" w:rsidP="00C33D4A">
            <w:pPr>
              <w:widowControl w:val="0"/>
              <w:jc w:val="center"/>
              <w:rPr>
                <w:bCs/>
                <w:sz w:val="16"/>
                <w:szCs w:val="16"/>
                <w:lang w:val="es-ES_tradnl"/>
              </w:rPr>
            </w:pPr>
          </w:p>
        </w:tc>
      </w:tr>
      <w:tr w:rsidR="00B070BF" w:rsidRPr="009577DE" w:rsidTr="00C33D4A">
        <w:trPr>
          <w:cantSplit/>
        </w:trPr>
        <w:tc>
          <w:tcPr>
            <w:tcW w:w="5000" w:type="pct"/>
            <w:gridSpan w:val="6"/>
            <w:tcBorders>
              <w:top w:val="single" w:sz="4" w:space="0" w:color="auto"/>
              <w:bottom w:val="single" w:sz="4" w:space="0" w:color="auto"/>
            </w:tcBorders>
            <w:shd w:val="clear" w:color="auto" w:fill="CCFFFF"/>
            <w:vAlign w:val="center"/>
          </w:tcPr>
          <w:p w:rsidR="00B070BF" w:rsidRPr="009577DE" w:rsidRDefault="00B070BF" w:rsidP="00C33D4A">
            <w:pPr>
              <w:keepNext/>
              <w:widowControl w:val="0"/>
              <w:tabs>
                <w:tab w:val="left" w:pos="1452"/>
              </w:tabs>
              <w:spacing w:before="120" w:after="120"/>
              <w:ind w:left="1452" w:hanging="1452"/>
              <w:rPr>
                <w:b/>
                <w:bCs/>
                <w:sz w:val="16"/>
                <w:szCs w:val="16"/>
                <w:lang w:val="es-ES_tradnl"/>
              </w:rPr>
            </w:pPr>
            <w:r w:rsidRPr="009577DE">
              <w:rPr>
                <w:b/>
                <w:bCs/>
                <w:sz w:val="16"/>
                <w:szCs w:val="16"/>
                <w:lang w:val="es-ES_tradnl"/>
              </w:rPr>
              <w:lastRenderedPageBreak/>
              <w:t>Resultado previsto:</w:t>
            </w:r>
            <w:r w:rsidRPr="009577DE">
              <w:rPr>
                <w:b/>
                <w:bCs/>
                <w:sz w:val="16"/>
                <w:szCs w:val="16"/>
                <w:lang w:val="es-ES_tradnl"/>
              </w:rPr>
              <w:tab/>
            </w:r>
            <w:r w:rsidRPr="009577DE">
              <w:rPr>
                <w:bCs/>
                <w:sz w:val="16"/>
                <w:szCs w:val="16"/>
                <w:lang w:val="es-ES_tradnl"/>
              </w:rPr>
              <w:t xml:space="preserve"> Mecanismos de cooperación, programas y asociaciones nuevos o consolidados en los PMA.</w:t>
            </w:r>
          </w:p>
        </w:tc>
      </w:tr>
      <w:tr w:rsidR="00B070BF" w:rsidRPr="009577DE" w:rsidTr="00C33D4A">
        <w:trPr>
          <w:cantSplit/>
        </w:trPr>
        <w:tc>
          <w:tcPr>
            <w:tcW w:w="887" w:type="pct"/>
            <w:tcBorders>
              <w:top w:val="single" w:sz="4" w:space="0" w:color="auto"/>
            </w:tcBorders>
            <w:shd w:val="clear" w:color="auto" w:fill="auto"/>
            <w:vAlign w:val="center"/>
          </w:tcPr>
          <w:p w:rsidR="00B070BF" w:rsidRPr="009577DE" w:rsidRDefault="00B070BF" w:rsidP="00C33D4A">
            <w:pPr>
              <w:keepNext/>
              <w:widowControl w:val="0"/>
              <w:spacing w:after="120"/>
              <w:rPr>
                <w:sz w:val="16"/>
                <w:szCs w:val="16"/>
                <w:lang w:val="es-ES_tradnl"/>
              </w:rPr>
            </w:pPr>
            <w:r w:rsidRPr="009577DE">
              <w:rPr>
                <w:b/>
                <w:bCs/>
                <w:sz w:val="16"/>
                <w:szCs w:val="16"/>
                <w:lang w:val="es-ES_tradnl"/>
              </w:rPr>
              <w:t>Indicadores de rendimiento</w:t>
            </w:r>
          </w:p>
        </w:tc>
        <w:tc>
          <w:tcPr>
            <w:tcW w:w="887" w:type="pct"/>
            <w:tcBorders>
              <w:top w:val="single" w:sz="4" w:space="0" w:color="auto"/>
            </w:tcBorders>
            <w:shd w:val="clear" w:color="auto" w:fill="C0C0C0"/>
          </w:tcPr>
          <w:p w:rsidR="00B070BF" w:rsidRPr="009577DE" w:rsidRDefault="00B070BF" w:rsidP="00C33D4A">
            <w:pPr>
              <w:keepNext/>
              <w:widowControl w:val="0"/>
              <w:spacing w:after="120"/>
              <w:rPr>
                <w:b/>
                <w:bCs/>
                <w:sz w:val="16"/>
                <w:szCs w:val="16"/>
                <w:lang w:val="es-ES_tradnl"/>
              </w:rPr>
            </w:pPr>
            <w:r w:rsidRPr="009577DE">
              <w:rPr>
                <w:b/>
                <w:bCs/>
                <w:sz w:val="16"/>
                <w:szCs w:val="16"/>
                <w:lang w:val="es-ES_tradnl"/>
              </w:rPr>
              <w:t>Referencia (</w:t>
            </w:r>
            <w:proofErr w:type="spellStart"/>
            <w:r w:rsidRPr="009577DE">
              <w:rPr>
                <w:b/>
                <w:bCs/>
                <w:sz w:val="16"/>
                <w:szCs w:val="16"/>
                <w:lang w:val="es-ES_tradnl"/>
              </w:rPr>
              <w:t>Presup</w:t>
            </w:r>
            <w:proofErr w:type="spellEnd"/>
            <w:r w:rsidRPr="009577DE">
              <w:rPr>
                <w:b/>
                <w:bCs/>
                <w:sz w:val="16"/>
                <w:szCs w:val="16"/>
                <w:lang w:val="es-ES_tradnl"/>
              </w:rPr>
              <w:t xml:space="preserve">. por </w:t>
            </w:r>
            <w:proofErr w:type="spellStart"/>
            <w:r w:rsidRPr="009577DE">
              <w:rPr>
                <w:b/>
                <w:bCs/>
                <w:sz w:val="16"/>
                <w:szCs w:val="16"/>
                <w:lang w:val="es-ES_tradnl"/>
              </w:rPr>
              <w:t>prog</w:t>
            </w:r>
            <w:proofErr w:type="spellEnd"/>
            <w:r w:rsidRPr="009577DE">
              <w:rPr>
                <w:b/>
                <w:bCs/>
                <w:sz w:val="16"/>
                <w:szCs w:val="16"/>
                <w:lang w:val="es-ES_tradnl"/>
              </w:rPr>
              <w:t>. 2012/13)</w:t>
            </w:r>
          </w:p>
        </w:tc>
        <w:tc>
          <w:tcPr>
            <w:tcW w:w="885" w:type="pct"/>
            <w:tcBorders>
              <w:top w:val="single" w:sz="4" w:space="0" w:color="auto"/>
            </w:tcBorders>
            <w:shd w:val="clear" w:color="auto" w:fill="auto"/>
            <w:tcMar>
              <w:top w:w="110" w:type="dxa"/>
            </w:tcMar>
            <w:vAlign w:val="center"/>
          </w:tcPr>
          <w:p w:rsidR="00B070BF" w:rsidRPr="009577DE" w:rsidRDefault="00B070BF" w:rsidP="00C33D4A">
            <w:pPr>
              <w:keepNext/>
              <w:widowControl w:val="0"/>
              <w:spacing w:after="120"/>
              <w:rPr>
                <w:b/>
                <w:sz w:val="16"/>
                <w:szCs w:val="16"/>
                <w:lang w:val="es-ES_tradnl"/>
              </w:rPr>
            </w:pPr>
            <w:r w:rsidRPr="00BF138D">
              <w:rPr>
                <w:b/>
                <w:color w:val="993300"/>
                <w:sz w:val="16"/>
                <w:szCs w:val="16"/>
                <w:lang w:val="es-ES_tradnl"/>
              </w:rPr>
              <w:t>Referencia actualizada a finales de 2011</w:t>
            </w:r>
          </w:p>
        </w:tc>
        <w:tc>
          <w:tcPr>
            <w:tcW w:w="1817" w:type="pct"/>
            <w:gridSpan w:val="2"/>
            <w:tcBorders>
              <w:top w:val="single" w:sz="4" w:space="0" w:color="auto"/>
            </w:tcBorders>
            <w:shd w:val="clear" w:color="auto" w:fill="FFFFFF"/>
            <w:tcMar>
              <w:top w:w="110" w:type="dxa"/>
            </w:tcMar>
            <w:vAlign w:val="center"/>
          </w:tcPr>
          <w:p w:rsidR="00B070BF" w:rsidRPr="009577DE" w:rsidRDefault="00B070BF" w:rsidP="00C33D4A">
            <w:pPr>
              <w:keepNext/>
              <w:widowControl w:val="0"/>
              <w:spacing w:after="120"/>
              <w:rPr>
                <w:sz w:val="16"/>
                <w:szCs w:val="16"/>
                <w:lang w:val="es-ES_tradnl"/>
              </w:rPr>
            </w:pPr>
            <w:r w:rsidRPr="009577DE">
              <w:rPr>
                <w:b/>
                <w:bCs/>
                <w:sz w:val="16"/>
                <w:szCs w:val="16"/>
                <w:lang w:val="es-ES_tradnl"/>
              </w:rPr>
              <w:t>Datos sobre el rendimiento</w:t>
            </w:r>
          </w:p>
        </w:tc>
        <w:tc>
          <w:tcPr>
            <w:tcW w:w="524" w:type="pct"/>
            <w:tcBorders>
              <w:top w:val="single" w:sz="4" w:space="0" w:color="auto"/>
            </w:tcBorders>
            <w:shd w:val="clear" w:color="auto" w:fill="auto"/>
            <w:tcMar>
              <w:top w:w="110" w:type="dxa"/>
            </w:tcMar>
            <w:vAlign w:val="center"/>
          </w:tcPr>
          <w:p w:rsidR="00B070BF" w:rsidRPr="009577DE" w:rsidRDefault="00B070BF" w:rsidP="00C33D4A">
            <w:pPr>
              <w:keepNext/>
              <w:widowControl w:val="0"/>
              <w:spacing w:after="120"/>
              <w:jc w:val="center"/>
              <w:rPr>
                <w:b/>
                <w:bCs/>
                <w:sz w:val="16"/>
                <w:szCs w:val="16"/>
                <w:lang w:val="es-ES_tradnl"/>
              </w:rPr>
            </w:pPr>
            <w:r w:rsidRPr="009577DE">
              <w:rPr>
                <w:b/>
                <w:bCs/>
                <w:sz w:val="16"/>
                <w:szCs w:val="16"/>
                <w:lang w:val="es-ES_tradnl"/>
              </w:rPr>
              <w:t>Clave de colores</w:t>
            </w:r>
          </w:p>
        </w:tc>
      </w:tr>
      <w:tr w:rsidR="00B070BF" w:rsidRPr="009577DE" w:rsidTr="00C33D4A">
        <w:trPr>
          <w:cantSplit/>
        </w:trPr>
        <w:tc>
          <w:tcPr>
            <w:tcW w:w="887" w:type="pct"/>
            <w:shd w:val="clear" w:color="auto" w:fill="FFFFFF"/>
          </w:tcPr>
          <w:p w:rsidR="00B070BF" w:rsidRPr="009577DE" w:rsidRDefault="00B070BF" w:rsidP="00C33D4A">
            <w:pPr>
              <w:widowControl w:val="0"/>
              <w:rPr>
                <w:sz w:val="16"/>
                <w:szCs w:val="16"/>
                <w:lang w:val="es-ES_tradnl" w:bidi="th-TH"/>
              </w:rPr>
            </w:pPr>
            <w:r w:rsidRPr="009577DE">
              <w:rPr>
                <w:sz w:val="16"/>
                <w:szCs w:val="16"/>
                <w:lang w:val="es-ES_tradnl" w:bidi="th-TH"/>
              </w:rPr>
              <w:t>Número de asociaciones establecidas en los PMA entre organizaciones gubernamentales, sector privado, ONG y otros asociados en el desarrollo (PMA).</w:t>
            </w:r>
          </w:p>
        </w:tc>
        <w:tc>
          <w:tcPr>
            <w:tcW w:w="887" w:type="pct"/>
            <w:shd w:val="clear" w:color="auto" w:fill="C0C0C0"/>
          </w:tcPr>
          <w:p w:rsidR="00B070BF" w:rsidRPr="009577DE" w:rsidRDefault="00B070BF" w:rsidP="00C33D4A">
            <w:pPr>
              <w:widowControl w:val="0"/>
              <w:rPr>
                <w:sz w:val="16"/>
                <w:szCs w:val="16"/>
                <w:lang w:val="es-ES_tradnl" w:bidi="th-TH"/>
              </w:rPr>
            </w:pPr>
            <w:r w:rsidRPr="009577DE">
              <w:rPr>
                <w:sz w:val="16"/>
                <w:szCs w:val="16"/>
                <w:lang w:val="es-ES_tradnl" w:bidi="th-TH"/>
              </w:rPr>
              <w:t>Ninguno</w:t>
            </w:r>
          </w:p>
        </w:tc>
        <w:tc>
          <w:tcPr>
            <w:tcW w:w="885" w:type="pct"/>
            <w:shd w:val="clear" w:color="auto" w:fill="auto"/>
            <w:tcMar>
              <w:top w:w="110" w:type="dxa"/>
            </w:tcMar>
          </w:tcPr>
          <w:p w:rsidR="00B070BF" w:rsidRPr="00D44D8F" w:rsidRDefault="00B070BF" w:rsidP="00C33D4A">
            <w:pPr>
              <w:widowControl w:val="0"/>
              <w:rPr>
                <w:color w:val="993300"/>
                <w:sz w:val="16"/>
                <w:szCs w:val="16"/>
                <w:lang w:val="es-ES_tradnl" w:bidi="th-TH"/>
              </w:rPr>
            </w:pPr>
            <w:r w:rsidRPr="00D44D8F">
              <w:rPr>
                <w:color w:val="993300"/>
                <w:sz w:val="16"/>
                <w:szCs w:val="16"/>
                <w:lang w:val="es-ES_tradnl" w:bidi="th-TH"/>
              </w:rPr>
              <w:t>En el marco del proyecto de la Agenda para el Desarrollo sobre tecnologías adecuadas se han establecido tres grupos de expertos y tres grupos de múltiples partes interesadas (seis en total) en Bangladesh, Nepal y Zambia, con participación de los sectores público y privado.</w:t>
            </w:r>
          </w:p>
          <w:p w:rsidR="00B070BF" w:rsidRPr="009577DE" w:rsidRDefault="00B070BF" w:rsidP="00C33D4A">
            <w:pPr>
              <w:widowControl w:val="0"/>
              <w:rPr>
                <w:sz w:val="16"/>
                <w:szCs w:val="16"/>
                <w:highlight w:val="cyan"/>
                <w:lang w:val="es-ES_tradnl" w:bidi="th-TH"/>
              </w:rPr>
            </w:pPr>
          </w:p>
          <w:p w:rsidR="00B070BF" w:rsidRPr="009577DE" w:rsidRDefault="00B070BF" w:rsidP="00C33D4A">
            <w:pPr>
              <w:widowControl w:val="0"/>
              <w:rPr>
                <w:sz w:val="16"/>
                <w:szCs w:val="16"/>
                <w:highlight w:val="cyan"/>
                <w:lang w:val="es-ES_tradnl" w:bidi="th-TH"/>
              </w:rPr>
            </w:pPr>
          </w:p>
        </w:tc>
        <w:tc>
          <w:tcPr>
            <w:tcW w:w="1817" w:type="pct"/>
            <w:gridSpan w:val="2"/>
            <w:shd w:val="clear" w:color="auto" w:fill="FFFFFF"/>
            <w:tcMar>
              <w:top w:w="110" w:type="dxa"/>
            </w:tcMar>
          </w:tcPr>
          <w:p w:rsidR="00B070BF" w:rsidRPr="009577DE" w:rsidRDefault="00B070BF" w:rsidP="00C33D4A">
            <w:pPr>
              <w:widowControl w:val="0"/>
              <w:rPr>
                <w:sz w:val="16"/>
                <w:szCs w:val="16"/>
                <w:lang w:val="es-ES_tradnl" w:bidi="th-TH"/>
              </w:rPr>
            </w:pPr>
            <w:r w:rsidRPr="009577DE">
              <w:rPr>
                <w:sz w:val="16"/>
                <w:szCs w:val="16"/>
                <w:lang w:val="es-ES_tradnl" w:bidi="th-TH"/>
              </w:rPr>
              <w:t xml:space="preserve">Las asociaciones puestas en marcha en Bangladesh, Nepal y Zambia en 2011 se reforzaron mediante el establecimiento de grupos de expertos y grupos de múltiples partes interesadas sobre tecnologías adecuadas. </w:t>
            </w:r>
          </w:p>
          <w:p w:rsidR="00B070BF" w:rsidRPr="009577DE" w:rsidRDefault="00B070BF" w:rsidP="00C33D4A">
            <w:pPr>
              <w:widowControl w:val="0"/>
              <w:rPr>
                <w:sz w:val="16"/>
                <w:szCs w:val="16"/>
                <w:highlight w:val="cyan"/>
                <w:lang w:val="es-ES_tradnl" w:bidi="th-TH"/>
              </w:rPr>
            </w:pPr>
          </w:p>
          <w:p w:rsidR="00B070BF" w:rsidRPr="009577DE" w:rsidRDefault="00B070BF" w:rsidP="00C33D4A">
            <w:pPr>
              <w:widowControl w:val="0"/>
              <w:rPr>
                <w:sz w:val="16"/>
                <w:szCs w:val="16"/>
                <w:highlight w:val="cyan"/>
                <w:lang w:val="es-ES_tradnl" w:bidi="th-TH"/>
              </w:rPr>
            </w:pPr>
          </w:p>
          <w:p w:rsidR="00B070BF" w:rsidRPr="009577DE" w:rsidRDefault="00B070BF" w:rsidP="00C33D4A">
            <w:pPr>
              <w:widowControl w:val="0"/>
              <w:rPr>
                <w:sz w:val="16"/>
                <w:szCs w:val="16"/>
                <w:highlight w:val="cyan"/>
                <w:lang w:val="es-ES_tradnl" w:bidi="th-TH"/>
              </w:rPr>
            </w:pPr>
          </w:p>
          <w:p w:rsidR="00B070BF" w:rsidRPr="009577DE" w:rsidRDefault="00B070BF" w:rsidP="00C33D4A">
            <w:pPr>
              <w:widowControl w:val="0"/>
              <w:rPr>
                <w:sz w:val="16"/>
                <w:szCs w:val="16"/>
                <w:highlight w:val="cyan"/>
                <w:lang w:val="es-ES_tradnl" w:bidi="th-TH"/>
              </w:rPr>
            </w:pPr>
          </w:p>
          <w:p w:rsidR="00B070BF" w:rsidRPr="009577DE" w:rsidRDefault="00B070BF" w:rsidP="00C33D4A">
            <w:pPr>
              <w:widowControl w:val="0"/>
              <w:rPr>
                <w:sz w:val="16"/>
                <w:szCs w:val="16"/>
                <w:highlight w:val="cyan"/>
                <w:lang w:val="es-ES_tradnl" w:bidi="th-TH"/>
              </w:rPr>
            </w:pPr>
          </w:p>
          <w:p w:rsidR="00B070BF" w:rsidRPr="009577DE" w:rsidRDefault="00B070BF" w:rsidP="00C33D4A">
            <w:pPr>
              <w:widowControl w:val="0"/>
              <w:rPr>
                <w:sz w:val="16"/>
                <w:szCs w:val="16"/>
                <w:highlight w:val="cyan"/>
                <w:lang w:val="es-ES_tradnl" w:bidi="th-TH"/>
              </w:rPr>
            </w:pPr>
          </w:p>
        </w:tc>
        <w:tc>
          <w:tcPr>
            <w:tcW w:w="524" w:type="pct"/>
            <w:shd w:val="clear" w:color="auto" w:fill="auto"/>
            <w:tcMar>
              <w:top w:w="110" w:type="dxa"/>
            </w:tcMar>
          </w:tcPr>
          <w:p w:rsidR="00B070BF" w:rsidRPr="009577DE" w:rsidRDefault="00B070BF" w:rsidP="00C33D4A">
            <w:pPr>
              <w:widowControl w:val="0"/>
              <w:jc w:val="center"/>
              <w:rPr>
                <w:b/>
                <w:bCs/>
                <w:sz w:val="16"/>
                <w:szCs w:val="16"/>
                <w:lang w:val="es-ES_tradnl"/>
              </w:rPr>
            </w:pPr>
            <w:r w:rsidRPr="009577DE">
              <w:rPr>
                <w:b/>
                <w:bCs/>
                <w:color w:val="008000"/>
                <w:sz w:val="16"/>
                <w:szCs w:val="16"/>
                <w:lang w:val="es-ES_tradnl"/>
              </w:rPr>
              <w:t>Progresa con normalidad</w:t>
            </w:r>
          </w:p>
          <w:p w:rsidR="00B070BF" w:rsidRPr="009577DE" w:rsidRDefault="00B070BF" w:rsidP="00C33D4A">
            <w:pPr>
              <w:widowControl w:val="0"/>
              <w:jc w:val="center"/>
              <w:rPr>
                <w:bCs/>
                <w:sz w:val="16"/>
                <w:szCs w:val="16"/>
                <w:lang w:val="es-ES_tradnl"/>
              </w:rPr>
            </w:pPr>
          </w:p>
          <w:p w:rsidR="00B070BF" w:rsidRPr="009577DE" w:rsidRDefault="00B070BF" w:rsidP="00C33D4A">
            <w:pPr>
              <w:widowControl w:val="0"/>
              <w:jc w:val="center"/>
              <w:rPr>
                <w:bCs/>
                <w:sz w:val="16"/>
                <w:szCs w:val="16"/>
                <w:lang w:val="es-ES_tradnl"/>
              </w:rPr>
            </w:pPr>
          </w:p>
        </w:tc>
      </w:tr>
      <w:tr w:rsidR="00B070BF" w:rsidRPr="009577DE" w:rsidTr="00C33D4A">
        <w:trPr>
          <w:cantSplit/>
        </w:trPr>
        <w:tc>
          <w:tcPr>
            <w:tcW w:w="887" w:type="pct"/>
            <w:tcBorders>
              <w:left w:val="single" w:sz="4" w:space="0" w:color="auto"/>
              <w:bottom w:val="single" w:sz="4" w:space="0" w:color="auto"/>
            </w:tcBorders>
            <w:shd w:val="clear" w:color="auto" w:fill="FFFFFF"/>
          </w:tcPr>
          <w:p w:rsidR="00B070BF" w:rsidRPr="009577DE" w:rsidRDefault="00B070BF" w:rsidP="00C33D4A">
            <w:pPr>
              <w:widowControl w:val="0"/>
              <w:rPr>
                <w:sz w:val="16"/>
                <w:szCs w:val="16"/>
                <w:lang w:val="es-ES_tradnl" w:bidi="th-TH"/>
              </w:rPr>
            </w:pPr>
            <w:r w:rsidRPr="009577DE">
              <w:rPr>
                <w:sz w:val="16"/>
                <w:szCs w:val="16"/>
                <w:lang w:val="es-ES_tradnl" w:bidi="th-TH"/>
              </w:rPr>
              <w:t xml:space="preserve">Número de programas de P.I. aplicados conjuntamente con otros órganos de las Naciones Unidas y otras OIG (PMA). </w:t>
            </w:r>
          </w:p>
        </w:tc>
        <w:tc>
          <w:tcPr>
            <w:tcW w:w="887" w:type="pct"/>
            <w:tcBorders>
              <w:bottom w:val="single" w:sz="4" w:space="0" w:color="auto"/>
            </w:tcBorders>
            <w:shd w:val="clear" w:color="auto" w:fill="C0C0C0"/>
          </w:tcPr>
          <w:p w:rsidR="00B070BF" w:rsidRPr="009577DE" w:rsidRDefault="00B070BF" w:rsidP="00C33D4A">
            <w:pPr>
              <w:widowControl w:val="0"/>
              <w:rPr>
                <w:sz w:val="16"/>
                <w:szCs w:val="16"/>
                <w:lang w:val="es-ES_tradnl" w:bidi="th-TH"/>
              </w:rPr>
            </w:pPr>
            <w:r w:rsidRPr="009577DE">
              <w:rPr>
                <w:sz w:val="16"/>
                <w:szCs w:val="16"/>
                <w:lang w:val="es-ES_tradnl" w:bidi="th-TH"/>
              </w:rPr>
              <w:t>Cooperación con las Naciones Unidas y otras organizaciones:</w:t>
            </w:r>
          </w:p>
          <w:p w:rsidR="00B070BF" w:rsidRPr="009577DE" w:rsidRDefault="00B070BF" w:rsidP="00C33D4A">
            <w:pPr>
              <w:widowControl w:val="0"/>
              <w:rPr>
                <w:sz w:val="16"/>
                <w:szCs w:val="16"/>
                <w:lang w:val="es-ES_tradnl" w:bidi="th-TH"/>
              </w:rPr>
            </w:pPr>
          </w:p>
          <w:p w:rsidR="00B070BF" w:rsidRPr="009577DE" w:rsidRDefault="00B070BF" w:rsidP="00C33D4A">
            <w:pPr>
              <w:widowControl w:val="0"/>
              <w:rPr>
                <w:sz w:val="16"/>
                <w:szCs w:val="16"/>
                <w:lang w:val="es-ES_tradnl" w:bidi="th-TH"/>
              </w:rPr>
            </w:pPr>
            <w:r w:rsidRPr="009577DE">
              <w:rPr>
                <w:sz w:val="16"/>
                <w:szCs w:val="16"/>
                <w:lang w:val="es-ES_tradnl" w:bidi="th-TH"/>
              </w:rPr>
              <w:t>i) IV Conferencia de las Naciones Unidas sobre los PMA, Estambul (Turquía);</w:t>
            </w:r>
          </w:p>
          <w:p w:rsidR="00B070BF" w:rsidRPr="009577DE" w:rsidRDefault="00B070BF" w:rsidP="00C33D4A">
            <w:pPr>
              <w:widowControl w:val="0"/>
              <w:rPr>
                <w:sz w:val="16"/>
                <w:szCs w:val="16"/>
                <w:lang w:val="es-ES_tradnl" w:bidi="th-TH"/>
              </w:rPr>
            </w:pPr>
            <w:r w:rsidRPr="009577DE">
              <w:rPr>
                <w:sz w:val="16"/>
                <w:szCs w:val="16"/>
                <w:lang w:val="es-ES_tradnl" w:bidi="th-TH"/>
              </w:rPr>
              <w:t xml:space="preserve">ii) reuniones sobre los ADPIC organizadas por la OMC en Senegal, Uganda y Bangladesh.  </w:t>
            </w:r>
          </w:p>
        </w:tc>
        <w:tc>
          <w:tcPr>
            <w:tcW w:w="885" w:type="pct"/>
            <w:tcBorders>
              <w:bottom w:val="single" w:sz="4" w:space="0" w:color="auto"/>
            </w:tcBorders>
            <w:shd w:val="clear" w:color="auto" w:fill="auto"/>
            <w:tcMar>
              <w:top w:w="110" w:type="dxa"/>
            </w:tcMar>
          </w:tcPr>
          <w:p w:rsidR="00B070BF" w:rsidRPr="009577DE" w:rsidRDefault="00B070BF" w:rsidP="00C33D4A">
            <w:pPr>
              <w:widowControl w:val="0"/>
              <w:rPr>
                <w:sz w:val="16"/>
                <w:szCs w:val="16"/>
                <w:highlight w:val="yellow"/>
                <w:lang w:val="es-ES_tradnl" w:bidi="th-TH"/>
              </w:rPr>
            </w:pPr>
          </w:p>
        </w:tc>
        <w:tc>
          <w:tcPr>
            <w:tcW w:w="1817" w:type="pct"/>
            <w:gridSpan w:val="2"/>
            <w:tcBorders>
              <w:bottom w:val="single" w:sz="4" w:space="0" w:color="auto"/>
            </w:tcBorders>
            <w:shd w:val="clear" w:color="auto" w:fill="FFFFFF"/>
            <w:tcMar>
              <w:top w:w="110" w:type="dxa"/>
            </w:tcMar>
          </w:tcPr>
          <w:p w:rsidR="00B070BF" w:rsidRPr="009577DE" w:rsidRDefault="00B070BF" w:rsidP="00C33D4A">
            <w:pPr>
              <w:widowControl w:val="0"/>
              <w:rPr>
                <w:sz w:val="16"/>
                <w:szCs w:val="16"/>
                <w:lang w:val="es-ES_tradnl" w:bidi="th-TH"/>
              </w:rPr>
            </w:pPr>
            <w:r w:rsidRPr="009577DE">
              <w:rPr>
                <w:sz w:val="16"/>
                <w:szCs w:val="16"/>
                <w:lang w:val="es-ES_tradnl" w:bidi="th-TH"/>
              </w:rPr>
              <w:t>La OMPI participó en las reuniones del Grupo Consultivo Interinstitucional de las Naciones Unidas para los Países Menos Adelantados, los Países en Desarrollo Sin Litoral y los Pequeños Estados Insulares en Desarrollo, un proceso consultivo del sistema de las Naciones Unidas sobre la cooperación entre las Naciones Unidas y los PMA.</w:t>
            </w:r>
          </w:p>
          <w:p w:rsidR="00B070BF" w:rsidRPr="009577DE" w:rsidRDefault="00B070BF" w:rsidP="00C33D4A">
            <w:pPr>
              <w:widowControl w:val="0"/>
              <w:rPr>
                <w:sz w:val="16"/>
                <w:szCs w:val="16"/>
                <w:lang w:val="es-ES_tradnl" w:bidi="th-TH"/>
              </w:rPr>
            </w:pPr>
          </w:p>
          <w:p w:rsidR="00B070BF" w:rsidRPr="009577DE" w:rsidRDefault="00B070BF" w:rsidP="00C33D4A">
            <w:pPr>
              <w:widowControl w:val="0"/>
              <w:rPr>
                <w:sz w:val="16"/>
                <w:szCs w:val="16"/>
                <w:lang w:val="es-ES_tradnl" w:bidi="th-TH"/>
              </w:rPr>
            </w:pPr>
            <w:r w:rsidRPr="009577DE">
              <w:rPr>
                <w:sz w:val="16"/>
                <w:szCs w:val="16"/>
                <w:lang w:val="es-ES_tradnl" w:bidi="th-TH"/>
              </w:rPr>
              <w:t>La OMPI prestó asistencia técnica y asesoramiento a los PMA en el marco del proceso de evaluación de las necesidades llevado a cabo por la OMC con objeto de atender las necesidades y prioridades de los PMA con miras a la aplicación del Acuerdo sobre los ADPIC durante sus períodos de gracia.  La OMPI participó activamente en los programas regionales, subregionales y nacionales organizados por la OMC en beneficio de los PMA.</w:t>
            </w:r>
          </w:p>
          <w:p w:rsidR="00B070BF" w:rsidRPr="009577DE" w:rsidRDefault="00B070BF" w:rsidP="00C33D4A">
            <w:pPr>
              <w:widowControl w:val="0"/>
              <w:rPr>
                <w:sz w:val="16"/>
                <w:szCs w:val="16"/>
                <w:highlight w:val="cyan"/>
                <w:lang w:val="es-ES_tradnl" w:bidi="th-TH"/>
              </w:rPr>
            </w:pPr>
          </w:p>
        </w:tc>
        <w:tc>
          <w:tcPr>
            <w:tcW w:w="524" w:type="pct"/>
            <w:tcBorders>
              <w:bottom w:val="single" w:sz="4" w:space="0" w:color="auto"/>
              <w:right w:val="single" w:sz="4" w:space="0" w:color="auto"/>
            </w:tcBorders>
            <w:shd w:val="clear" w:color="auto" w:fill="auto"/>
            <w:tcMar>
              <w:top w:w="110" w:type="dxa"/>
            </w:tcMar>
          </w:tcPr>
          <w:p w:rsidR="00B070BF" w:rsidRPr="009577DE" w:rsidRDefault="00B070BF" w:rsidP="00C33D4A">
            <w:pPr>
              <w:widowControl w:val="0"/>
              <w:rPr>
                <w:b/>
                <w:bCs/>
                <w:sz w:val="16"/>
                <w:szCs w:val="16"/>
                <w:lang w:val="es-ES_tradnl"/>
              </w:rPr>
            </w:pPr>
            <w:r w:rsidRPr="009577DE">
              <w:rPr>
                <w:b/>
                <w:bCs/>
                <w:color w:val="008000"/>
                <w:sz w:val="16"/>
                <w:szCs w:val="16"/>
                <w:lang w:val="es-ES_tradnl"/>
              </w:rPr>
              <w:t>Progresa con normalidad</w:t>
            </w:r>
          </w:p>
          <w:p w:rsidR="00B070BF" w:rsidRPr="009577DE" w:rsidRDefault="00B070BF" w:rsidP="00C33D4A">
            <w:pPr>
              <w:widowControl w:val="0"/>
              <w:jc w:val="center"/>
              <w:rPr>
                <w:bCs/>
                <w:sz w:val="16"/>
                <w:szCs w:val="16"/>
                <w:lang w:val="es-ES_tradnl"/>
              </w:rPr>
            </w:pPr>
          </w:p>
          <w:p w:rsidR="00B070BF" w:rsidRPr="009577DE" w:rsidRDefault="00B070BF" w:rsidP="00C33D4A">
            <w:pPr>
              <w:widowControl w:val="0"/>
              <w:jc w:val="center"/>
              <w:rPr>
                <w:bCs/>
                <w:sz w:val="16"/>
                <w:szCs w:val="16"/>
                <w:lang w:val="es-ES_tradnl"/>
              </w:rPr>
            </w:pPr>
          </w:p>
          <w:p w:rsidR="00B070BF" w:rsidRPr="009577DE" w:rsidRDefault="00B070BF" w:rsidP="00C33D4A">
            <w:pPr>
              <w:widowControl w:val="0"/>
              <w:jc w:val="center"/>
              <w:rPr>
                <w:bCs/>
                <w:sz w:val="16"/>
                <w:szCs w:val="16"/>
                <w:lang w:val="es-ES_tradnl"/>
              </w:rPr>
            </w:pPr>
          </w:p>
        </w:tc>
      </w:tr>
    </w:tbl>
    <w:p w:rsidR="00B070BF" w:rsidRPr="009577DE" w:rsidRDefault="00B070BF" w:rsidP="00B070BF">
      <w:pPr>
        <w:widowControl w:val="0"/>
        <w:autoSpaceDE w:val="0"/>
        <w:autoSpaceDN w:val="0"/>
        <w:adjustRightInd w:val="0"/>
        <w:rPr>
          <w:sz w:val="20"/>
          <w:lang w:val="es-ES_tradnl"/>
        </w:rPr>
      </w:pPr>
    </w:p>
    <w:p w:rsidR="00B070BF" w:rsidRPr="009577DE" w:rsidRDefault="00B070BF" w:rsidP="00B070BF">
      <w:pPr>
        <w:rPr>
          <w:sz w:val="20"/>
          <w:lang w:val="es-ES_tradnl"/>
        </w:rPr>
      </w:pPr>
      <w:r w:rsidRPr="009577DE">
        <w:rPr>
          <w:sz w:val="20"/>
          <w:lang w:val="es-ES_tradnl"/>
        </w:rPr>
        <w:br w:type="page"/>
      </w:r>
    </w:p>
    <w:p w:rsidR="00B070BF" w:rsidRPr="009577DE" w:rsidRDefault="00B070BF" w:rsidP="00B070BF">
      <w:pPr>
        <w:widowControl w:val="0"/>
        <w:autoSpaceDE w:val="0"/>
        <w:autoSpaceDN w:val="0"/>
        <w:adjustRightInd w:val="0"/>
        <w:rPr>
          <w:sz w:val="20"/>
          <w:lang w:val="es-ES_tradnl"/>
        </w:rPr>
      </w:pPr>
    </w:p>
    <w:p w:rsidR="00B070BF" w:rsidRPr="009577DE" w:rsidRDefault="00B070BF" w:rsidP="00B070BF">
      <w:pPr>
        <w:widowControl w:val="0"/>
        <w:rPr>
          <w:sz w:val="20"/>
          <w:szCs w:val="22"/>
          <w:lang w:val="es-ES_tradnl"/>
        </w:rPr>
      </w:pPr>
      <w:r w:rsidRPr="009577DE">
        <w:rPr>
          <w:sz w:val="20"/>
          <w:szCs w:val="22"/>
          <w:lang w:val="es-ES_tradnl"/>
        </w:rPr>
        <w:t>PRESUPUESTO Y GASTOS REALES</w:t>
      </w:r>
    </w:p>
    <w:p w:rsidR="00B070BF" w:rsidRPr="0028075A" w:rsidRDefault="00B070BF" w:rsidP="00B070BF">
      <w:pPr>
        <w:widowControl w:val="0"/>
        <w:rPr>
          <w:sz w:val="20"/>
          <w:lang w:val="es-ES_tradnl"/>
        </w:rPr>
      </w:pPr>
    </w:p>
    <w:p w:rsidR="00B070BF" w:rsidRPr="0028075A" w:rsidRDefault="00B070BF" w:rsidP="00B070BF">
      <w:pPr>
        <w:widowControl w:val="0"/>
        <w:jc w:val="center"/>
        <w:rPr>
          <w:sz w:val="20"/>
          <w:lang w:val="es-ES_tradnl"/>
        </w:rPr>
      </w:pPr>
      <w:r w:rsidRPr="0028075A">
        <w:rPr>
          <w:sz w:val="20"/>
          <w:lang w:val="es-ES_tradnl"/>
        </w:rPr>
        <w:t>Presupuesto y gastos reales (por resultado)</w:t>
      </w:r>
    </w:p>
    <w:p w:rsidR="00B070BF" w:rsidRPr="009577DE" w:rsidRDefault="00B070BF" w:rsidP="00B070BF">
      <w:pPr>
        <w:widowControl w:val="0"/>
        <w:jc w:val="center"/>
        <w:rPr>
          <w:szCs w:val="22"/>
          <w:lang w:val="es-ES_tradnl"/>
        </w:rPr>
      </w:pPr>
      <w:r w:rsidRPr="0028075A">
        <w:rPr>
          <w:i/>
          <w:iCs/>
          <w:sz w:val="20"/>
          <w:lang w:val="es-ES_tradnl"/>
        </w:rPr>
        <w:t>(en miles de francos suizos)</w:t>
      </w:r>
      <w:r w:rsidRPr="0028075A">
        <w:rPr>
          <w:i/>
          <w:iCs/>
          <w:sz w:val="20"/>
          <w:lang w:val="es-ES_tradnl"/>
        </w:rPr>
        <w:br/>
      </w:r>
      <w:r w:rsidRPr="0028075A">
        <w:rPr>
          <w:i/>
          <w:iCs/>
          <w:sz w:val="20"/>
          <w:lang w:val="es-ES_tradnl"/>
        </w:rPr>
        <w:br/>
      </w:r>
      <w:r w:rsidRPr="009577DE">
        <w:rPr>
          <w:noProof/>
          <w:lang w:val="en-US" w:eastAsia="en-US"/>
        </w:rPr>
        <w:drawing>
          <wp:inline distT="0" distB="0" distL="0" distR="0" wp14:anchorId="2F1AE791" wp14:editId="36327D91">
            <wp:extent cx="5902325" cy="4061460"/>
            <wp:effectExtent l="0" t="0" r="3175" b="0"/>
            <wp:docPr id="20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902325" cy="4061460"/>
                    </a:xfrm>
                    <a:prstGeom prst="rect">
                      <a:avLst/>
                    </a:prstGeom>
                    <a:noFill/>
                    <a:ln>
                      <a:noFill/>
                    </a:ln>
                  </pic:spPr>
                </pic:pic>
              </a:graphicData>
            </a:graphic>
          </wp:inline>
        </w:drawing>
      </w:r>
    </w:p>
    <w:p w:rsidR="00B070BF" w:rsidRPr="0028075A" w:rsidRDefault="00B070BF" w:rsidP="00B070BF">
      <w:pPr>
        <w:widowControl w:val="0"/>
        <w:jc w:val="center"/>
        <w:rPr>
          <w:sz w:val="20"/>
          <w:lang w:val="es-ES_tradnl"/>
        </w:rPr>
      </w:pPr>
    </w:p>
    <w:p w:rsidR="00B070BF" w:rsidRPr="0028075A" w:rsidRDefault="00B070BF" w:rsidP="00B070BF">
      <w:pPr>
        <w:widowControl w:val="0"/>
        <w:jc w:val="center"/>
        <w:rPr>
          <w:sz w:val="20"/>
          <w:lang w:val="es-ES_tradnl"/>
        </w:rPr>
      </w:pPr>
    </w:p>
    <w:p w:rsidR="00B070BF" w:rsidRPr="009577DE" w:rsidRDefault="00B070BF" w:rsidP="00B070BF">
      <w:pPr>
        <w:widowControl w:val="0"/>
        <w:jc w:val="center"/>
        <w:rPr>
          <w:sz w:val="20"/>
          <w:lang w:val="es-ES_tradnl"/>
        </w:rPr>
      </w:pPr>
      <w:r w:rsidRPr="0028075A">
        <w:rPr>
          <w:sz w:val="20"/>
          <w:lang w:val="es-ES_tradnl"/>
        </w:rPr>
        <w:t>Presupuesto y gastos reales (de personal y no relativos al personal)</w:t>
      </w:r>
      <w:r w:rsidRPr="0028075A">
        <w:rPr>
          <w:sz w:val="20"/>
          <w:lang w:val="es-ES_tradnl"/>
        </w:rPr>
        <w:br/>
      </w:r>
      <w:r w:rsidRPr="0028075A">
        <w:rPr>
          <w:i/>
          <w:sz w:val="20"/>
          <w:lang w:val="es-ES_tradnl"/>
        </w:rPr>
        <w:t>(en miles de francos suizos)</w:t>
      </w:r>
      <w:r w:rsidRPr="0028075A">
        <w:rPr>
          <w:sz w:val="20"/>
          <w:lang w:val="es-ES_tradnl"/>
        </w:rPr>
        <w:br/>
      </w:r>
      <w:r w:rsidRPr="0028075A">
        <w:rPr>
          <w:sz w:val="20"/>
          <w:lang w:val="es-ES_tradnl"/>
        </w:rPr>
        <w:br/>
      </w:r>
      <w:r w:rsidRPr="009577DE">
        <w:rPr>
          <w:noProof/>
          <w:lang w:val="en-US" w:eastAsia="en-US"/>
        </w:rPr>
        <w:drawing>
          <wp:inline distT="0" distB="0" distL="0" distR="0" wp14:anchorId="4A07FFFD" wp14:editId="2FF45E5C">
            <wp:extent cx="5902325" cy="1235075"/>
            <wp:effectExtent l="0" t="0" r="3175" b="3175"/>
            <wp:docPr id="2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902325" cy="1235075"/>
                    </a:xfrm>
                    <a:prstGeom prst="rect">
                      <a:avLst/>
                    </a:prstGeom>
                    <a:noFill/>
                    <a:ln>
                      <a:noFill/>
                    </a:ln>
                  </pic:spPr>
                </pic:pic>
              </a:graphicData>
            </a:graphic>
          </wp:inline>
        </w:drawing>
      </w:r>
    </w:p>
    <w:p w:rsidR="00B070BF" w:rsidRPr="009577DE" w:rsidRDefault="00B070BF" w:rsidP="00B070BF">
      <w:pPr>
        <w:widowControl w:val="0"/>
        <w:rPr>
          <w:sz w:val="20"/>
          <w:lang w:val="es-ES_tradnl"/>
        </w:rPr>
      </w:pPr>
    </w:p>
    <w:p w:rsidR="00B070BF" w:rsidRPr="007C3E0F" w:rsidRDefault="00B070BF" w:rsidP="00B070BF">
      <w:pPr>
        <w:widowControl w:val="0"/>
        <w:autoSpaceDE w:val="0"/>
        <w:autoSpaceDN w:val="0"/>
        <w:adjustRightInd w:val="0"/>
        <w:rPr>
          <w:sz w:val="16"/>
          <w:szCs w:val="16"/>
          <w:lang w:val="es-ES_tradnl"/>
        </w:rPr>
      </w:pPr>
      <w:r w:rsidRPr="007C3E0F">
        <w:rPr>
          <w:sz w:val="16"/>
          <w:szCs w:val="16"/>
          <w:lang w:val="es-ES_tradnl"/>
        </w:rPr>
        <w:t>NOTAS:</w:t>
      </w:r>
    </w:p>
    <w:p w:rsidR="00B070BF" w:rsidRPr="009577DE" w:rsidRDefault="00B070BF" w:rsidP="00B070BF">
      <w:pPr>
        <w:widowControl w:val="0"/>
        <w:autoSpaceDE w:val="0"/>
        <w:autoSpaceDN w:val="0"/>
        <w:adjustRightInd w:val="0"/>
        <w:rPr>
          <w:sz w:val="16"/>
          <w:szCs w:val="16"/>
          <w:lang w:val="es-ES_tradnl"/>
        </w:rPr>
      </w:pPr>
    </w:p>
    <w:p w:rsidR="00B070BF" w:rsidRPr="009577DE" w:rsidRDefault="00B070BF" w:rsidP="00B070BF">
      <w:pPr>
        <w:widowControl w:val="0"/>
        <w:autoSpaceDE w:val="0"/>
        <w:autoSpaceDN w:val="0"/>
        <w:adjustRightInd w:val="0"/>
        <w:rPr>
          <w:sz w:val="16"/>
          <w:szCs w:val="16"/>
          <w:lang w:val="es-ES_tradnl"/>
        </w:rPr>
      </w:pPr>
      <w:r w:rsidRPr="009577DE">
        <w:rPr>
          <w:sz w:val="16"/>
          <w:szCs w:val="16"/>
          <w:lang w:val="es-ES_tradnl"/>
        </w:rPr>
        <w:t>1) El presupuesto después de las transferencias refleja el presupuesto de los programas ajustado después de las transferencias efectuadas en 2012/13 en virtud del artículo 5.5 del Reglamento Financiero.</w:t>
      </w:r>
    </w:p>
    <w:p w:rsidR="00B070BF" w:rsidRPr="009577DE" w:rsidRDefault="00B070BF" w:rsidP="00B070BF">
      <w:pPr>
        <w:widowControl w:val="0"/>
        <w:autoSpaceDE w:val="0"/>
        <w:autoSpaceDN w:val="0"/>
        <w:adjustRightInd w:val="0"/>
        <w:rPr>
          <w:sz w:val="16"/>
          <w:szCs w:val="16"/>
          <w:lang w:val="es-ES_tradnl"/>
        </w:rPr>
      </w:pPr>
    </w:p>
    <w:p w:rsidR="00B070BF" w:rsidRPr="009577DE" w:rsidRDefault="00B070BF" w:rsidP="00B070BF">
      <w:pPr>
        <w:widowControl w:val="0"/>
        <w:autoSpaceDE w:val="0"/>
        <w:autoSpaceDN w:val="0"/>
        <w:adjustRightInd w:val="0"/>
        <w:rPr>
          <w:sz w:val="16"/>
          <w:szCs w:val="16"/>
          <w:lang w:val="es-ES_tradnl"/>
        </w:rPr>
      </w:pPr>
      <w:r w:rsidRPr="009577DE">
        <w:rPr>
          <w:sz w:val="16"/>
          <w:szCs w:val="16"/>
          <w:lang w:val="es-ES_tradnl"/>
        </w:rPr>
        <w:t xml:space="preserve">2) La asignación para el personal del presupuesto de 2012/13 después de las transferencias representa los gastos reales efectuados hasta el 31 de marzo de 2013 y los importes presupuestados para los nueve meses restantes de 2013, sobre la base de costos estándar. </w:t>
      </w:r>
    </w:p>
    <w:p w:rsidR="00B070BF" w:rsidRPr="009577DE" w:rsidRDefault="00B070BF" w:rsidP="00B070BF">
      <w:pPr>
        <w:widowControl w:val="0"/>
        <w:autoSpaceDE w:val="0"/>
        <w:autoSpaceDN w:val="0"/>
        <w:adjustRightInd w:val="0"/>
        <w:rPr>
          <w:sz w:val="16"/>
          <w:szCs w:val="16"/>
          <w:lang w:val="es-ES_tradnl"/>
        </w:rPr>
      </w:pPr>
    </w:p>
    <w:p w:rsidR="00B070BF" w:rsidRPr="009577DE" w:rsidRDefault="00B070BF" w:rsidP="00B070BF">
      <w:pPr>
        <w:widowControl w:val="0"/>
        <w:autoSpaceDE w:val="0"/>
        <w:autoSpaceDN w:val="0"/>
        <w:adjustRightInd w:val="0"/>
        <w:rPr>
          <w:sz w:val="16"/>
          <w:szCs w:val="16"/>
          <w:lang w:val="es-ES_tradnl"/>
        </w:rPr>
      </w:pPr>
      <w:r w:rsidRPr="009577DE">
        <w:rPr>
          <w:sz w:val="16"/>
          <w:szCs w:val="16"/>
          <w:lang w:val="es-ES_tradnl"/>
        </w:rPr>
        <w:t>3) La asignación no relativa al personal del presupuesto de 2012/13 después de las transferencias refleja los ajustes a la baja efectuados para aumentar la eficacia en función de los costos, de conformidad con el compromiso de la Organización de reducir gastos por un importe de 10,2 millones de francos suizos en el bienio 2012/13.</w:t>
      </w:r>
    </w:p>
    <w:p w:rsidR="00B070BF" w:rsidRDefault="00B070BF" w:rsidP="00B070BF">
      <w:pPr>
        <w:widowControl w:val="0"/>
        <w:rPr>
          <w:sz w:val="20"/>
          <w:lang w:val="es-ES_tradnl"/>
        </w:rPr>
      </w:pPr>
    </w:p>
    <w:p w:rsidR="00B070BF" w:rsidRPr="009577DE" w:rsidRDefault="00B070BF" w:rsidP="00B070BF">
      <w:pPr>
        <w:widowControl w:val="0"/>
        <w:rPr>
          <w:sz w:val="20"/>
          <w:lang w:val="es-ES_tradnl"/>
        </w:rPr>
      </w:pPr>
    </w:p>
    <w:p w:rsidR="00B070BF" w:rsidRPr="009577DE" w:rsidRDefault="00B070BF" w:rsidP="00B070BF">
      <w:pPr>
        <w:keepNext/>
        <w:keepLines/>
        <w:widowControl w:val="0"/>
        <w:rPr>
          <w:sz w:val="20"/>
          <w:u w:val="single"/>
          <w:lang w:val="es-ES_tradnl"/>
        </w:rPr>
      </w:pPr>
      <w:r>
        <w:rPr>
          <w:sz w:val="20"/>
          <w:lang w:val="es-ES_tradnl"/>
        </w:rPr>
        <w:lastRenderedPageBreak/>
        <w:t xml:space="preserve">A.  </w:t>
      </w:r>
      <w:r w:rsidRPr="009577DE">
        <w:rPr>
          <w:sz w:val="20"/>
          <w:u w:val="single"/>
          <w:lang w:val="es-ES_tradnl"/>
        </w:rPr>
        <w:t xml:space="preserve">Presupuesto </w:t>
      </w:r>
      <w:r>
        <w:rPr>
          <w:sz w:val="20"/>
          <w:u w:val="single"/>
          <w:lang w:val="es-ES_tradnl"/>
        </w:rPr>
        <w:t>2012/13</w:t>
      </w:r>
      <w:r w:rsidRPr="009577DE">
        <w:rPr>
          <w:sz w:val="20"/>
          <w:u w:val="single"/>
          <w:lang w:val="es-ES_tradnl"/>
        </w:rPr>
        <w:t xml:space="preserve"> después de las transferencias</w:t>
      </w:r>
    </w:p>
    <w:p w:rsidR="00B070BF" w:rsidRPr="009577DE" w:rsidRDefault="00B070BF" w:rsidP="00B070BF">
      <w:pPr>
        <w:keepNext/>
        <w:keepLines/>
        <w:widowControl w:val="0"/>
        <w:rPr>
          <w:sz w:val="20"/>
          <w:u w:val="single"/>
          <w:lang w:val="es-ES_tradnl"/>
        </w:rPr>
      </w:pPr>
    </w:p>
    <w:p w:rsidR="00B070BF" w:rsidRPr="009577DE" w:rsidRDefault="00B070BF" w:rsidP="00B070BF">
      <w:pPr>
        <w:keepNext/>
        <w:keepLines/>
        <w:widowControl w:val="0"/>
        <w:numPr>
          <w:ilvl w:val="0"/>
          <w:numId w:val="25"/>
        </w:numPr>
        <w:jc w:val="both"/>
        <w:rPr>
          <w:sz w:val="20"/>
          <w:lang w:val="es-ES_tradnl"/>
        </w:rPr>
      </w:pPr>
      <w:r w:rsidRPr="009577DE">
        <w:rPr>
          <w:sz w:val="20"/>
          <w:lang w:val="es-ES_tradnl"/>
        </w:rPr>
        <w:t xml:space="preserve">La disminución neta de los recursos relativos a este programa es el resultado combinado de:  i) una disminución de los recursos respecto del proyecto de la Agenda para el Desarrollo sobre intensificación de la cooperación Sur-Sur en materia de P.I. y desarrollo entre los países en desarrollo y los PMA, al haberse transferido los fondos del proyecto a los fondos de reserva, lo que se reflejó en el resultado III.6 (Incorporación de la Agenda para el Desarrollo en los programas y actividades de la Organización);  y ii)  los ajustes según lo señalado en las notas precedentes. </w:t>
      </w:r>
    </w:p>
    <w:p w:rsidR="00B070BF" w:rsidRPr="009577DE" w:rsidRDefault="00B070BF" w:rsidP="00B070BF">
      <w:pPr>
        <w:widowControl w:val="0"/>
        <w:jc w:val="both"/>
        <w:rPr>
          <w:sz w:val="20"/>
          <w:lang w:val="es-ES_tradnl"/>
        </w:rPr>
      </w:pPr>
    </w:p>
    <w:p w:rsidR="00B070BF" w:rsidRPr="009577DE" w:rsidRDefault="00B070BF" w:rsidP="00B070BF">
      <w:pPr>
        <w:widowControl w:val="0"/>
        <w:numPr>
          <w:ilvl w:val="0"/>
          <w:numId w:val="25"/>
        </w:numPr>
        <w:jc w:val="both"/>
        <w:rPr>
          <w:sz w:val="20"/>
          <w:lang w:val="es-ES_tradnl"/>
        </w:rPr>
      </w:pPr>
      <w:r w:rsidRPr="009577DE">
        <w:rPr>
          <w:sz w:val="20"/>
          <w:lang w:val="es-ES_tradnl"/>
        </w:rPr>
        <w:t xml:space="preserve">La redistribución de los recursos entre los resultados III.1 (Estrategias nacionales de P.I.) y III.2 (Mejora de las capacidades en el ámbito de los recursos humanos) refleja la mayor atención prestada a la formulación de estrategias nacionales de P.I. en el contexto en que se acometen las actividades de creación de capacidad. </w:t>
      </w:r>
    </w:p>
    <w:p w:rsidR="00B070BF" w:rsidRPr="009577DE" w:rsidRDefault="00B070BF" w:rsidP="00B070BF">
      <w:pPr>
        <w:widowControl w:val="0"/>
        <w:jc w:val="both"/>
        <w:rPr>
          <w:sz w:val="20"/>
          <w:lang w:val="es-ES_tradnl"/>
        </w:rPr>
      </w:pPr>
    </w:p>
    <w:p w:rsidR="00B070BF" w:rsidRPr="009577DE" w:rsidRDefault="00B070BF" w:rsidP="00B070BF">
      <w:pPr>
        <w:widowControl w:val="0"/>
        <w:numPr>
          <w:ilvl w:val="0"/>
          <w:numId w:val="25"/>
        </w:numPr>
        <w:jc w:val="both"/>
        <w:rPr>
          <w:sz w:val="20"/>
          <w:lang w:val="es-ES_tradnl"/>
        </w:rPr>
      </w:pPr>
      <w:r w:rsidRPr="009577DE">
        <w:rPr>
          <w:sz w:val="20"/>
          <w:lang w:val="es-ES_tradnl"/>
        </w:rPr>
        <w:t xml:space="preserve">Los cambios en los resultados III.5 (Fomento de las capacidades de gestión de P.I. para las empresas), III.6 (Incorporación de los principios de la Agenda para el Desarrollo en los programas y actividades de la Organización) y III.7 (Eficacia en la supervisión de las recomendaciones de la Agenda para el Desarrollo) son un reflejo del traspaso de recursos relacionado con el establecimiento de la División de Proyectos Especiales en el seno del programa. </w:t>
      </w:r>
    </w:p>
    <w:p w:rsidR="00B070BF" w:rsidRPr="009577DE" w:rsidRDefault="00B070BF" w:rsidP="00B070BF">
      <w:pPr>
        <w:widowControl w:val="0"/>
        <w:jc w:val="both"/>
        <w:rPr>
          <w:sz w:val="20"/>
          <w:lang w:val="es-ES_tradnl"/>
        </w:rPr>
      </w:pPr>
    </w:p>
    <w:p w:rsidR="00B070BF" w:rsidRPr="009577DE" w:rsidRDefault="00B070BF" w:rsidP="00B070BF">
      <w:pPr>
        <w:widowControl w:val="0"/>
        <w:numPr>
          <w:ilvl w:val="0"/>
          <w:numId w:val="25"/>
        </w:numPr>
        <w:jc w:val="both"/>
        <w:rPr>
          <w:sz w:val="20"/>
          <w:lang w:val="es-ES_tradnl"/>
        </w:rPr>
      </w:pPr>
      <w:r w:rsidRPr="009577DE">
        <w:rPr>
          <w:sz w:val="20"/>
          <w:lang w:val="es-ES_tradnl"/>
        </w:rPr>
        <w:t xml:space="preserve">La disminución de los recursos relativos al resultado IV.5 (Mejora en la infraestructura técnica y de conocimientos) se debe a la aplicación continuada de la integración de las actividades de las oficinas de P.I. relacionadas con la infraestructura en el programa 15. </w:t>
      </w:r>
    </w:p>
    <w:p w:rsidR="00B070BF" w:rsidRPr="009577DE" w:rsidRDefault="00B070BF" w:rsidP="00B070BF">
      <w:pPr>
        <w:widowControl w:val="0"/>
        <w:jc w:val="both"/>
        <w:rPr>
          <w:rFonts w:eastAsia="Batang"/>
          <w:sz w:val="20"/>
          <w:lang w:val="es-ES_tradnl" w:eastAsia="ko-KR"/>
        </w:rPr>
      </w:pPr>
    </w:p>
    <w:p w:rsidR="00B070BF" w:rsidRPr="009577DE" w:rsidRDefault="00B070BF" w:rsidP="00B070BF">
      <w:pPr>
        <w:widowControl w:val="0"/>
        <w:jc w:val="both"/>
        <w:rPr>
          <w:rFonts w:eastAsia="Batang"/>
          <w:sz w:val="20"/>
          <w:u w:val="single"/>
          <w:lang w:val="es-ES_tradnl" w:eastAsia="ko-KR"/>
        </w:rPr>
      </w:pPr>
      <w:r w:rsidRPr="009577DE">
        <w:rPr>
          <w:rFonts w:eastAsia="Batang"/>
          <w:sz w:val="20"/>
          <w:lang w:val="es-ES_tradnl" w:eastAsia="ko-KR"/>
        </w:rPr>
        <w:t>B.</w:t>
      </w:r>
      <w:r>
        <w:rPr>
          <w:rFonts w:eastAsia="Batang"/>
          <w:sz w:val="20"/>
          <w:lang w:val="es-ES_tradnl" w:eastAsia="ko-KR"/>
        </w:rPr>
        <w:t xml:space="preserve"> </w:t>
      </w:r>
      <w:r w:rsidRPr="009577DE">
        <w:rPr>
          <w:rFonts w:eastAsia="Batang"/>
          <w:sz w:val="20"/>
          <w:lang w:val="es-ES_tradnl" w:eastAsia="ko-KR"/>
        </w:rPr>
        <w:t xml:space="preserve"> </w:t>
      </w:r>
      <w:r w:rsidRPr="009577DE">
        <w:rPr>
          <w:rFonts w:eastAsia="Batang"/>
          <w:sz w:val="20"/>
          <w:u w:val="single"/>
          <w:lang w:val="es-ES_tradnl" w:eastAsia="ko-KR"/>
        </w:rPr>
        <w:t>Utilización del presupuesto 2012</w:t>
      </w:r>
    </w:p>
    <w:p w:rsidR="00B070BF" w:rsidRPr="009577DE" w:rsidRDefault="00B070BF" w:rsidP="00B070BF">
      <w:pPr>
        <w:widowControl w:val="0"/>
        <w:jc w:val="both"/>
        <w:rPr>
          <w:b/>
          <w:bCs/>
          <w:sz w:val="20"/>
          <w:lang w:val="es-ES_tradnl"/>
        </w:rPr>
      </w:pPr>
    </w:p>
    <w:p w:rsidR="00B070BF" w:rsidRPr="009577DE" w:rsidRDefault="00B070BF" w:rsidP="00B070BF">
      <w:pPr>
        <w:widowControl w:val="0"/>
        <w:numPr>
          <w:ilvl w:val="0"/>
          <w:numId w:val="25"/>
        </w:numPr>
        <w:jc w:val="both"/>
        <w:rPr>
          <w:rFonts w:eastAsia="Batang"/>
          <w:sz w:val="20"/>
          <w:lang w:val="es-ES_tradnl" w:eastAsia="ko-KR"/>
        </w:rPr>
      </w:pPr>
      <w:r w:rsidRPr="009577DE">
        <w:rPr>
          <w:rFonts w:eastAsia="Batang"/>
          <w:sz w:val="20"/>
          <w:lang w:val="es-ES_tradnl" w:eastAsia="ko-KR"/>
        </w:rPr>
        <w:t>La utilización del presupuesto se mantiene entre el 40% y el 60% en el primer año del bienio y progresa con normalidad.</w:t>
      </w:r>
      <w:r w:rsidRPr="009577DE">
        <w:rPr>
          <w:lang w:val="es-ES_tradnl"/>
        </w:rPr>
        <w:t xml:space="preserve">  </w:t>
      </w:r>
    </w:p>
    <w:p w:rsidR="00B070BF" w:rsidRPr="009577DE" w:rsidRDefault="00B070BF" w:rsidP="00B070BF">
      <w:pPr>
        <w:widowControl w:val="0"/>
        <w:autoSpaceDE w:val="0"/>
        <w:autoSpaceDN w:val="0"/>
        <w:adjustRightInd w:val="0"/>
        <w:rPr>
          <w:sz w:val="20"/>
          <w:lang w:val="es-ES_tradnl"/>
        </w:rPr>
      </w:pPr>
    </w:p>
    <w:p w:rsidR="00B070BF" w:rsidRPr="009577DE" w:rsidRDefault="00B070BF" w:rsidP="00B070BF">
      <w:pPr>
        <w:pStyle w:val="Heading2"/>
        <w:ind w:left="2835" w:hanging="2835"/>
        <w:rPr>
          <w:b/>
          <w:lang w:val="es-ES_tradnl"/>
        </w:rPr>
      </w:pPr>
      <w:r w:rsidRPr="009577DE">
        <w:rPr>
          <w:sz w:val="20"/>
          <w:lang w:val="es-ES_tradnl"/>
        </w:rPr>
        <w:br w:type="page"/>
      </w:r>
      <w:bookmarkStart w:id="30" w:name="_Toc359846795"/>
      <w:bookmarkStart w:id="31" w:name="_Toc359949319"/>
      <w:r w:rsidRPr="009577DE">
        <w:rPr>
          <w:b/>
          <w:lang w:val="es-ES_tradnl"/>
        </w:rPr>
        <w:lastRenderedPageBreak/>
        <w:t>PROGRAMA 10</w:t>
      </w:r>
      <w:r w:rsidRPr="009577DE">
        <w:rPr>
          <w:b/>
          <w:lang w:val="es-ES_tradnl"/>
        </w:rPr>
        <w:tab/>
        <w:t>COOPERACIÓN CON DETERMINADOS PAÍSES DE EUROPA Y ASIA</w:t>
      </w:r>
      <w:bookmarkEnd w:id="30"/>
      <w:bookmarkEnd w:id="31"/>
    </w:p>
    <w:p w:rsidR="00B070BF" w:rsidRPr="009577DE" w:rsidRDefault="00B070BF" w:rsidP="00B070BF">
      <w:pPr>
        <w:widowControl w:val="0"/>
        <w:tabs>
          <w:tab w:val="left" w:pos="2268"/>
        </w:tabs>
        <w:rPr>
          <w:b/>
          <w:szCs w:val="22"/>
        </w:rPr>
      </w:pPr>
    </w:p>
    <w:p w:rsidR="00B070BF" w:rsidRPr="009577DE" w:rsidRDefault="00B070BF" w:rsidP="00B070BF">
      <w:pPr>
        <w:widowControl w:val="0"/>
        <w:tabs>
          <w:tab w:val="left" w:pos="2268"/>
        </w:tabs>
        <w:rPr>
          <w:b/>
          <w:szCs w:val="22"/>
        </w:rPr>
      </w:pPr>
    </w:p>
    <w:p w:rsidR="00B070BF" w:rsidRPr="009577DE" w:rsidRDefault="00B070BF" w:rsidP="00B070BF">
      <w:pPr>
        <w:widowControl w:val="0"/>
        <w:tabs>
          <w:tab w:val="left" w:pos="2268"/>
        </w:tabs>
        <w:rPr>
          <w:b/>
          <w:szCs w:val="22"/>
        </w:rPr>
      </w:pPr>
      <w:r w:rsidRPr="009577DE">
        <w:rPr>
          <w:b/>
          <w:szCs w:val="22"/>
        </w:rPr>
        <w:t>Director del Programa</w:t>
      </w:r>
      <w:r>
        <w:rPr>
          <w:szCs w:val="22"/>
        </w:rPr>
        <w:tab/>
      </w:r>
      <w:r w:rsidRPr="009577DE">
        <w:rPr>
          <w:b/>
          <w:szCs w:val="22"/>
        </w:rPr>
        <w:t>Director General</w:t>
      </w:r>
    </w:p>
    <w:p w:rsidR="00B070BF" w:rsidRPr="009577DE" w:rsidRDefault="00B070BF" w:rsidP="00B070BF">
      <w:pPr>
        <w:widowControl w:val="0"/>
        <w:rPr>
          <w:sz w:val="20"/>
        </w:rPr>
      </w:pPr>
    </w:p>
    <w:p w:rsidR="00B070BF" w:rsidRPr="009577DE" w:rsidRDefault="00B070BF" w:rsidP="00B070BF">
      <w:pPr>
        <w:widowControl w:val="0"/>
        <w:rPr>
          <w:bCs/>
          <w:sz w:val="20"/>
        </w:rPr>
      </w:pPr>
    </w:p>
    <w:p w:rsidR="00B070BF" w:rsidRPr="009577DE" w:rsidRDefault="00B070BF" w:rsidP="00B070BF">
      <w:pPr>
        <w:widowControl w:val="0"/>
        <w:spacing w:line="260" w:lineRule="atLeast"/>
        <w:rPr>
          <w:bCs/>
          <w:sz w:val="20"/>
          <w:lang w:val="es-ES_tradnl"/>
        </w:rPr>
      </w:pPr>
      <w:r w:rsidRPr="009577DE">
        <w:rPr>
          <w:bCs/>
          <w:sz w:val="20"/>
          <w:lang w:val="es-ES_tradnl"/>
        </w:rPr>
        <w:t>RESEÑA DE LOS AVANCES LOGRADOS EN 2012</w:t>
      </w:r>
    </w:p>
    <w:p w:rsidR="00B070BF" w:rsidRPr="009577DE" w:rsidRDefault="00B070BF" w:rsidP="00B070BF">
      <w:pPr>
        <w:widowControl w:val="0"/>
        <w:jc w:val="both"/>
        <w:rPr>
          <w:szCs w:val="22"/>
          <w:lang w:val="es-ES_tradnl"/>
        </w:rPr>
      </w:pPr>
    </w:p>
    <w:p w:rsidR="00B070BF" w:rsidRPr="009577DE" w:rsidRDefault="00B070BF" w:rsidP="00B070BF">
      <w:pPr>
        <w:widowControl w:val="0"/>
        <w:numPr>
          <w:ilvl w:val="0"/>
          <w:numId w:val="28"/>
        </w:numPr>
        <w:jc w:val="both"/>
        <w:rPr>
          <w:sz w:val="20"/>
        </w:rPr>
      </w:pPr>
      <w:r w:rsidRPr="009577DE">
        <w:rPr>
          <w:sz w:val="20"/>
        </w:rPr>
        <w:t>El programa 10 siguió desarrollando y coordinando, en cooperación con todos los sectores pertinentes, la ejecución de las actividades de cooperación con los países en los Estados de Europa Central y del Báltico, Asia Central, Europa Oriental y el Cáucaso, así como en algunos países del Mediterráneo.</w:t>
      </w:r>
    </w:p>
    <w:p w:rsidR="00B070BF" w:rsidRPr="009577DE" w:rsidRDefault="00B070BF" w:rsidP="00B070BF">
      <w:pPr>
        <w:widowControl w:val="0"/>
        <w:jc w:val="both"/>
        <w:rPr>
          <w:sz w:val="20"/>
        </w:rPr>
      </w:pPr>
    </w:p>
    <w:p w:rsidR="00B070BF" w:rsidRPr="009577DE" w:rsidRDefault="00B070BF" w:rsidP="00B070BF">
      <w:pPr>
        <w:widowControl w:val="0"/>
        <w:numPr>
          <w:ilvl w:val="0"/>
          <w:numId w:val="28"/>
        </w:numPr>
        <w:jc w:val="both"/>
        <w:rPr>
          <w:sz w:val="20"/>
        </w:rPr>
      </w:pPr>
      <w:r w:rsidRPr="009577DE">
        <w:rPr>
          <w:sz w:val="20"/>
        </w:rPr>
        <w:t>El programa ha seguido mejorando la planificación a largo plazo y ha adoptado un enfoque estratégico en relación con la P.I. en los países interesados con el fin de centrarse en las necesidades reales de los Estados miembros en lugar de concentrarse en objetivos a corto plazo.</w:t>
      </w:r>
    </w:p>
    <w:p w:rsidR="00B070BF" w:rsidRPr="009577DE" w:rsidRDefault="00B070BF" w:rsidP="00B070BF">
      <w:pPr>
        <w:widowControl w:val="0"/>
        <w:jc w:val="both"/>
        <w:rPr>
          <w:sz w:val="20"/>
        </w:rPr>
      </w:pPr>
    </w:p>
    <w:p w:rsidR="00B070BF" w:rsidRPr="009577DE" w:rsidRDefault="00B070BF" w:rsidP="00B070BF">
      <w:pPr>
        <w:widowControl w:val="0"/>
        <w:numPr>
          <w:ilvl w:val="0"/>
          <w:numId w:val="28"/>
        </w:numPr>
        <w:jc w:val="both"/>
        <w:rPr>
          <w:bCs/>
          <w:sz w:val="20"/>
          <w:lang w:bidi="th-TH"/>
        </w:rPr>
      </w:pPr>
      <w:r w:rsidRPr="009577DE">
        <w:rPr>
          <w:bCs/>
          <w:sz w:val="20"/>
          <w:lang w:bidi="th-TH"/>
        </w:rPr>
        <w:t>En dicho contexto, la OMPI siguió fomentado la importancia de prestar asistencia en el desarrollo y/o la aplicación estrategias nacionales de P.I. en la región.  Por consiguiente, los siguientes países adoptaron o tenían previsto adoptar una estrategia</w:t>
      </w:r>
      <w:r>
        <w:rPr>
          <w:bCs/>
          <w:sz w:val="20"/>
          <w:lang w:bidi="th-TH"/>
        </w:rPr>
        <w:t xml:space="preserve"> nacional de P.I.: </w:t>
      </w:r>
      <w:proofErr w:type="spellStart"/>
      <w:r>
        <w:rPr>
          <w:bCs/>
          <w:sz w:val="20"/>
          <w:lang w:bidi="th-TH"/>
        </w:rPr>
        <w:t>Belarús</w:t>
      </w:r>
      <w:proofErr w:type="spellEnd"/>
      <w:r>
        <w:rPr>
          <w:bCs/>
          <w:sz w:val="20"/>
          <w:lang w:bidi="th-TH"/>
        </w:rPr>
        <w:t>, la e</w:t>
      </w:r>
      <w:r w:rsidRPr="009577DE">
        <w:rPr>
          <w:bCs/>
          <w:sz w:val="20"/>
          <w:lang w:bidi="th-TH"/>
        </w:rPr>
        <w:t xml:space="preserve">x República Yugoslava de Macedonia, Montenegro, República de </w:t>
      </w:r>
      <w:proofErr w:type="spellStart"/>
      <w:r w:rsidRPr="009577DE">
        <w:rPr>
          <w:bCs/>
          <w:sz w:val="20"/>
          <w:lang w:bidi="th-TH"/>
        </w:rPr>
        <w:t>Moldova</w:t>
      </w:r>
      <w:proofErr w:type="spellEnd"/>
      <w:r w:rsidRPr="009577DE">
        <w:rPr>
          <w:bCs/>
          <w:sz w:val="20"/>
          <w:lang w:bidi="th-TH"/>
        </w:rPr>
        <w:t xml:space="preserve"> y Rumania.  Además, los siguientes países iniciaron la elaboración o actualizaron de una estrategia existente: Eslovaquia, República Checa, Tayikistán y Ucrania.  En algunos casos, se firmaron memorandos de entendimiento entre la OMPI y los socios nacionales en los que se establece una cooperación plurianual.</w:t>
      </w:r>
    </w:p>
    <w:p w:rsidR="00B070BF" w:rsidRPr="009577DE" w:rsidRDefault="00B070BF" w:rsidP="00B070BF">
      <w:pPr>
        <w:widowControl w:val="0"/>
        <w:jc w:val="both"/>
        <w:rPr>
          <w:bCs/>
          <w:sz w:val="20"/>
          <w:lang w:bidi="th-TH"/>
        </w:rPr>
      </w:pPr>
    </w:p>
    <w:p w:rsidR="00B070BF" w:rsidRPr="009577DE" w:rsidRDefault="00B070BF" w:rsidP="00B070BF">
      <w:pPr>
        <w:widowControl w:val="0"/>
        <w:numPr>
          <w:ilvl w:val="0"/>
          <w:numId w:val="28"/>
        </w:numPr>
        <w:autoSpaceDE w:val="0"/>
        <w:autoSpaceDN w:val="0"/>
        <w:adjustRightInd w:val="0"/>
        <w:jc w:val="both"/>
        <w:rPr>
          <w:bCs/>
          <w:sz w:val="20"/>
          <w:lang w:bidi="th-TH"/>
        </w:rPr>
      </w:pPr>
      <w:r w:rsidRPr="009577DE">
        <w:rPr>
          <w:bCs/>
          <w:sz w:val="20"/>
          <w:lang w:bidi="th-TH"/>
        </w:rPr>
        <w:t xml:space="preserve">En concordancia con las estrategias nacionales de P.I. y la posterior asistencia de la OMPI, cuatro países modificaron sus legislaciones en materia de P.I. (Albania, </w:t>
      </w:r>
      <w:proofErr w:type="spellStart"/>
      <w:r w:rsidRPr="009577DE">
        <w:rPr>
          <w:bCs/>
          <w:sz w:val="20"/>
          <w:lang w:bidi="th-TH"/>
        </w:rPr>
        <w:t>Belarús</w:t>
      </w:r>
      <w:proofErr w:type="spellEnd"/>
      <w:r w:rsidRPr="009577DE">
        <w:rPr>
          <w:bCs/>
          <w:sz w:val="20"/>
          <w:lang w:bidi="th-TH"/>
        </w:rPr>
        <w:t xml:space="preserve">, Bosnia y Herzegovina y Rumania) y seis estaban planificando modificarla en 2013 (Estonia, Eslovenia, Federación de Rusia, Letonia, </w:t>
      </w:r>
      <w:r>
        <w:rPr>
          <w:bCs/>
          <w:sz w:val="20"/>
          <w:lang w:bidi="th-TH"/>
        </w:rPr>
        <w:t xml:space="preserve">República de </w:t>
      </w:r>
      <w:proofErr w:type="spellStart"/>
      <w:r w:rsidRPr="009577DE">
        <w:rPr>
          <w:bCs/>
          <w:sz w:val="20"/>
          <w:lang w:bidi="th-TH"/>
        </w:rPr>
        <w:t>Moldova</w:t>
      </w:r>
      <w:proofErr w:type="spellEnd"/>
      <w:r w:rsidRPr="009577DE">
        <w:rPr>
          <w:bCs/>
          <w:sz w:val="20"/>
          <w:lang w:bidi="th-TH"/>
        </w:rPr>
        <w:t xml:space="preserve"> y Serbia).</w:t>
      </w:r>
    </w:p>
    <w:p w:rsidR="00B070BF" w:rsidRPr="009577DE" w:rsidRDefault="00B070BF" w:rsidP="00B070BF">
      <w:pPr>
        <w:widowControl w:val="0"/>
        <w:autoSpaceDE w:val="0"/>
        <w:autoSpaceDN w:val="0"/>
        <w:adjustRightInd w:val="0"/>
        <w:jc w:val="both"/>
        <w:rPr>
          <w:sz w:val="20"/>
        </w:rPr>
      </w:pPr>
    </w:p>
    <w:p w:rsidR="00B070BF" w:rsidRPr="009577DE" w:rsidRDefault="00B070BF" w:rsidP="00B070BF">
      <w:pPr>
        <w:widowControl w:val="0"/>
        <w:numPr>
          <w:ilvl w:val="0"/>
          <w:numId w:val="28"/>
        </w:numPr>
        <w:autoSpaceDE w:val="0"/>
        <w:autoSpaceDN w:val="0"/>
        <w:adjustRightInd w:val="0"/>
        <w:jc w:val="both"/>
        <w:rPr>
          <w:sz w:val="20"/>
          <w:lang w:val="es-ES_tradnl"/>
        </w:rPr>
      </w:pPr>
      <w:r w:rsidRPr="009577DE">
        <w:rPr>
          <w:sz w:val="20"/>
          <w:lang w:val="es-ES_tradnl"/>
        </w:rPr>
        <w:t>El programa también siguió prestando apoyo a países en la región para fomentar la capacidad de sus recursos humanos y aumentar la sensibilización y la base de conocimientos para utilizar eficazmente la P.I. en favor del desarrollo económico, social y cultural.  Se formaron más de 1.200 especialistas y expertos en P.I. por medio de programas de P.I. relacionados con transferencia de tecnología, observancia, derechos de autor, enseñanza de P.I. y conocimientos tradicionales.  Además, se organizaron cursos de verano de la OMPI en Croacia, la Federación de Rusia y Ucrania.</w:t>
      </w:r>
    </w:p>
    <w:p w:rsidR="00B070BF" w:rsidRPr="009577DE" w:rsidRDefault="00B070BF" w:rsidP="00B070BF">
      <w:pPr>
        <w:widowControl w:val="0"/>
        <w:jc w:val="both"/>
        <w:rPr>
          <w:bCs/>
          <w:sz w:val="20"/>
          <w:lang w:val="es-ES_tradnl"/>
        </w:rPr>
      </w:pPr>
    </w:p>
    <w:p w:rsidR="00B070BF" w:rsidRPr="009577DE" w:rsidRDefault="00B070BF" w:rsidP="00B070BF">
      <w:pPr>
        <w:widowControl w:val="0"/>
        <w:jc w:val="both"/>
        <w:rPr>
          <w:bCs/>
          <w:sz w:val="20"/>
          <w:lang w:val="es-ES_tradnl"/>
        </w:rPr>
      </w:pPr>
    </w:p>
    <w:p w:rsidR="00B070BF" w:rsidRPr="009577DE" w:rsidRDefault="00B070BF" w:rsidP="00B070BF">
      <w:pPr>
        <w:widowControl w:val="0"/>
        <w:jc w:val="both"/>
        <w:rPr>
          <w:bCs/>
          <w:sz w:val="20"/>
          <w:lang w:val="es-ES_tradnl"/>
        </w:rPr>
      </w:pPr>
      <w:r w:rsidRPr="009577DE">
        <w:rPr>
          <w:bCs/>
          <w:sz w:val="20"/>
          <w:lang w:val="es-ES_tradnl"/>
        </w:rPr>
        <w:t xml:space="preserve">APLICACIÓN DE LA AGENDA PARA EL DESARROLLO </w:t>
      </w:r>
    </w:p>
    <w:p w:rsidR="00B070BF" w:rsidRPr="009577DE" w:rsidRDefault="00B070BF" w:rsidP="00B070BF">
      <w:pPr>
        <w:widowControl w:val="0"/>
        <w:autoSpaceDE w:val="0"/>
        <w:autoSpaceDN w:val="0"/>
        <w:adjustRightInd w:val="0"/>
        <w:rPr>
          <w:b/>
          <w:bCs/>
          <w:sz w:val="20"/>
          <w:lang w:val="es-ES_tradnl"/>
        </w:rPr>
      </w:pPr>
    </w:p>
    <w:p w:rsidR="00B070BF" w:rsidRPr="009577DE" w:rsidRDefault="00B070BF" w:rsidP="00B070BF">
      <w:pPr>
        <w:widowControl w:val="0"/>
        <w:numPr>
          <w:ilvl w:val="0"/>
          <w:numId w:val="28"/>
        </w:numPr>
        <w:autoSpaceDE w:val="0"/>
        <w:autoSpaceDN w:val="0"/>
        <w:adjustRightInd w:val="0"/>
        <w:jc w:val="both"/>
        <w:rPr>
          <w:sz w:val="20"/>
          <w:lang w:val="es-ES_tradnl"/>
        </w:rPr>
      </w:pPr>
      <w:r w:rsidRPr="009577DE">
        <w:rPr>
          <w:sz w:val="20"/>
          <w:lang w:val="es-ES_tradnl"/>
        </w:rPr>
        <w:t>El programa 10 siguió desempeñando un papel fundamental para la aplicación de la Agenda de la OMPI para el Desarrollo en la cooperación con determinados países de Europa y Asia. Esto fue especialmente apreciable en el caso de las recomendaciones de la Agenda para el Desarrollo relacionadas con las actividades de la OMPI en materia de asistencia técnica y fortalecimiento de las capacidades – las recomendaciones de la Categoría A que siguieron conformando el diseño y la puesta en práctica de las actividades del programa 10.</w:t>
      </w:r>
    </w:p>
    <w:p w:rsidR="00B070BF" w:rsidRPr="009577DE" w:rsidRDefault="00B070BF" w:rsidP="00B070BF">
      <w:pPr>
        <w:widowControl w:val="0"/>
        <w:autoSpaceDE w:val="0"/>
        <w:autoSpaceDN w:val="0"/>
        <w:adjustRightInd w:val="0"/>
        <w:jc w:val="both"/>
        <w:rPr>
          <w:sz w:val="20"/>
          <w:lang w:val="es-ES_tradnl"/>
        </w:rPr>
      </w:pPr>
    </w:p>
    <w:p w:rsidR="00B070BF" w:rsidRDefault="00B070BF" w:rsidP="00B070BF">
      <w:pPr>
        <w:rPr>
          <w:szCs w:val="22"/>
          <w:lang w:val="es-ES_tradnl"/>
        </w:rPr>
      </w:pPr>
      <w:r>
        <w:rPr>
          <w:szCs w:val="22"/>
          <w:lang w:val="es-ES_tradnl"/>
        </w:rPr>
        <w:br w:type="page"/>
      </w:r>
    </w:p>
    <w:p w:rsidR="00B070BF" w:rsidRPr="009577DE" w:rsidRDefault="00B070BF" w:rsidP="00B070BF">
      <w:pPr>
        <w:widowControl w:val="0"/>
        <w:jc w:val="both"/>
        <w:rPr>
          <w:szCs w:val="22"/>
          <w:lang w:val="es-ES_tradnl"/>
        </w:rPr>
      </w:pPr>
    </w:p>
    <w:p w:rsidR="00B070BF" w:rsidRPr="009577DE" w:rsidRDefault="00B070BF" w:rsidP="00B070BF">
      <w:pPr>
        <w:widowControl w:val="0"/>
        <w:jc w:val="both"/>
        <w:rPr>
          <w:sz w:val="20"/>
          <w:lang w:val="es-ES_tradnl"/>
        </w:rPr>
      </w:pPr>
      <w:r w:rsidRPr="007C3E0F">
        <w:rPr>
          <w:sz w:val="20"/>
          <w:lang w:val="es-ES_tradnl"/>
        </w:rPr>
        <w:t>DATOS SOBRE EL RENDIMIENTO</w:t>
      </w:r>
    </w:p>
    <w:p w:rsidR="00B070BF" w:rsidRPr="009577DE" w:rsidRDefault="00B070BF" w:rsidP="00B070BF">
      <w:pPr>
        <w:widowControl w:val="0"/>
        <w:rPr>
          <w:b/>
          <w:sz w:val="20"/>
          <w:lang w:val="es-ES_tradnl"/>
        </w:rPr>
      </w:pPr>
    </w:p>
    <w:tbl>
      <w:tblPr>
        <w:tblW w:w="5000" w:type="pct"/>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630"/>
        <w:gridCol w:w="1498"/>
        <w:gridCol w:w="1710"/>
        <w:gridCol w:w="3494"/>
        <w:gridCol w:w="1239"/>
      </w:tblGrid>
      <w:tr w:rsidR="00B070BF" w:rsidRPr="009577DE" w:rsidTr="00C33D4A">
        <w:trPr>
          <w:cantSplit/>
        </w:trPr>
        <w:tc>
          <w:tcPr>
            <w:tcW w:w="5000" w:type="pct"/>
            <w:gridSpan w:val="5"/>
            <w:tcBorders>
              <w:top w:val="single" w:sz="4" w:space="0" w:color="auto"/>
              <w:left w:val="single" w:sz="4" w:space="0" w:color="auto"/>
              <w:bottom w:val="nil"/>
              <w:right w:val="single" w:sz="4" w:space="0" w:color="auto"/>
            </w:tcBorders>
            <w:shd w:val="clear" w:color="auto" w:fill="CCFFFF"/>
            <w:vAlign w:val="center"/>
          </w:tcPr>
          <w:p w:rsidR="00B070BF" w:rsidRPr="009577DE" w:rsidRDefault="00B070BF" w:rsidP="00C33D4A">
            <w:pPr>
              <w:widowControl w:val="0"/>
              <w:spacing w:before="120" w:after="120"/>
              <w:ind w:left="1735" w:hanging="1735"/>
              <w:rPr>
                <w:b/>
                <w:bCs/>
                <w:sz w:val="16"/>
                <w:szCs w:val="16"/>
                <w:lang w:val="es-ES_tradnl"/>
              </w:rPr>
            </w:pPr>
            <w:r w:rsidRPr="009577DE">
              <w:rPr>
                <w:b/>
                <w:bCs/>
                <w:sz w:val="16"/>
                <w:szCs w:val="16"/>
                <w:lang w:val="es-ES_tradnl"/>
              </w:rPr>
              <w:t>Resultado previsto:</w:t>
            </w:r>
            <w:r w:rsidRPr="009577DE">
              <w:rPr>
                <w:b/>
                <w:bCs/>
                <w:sz w:val="16"/>
                <w:szCs w:val="16"/>
                <w:lang w:val="es-ES_tradnl"/>
              </w:rPr>
              <w:tab/>
            </w:r>
            <w:r w:rsidRPr="009577DE">
              <w:rPr>
                <w:bCs/>
                <w:sz w:val="16"/>
                <w:szCs w:val="16"/>
                <w:lang w:val="es-ES_tradnl"/>
              </w:rPr>
              <w:t xml:space="preserve"> Políticas nacionales de innovación y de P.I. claramente definidas y coherentes, estrategias y planes de desarrollo que estén en sintonía con las metas y los objetivos nacionales de desarrollo.</w:t>
            </w:r>
          </w:p>
        </w:tc>
      </w:tr>
      <w:tr w:rsidR="00B070BF" w:rsidRPr="009577DE" w:rsidTr="00C33D4A">
        <w:trPr>
          <w:cantSplit/>
        </w:trPr>
        <w:tc>
          <w:tcPr>
            <w:tcW w:w="874" w:type="pct"/>
            <w:tcBorders>
              <w:top w:val="single" w:sz="4" w:space="0" w:color="auto"/>
              <w:left w:val="single" w:sz="4" w:space="0" w:color="auto"/>
              <w:bottom w:val="nil"/>
            </w:tcBorders>
            <w:shd w:val="clear" w:color="auto" w:fill="auto"/>
            <w:vAlign w:val="center"/>
          </w:tcPr>
          <w:p w:rsidR="00B070BF" w:rsidRPr="009577DE" w:rsidRDefault="00B070BF" w:rsidP="00C33D4A">
            <w:pPr>
              <w:widowControl w:val="0"/>
              <w:spacing w:after="120"/>
              <w:rPr>
                <w:sz w:val="16"/>
                <w:szCs w:val="16"/>
                <w:lang w:val="es-ES_tradnl"/>
              </w:rPr>
            </w:pPr>
            <w:r w:rsidRPr="009577DE">
              <w:rPr>
                <w:b/>
                <w:bCs/>
                <w:sz w:val="16"/>
                <w:szCs w:val="16"/>
                <w:lang w:val="es-ES_tradnl"/>
              </w:rPr>
              <w:t>Indicadores de rendimiento</w:t>
            </w:r>
          </w:p>
        </w:tc>
        <w:tc>
          <w:tcPr>
            <w:tcW w:w="805" w:type="pct"/>
            <w:tcBorders>
              <w:top w:val="single" w:sz="4" w:space="0" w:color="auto"/>
              <w:bottom w:val="nil"/>
            </w:tcBorders>
            <w:shd w:val="clear" w:color="auto" w:fill="C0C0C0"/>
          </w:tcPr>
          <w:p w:rsidR="00B070BF" w:rsidRPr="009577DE" w:rsidRDefault="00B070BF" w:rsidP="00C33D4A">
            <w:pPr>
              <w:widowControl w:val="0"/>
              <w:spacing w:after="120"/>
              <w:rPr>
                <w:b/>
                <w:bCs/>
                <w:sz w:val="16"/>
                <w:szCs w:val="16"/>
                <w:lang w:val="es-ES_tradnl"/>
              </w:rPr>
            </w:pPr>
            <w:r w:rsidRPr="009577DE">
              <w:rPr>
                <w:b/>
                <w:bCs/>
                <w:sz w:val="16"/>
                <w:szCs w:val="16"/>
                <w:lang w:val="es-ES_tradnl"/>
              </w:rPr>
              <w:t>Referencia (</w:t>
            </w:r>
            <w:proofErr w:type="spellStart"/>
            <w:r w:rsidRPr="009577DE">
              <w:rPr>
                <w:b/>
                <w:bCs/>
                <w:sz w:val="16"/>
                <w:szCs w:val="16"/>
                <w:lang w:val="es-ES_tradnl"/>
              </w:rPr>
              <w:t>Presup</w:t>
            </w:r>
            <w:proofErr w:type="spellEnd"/>
            <w:r w:rsidRPr="009577DE">
              <w:rPr>
                <w:b/>
                <w:bCs/>
                <w:sz w:val="16"/>
                <w:szCs w:val="16"/>
                <w:lang w:val="es-ES_tradnl"/>
              </w:rPr>
              <w:t xml:space="preserve">. por </w:t>
            </w:r>
            <w:proofErr w:type="spellStart"/>
            <w:r w:rsidRPr="009577DE">
              <w:rPr>
                <w:b/>
                <w:bCs/>
                <w:sz w:val="16"/>
                <w:szCs w:val="16"/>
                <w:lang w:val="es-ES_tradnl"/>
              </w:rPr>
              <w:t>prog</w:t>
            </w:r>
            <w:proofErr w:type="spellEnd"/>
            <w:r w:rsidRPr="009577DE">
              <w:rPr>
                <w:b/>
                <w:bCs/>
                <w:sz w:val="16"/>
                <w:szCs w:val="16"/>
                <w:lang w:val="es-ES_tradnl"/>
              </w:rPr>
              <w:t>. 2012/13)</w:t>
            </w:r>
          </w:p>
        </w:tc>
        <w:tc>
          <w:tcPr>
            <w:tcW w:w="916" w:type="pct"/>
            <w:tcBorders>
              <w:top w:val="single" w:sz="4" w:space="0" w:color="auto"/>
              <w:bottom w:val="nil"/>
            </w:tcBorders>
            <w:shd w:val="clear" w:color="auto" w:fill="auto"/>
            <w:tcMar>
              <w:top w:w="110" w:type="dxa"/>
            </w:tcMar>
            <w:vAlign w:val="center"/>
          </w:tcPr>
          <w:p w:rsidR="00B070BF" w:rsidRPr="009577DE" w:rsidRDefault="00B070BF" w:rsidP="00C33D4A">
            <w:pPr>
              <w:widowControl w:val="0"/>
              <w:spacing w:after="120"/>
              <w:rPr>
                <w:b/>
                <w:sz w:val="16"/>
                <w:szCs w:val="16"/>
                <w:lang w:val="es-ES_tradnl"/>
              </w:rPr>
            </w:pPr>
            <w:r w:rsidRPr="00BF138D">
              <w:rPr>
                <w:b/>
                <w:color w:val="993300"/>
                <w:sz w:val="16"/>
                <w:szCs w:val="16"/>
                <w:lang w:val="es-ES_tradnl"/>
              </w:rPr>
              <w:t>Referencia actualizada a finales de 2011</w:t>
            </w:r>
            <w:r w:rsidRPr="009577DE">
              <w:rPr>
                <w:b/>
                <w:sz w:val="16"/>
                <w:szCs w:val="16"/>
                <w:lang w:val="es-ES_tradnl"/>
              </w:rPr>
              <w:t xml:space="preserve"> </w:t>
            </w:r>
          </w:p>
        </w:tc>
        <w:tc>
          <w:tcPr>
            <w:tcW w:w="1848" w:type="pct"/>
            <w:tcBorders>
              <w:top w:val="single" w:sz="4" w:space="0" w:color="auto"/>
              <w:bottom w:val="nil"/>
            </w:tcBorders>
            <w:shd w:val="clear" w:color="auto" w:fill="FFFFFF"/>
            <w:tcMar>
              <w:top w:w="110" w:type="dxa"/>
            </w:tcMar>
            <w:vAlign w:val="center"/>
          </w:tcPr>
          <w:p w:rsidR="00B070BF" w:rsidRPr="009577DE" w:rsidRDefault="00B070BF" w:rsidP="00C33D4A">
            <w:pPr>
              <w:widowControl w:val="0"/>
              <w:spacing w:after="120"/>
              <w:rPr>
                <w:sz w:val="16"/>
                <w:szCs w:val="16"/>
                <w:lang w:val="es-ES_tradnl"/>
              </w:rPr>
            </w:pPr>
            <w:r w:rsidRPr="009577DE">
              <w:rPr>
                <w:b/>
                <w:bCs/>
                <w:sz w:val="16"/>
                <w:szCs w:val="16"/>
                <w:lang w:val="es-ES_tradnl"/>
              </w:rPr>
              <w:t>Datos sobre el rendimiento</w:t>
            </w:r>
          </w:p>
        </w:tc>
        <w:tc>
          <w:tcPr>
            <w:tcW w:w="557" w:type="pct"/>
            <w:tcBorders>
              <w:top w:val="single" w:sz="4" w:space="0" w:color="auto"/>
              <w:bottom w:val="nil"/>
              <w:right w:val="single" w:sz="4" w:space="0" w:color="auto"/>
            </w:tcBorders>
            <w:shd w:val="clear" w:color="auto" w:fill="auto"/>
            <w:tcMar>
              <w:top w:w="110" w:type="dxa"/>
            </w:tcMar>
            <w:vAlign w:val="center"/>
          </w:tcPr>
          <w:p w:rsidR="00B070BF" w:rsidRPr="009577DE" w:rsidRDefault="00B070BF" w:rsidP="00C33D4A">
            <w:pPr>
              <w:widowControl w:val="0"/>
              <w:spacing w:after="120"/>
              <w:jc w:val="center"/>
              <w:rPr>
                <w:b/>
                <w:bCs/>
                <w:sz w:val="16"/>
                <w:szCs w:val="16"/>
                <w:lang w:val="es-ES_tradnl"/>
              </w:rPr>
            </w:pPr>
            <w:r w:rsidRPr="009577DE">
              <w:rPr>
                <w:b/>
                <w:bCs/>
                <w:sz w:val="16"/>
                <w:szCs w:val="16"/>
                <w:lang w:val="es-ES_tradnl"/>
              </w:rPr>
              <w:t>Clave de colores</w:t>
            </w:r>
          </w:p>
        </w:tc>
      </w:tr>
      <w:tr w:rsidR="00B070BF" w:rsidRPr="009577DE" w:rsidTr="00C33D4A">
        <w:trPr>
          <w:cantSplit/>
        </w:trPr>
        <w:tc>
          <w:tcPr>
            <w:tcW w:w="874" w:type="pct"/>
            <w:tcBorders>
              <w:top w:val="nil"/>
              <w:left w:val="single" w:sz="4" w:space="0" w:color="auto"/>
              <w:bottom w:val="single" w:sz="4" w:space="0" w:color="auto"/>
            </w:tcBorders>
            <w:shd w:val="clear" w:color="auto" w:fill="auto"/>
          </w:tcPr>
          <w:p w:rsidR="00B070BF" w:rsidRPr="009577DE" w:rsidRDefault="00B070BF" w:rsidP="00C33D4A">
            <w:pPr>
              <w:widowControl w:val="0"/>
              <w:rPr>
                <w:sz w:val="16"/>
                <w:szCs w:val="16"/>
                <w:lang w:val="es-ES_tradnl"/>
              </w:rPr>
            </w:pPr>
            <w:r w:rsidRPr="009577DE">
              <w:rPr>
                <w:sz w:val="16"/>
                <w:szCs w:val="16"/>
                <w:lang w:val="es-ES_tradnl" w:bidi="th-TH"/>
              </w:rPr>
              <w:t>Número de países que han elaborado estrategias o planes nacionales combinados con metas nacionales de desarrollo.</w:t>
            </w:r>
          </w:p>
        </w:tc>
        <w:tc>
          <w:tcPr>
            <w:tcW w:w="805" w:type="pct"/>
            <w:tcBorders>
              <w:top w:val="nil"/>
              <w:bottom w:val="single" w:sz="4" w:space="0" w:color="auto"/>
            </w:tcBorders>
            <w:shd w:val="clear" w:color="auto" w:fill="C0C0C0"/>
          </w:tcPr>
          <w:p w:rsidR="00B070BF" w:rsidRPr="009577DE" w:rsidRDefault="00B070BF" w:rsidP="00C33D4A">
            <w:pPr>
              <w:widowControl w:val="0"/>
              <w:rPr>
                <w:sz w:val="16"/>
                <w:szCs w:val="16"/>
                <w:lang w:val="es-ES_tradnl"/>
              </w:rPr>
            </w:pPr>
            <w:r w:rsidRPr="009577DE">
              <w:rPr>
                <w:sz w:val="16"/>
                <w:szCs w:val="16"/>
                <w:lang w:val="es-ES_tradnl" w:bidi="th-TH"/>
              </w:rPr>
              <w:t>Seis países (2008/09).</w:t>
            </w:r>
          </w:p>
        </w:tc>
        <w:tc>
          <w:tcPr>
            <w:tcW w:w="916" w:type="pct"/>
            <w:tcBorders>
              <w:top w:val="nil"/>
              <w:bottom w:val="single" w:sz="4" w:space="0" w:color="auto"/>
            </w:tcBorders>
            <w:shd w:val="clear" w:color="auto" w:fill="auto"/>
            <w:tcMar>
              <w:top w:w="110" w:type="dxa"/>
            </w:tcMar>
          </w:tcPr>
          <w:p w:rsidR="00B070BF" w:rsidRPr="009577DE" w:rsidRDefault="00B070BF" w:rsidP="00C33D4A">
            <w:pPr>
              <w:widowControl w:val="0"/>
              <w:rPr>
                <w:i/>
                <w:sz w:val="16"/>
                <w:szCs w:val="16"/>
                <w:lang w:val="es-ES_tradnl"/>
              </w:rPr>
            </w:pPr>
            <w:r w:rsidRPr="00F2661C">
              <w:rPr>
                <w:color w:val="993300"/>
                <w:sz w:val="16"/>
                <w:szCs w:val="16"/>
                <w:lang w:val="es-ES_tradnl" w:bidi="th-TH"/>
              </w:rPr>
              <w:t>Once países</w:t>
            </w:r>
          </w:p>
        </w:tc>
        <w:tc>
          <w:tcPr>
            <w:tcW w:w="1848" w:type="pct"/>
            <w:tcBorders>
              <w:top w:val="nil"/>
              <w:bottom w:val="single" w:sz="4" w:space="0" w:color="auto"/>
            </w:tcBorders>
            <w:shd w:val="clear" w:color="auto" w:fill="FFFFFF"/>
            <w:tcMar>
              <w:top w:w="110" w:type="dxa"/>
            </w:tcMar>
          </w:tcPr>
          <w:p w:rsidR="00B070BF" w:rsidRPr="009577DE" w:rsidRDefault="00B070BF" w:rsidP="00C33D4A">
            <w:pPr>
              <w:widowControl w:val="0"/>
              <w:rPr>
                <w:bCs/>
                <w:sz w:val="16"/>
                <w:szCs w:val="16"/>
                <w:lang w:val="es-ES_tradnl" w:bidi="th-TH"/>
              </w:rPr>
            </w:pPr>
            <w:r w:rsidRPr="009577DE">
              <w:rPr>
                <w:bCs/>
                <w:sz w:val="16"/>
                <w:szCs w:val="16"/>
                <w:lang w:val="es-ES_tradnl" w:bidi="th-TH"/>
              </w:rPr>
              <w:t>Cinco países (</w:t>
            </w:r>
            <w:proofErr w:type="spellStart"/>
            <w:r w:rsidRPr="009577DE">
              <w:rPr>
                <w:bCs/>
                <w:sz w:val="16"/>
                <w:szCs w:val="16"/>
                <w:lang w:val="es-ES_tradnl" w:bidi="th-TH"/>
              </w:rPr>
              <w:t>Belarús</w:t>
            </w:r>
            <w:proofErr w:type="spellEnd"/>
            <w:r w:rsidRPr="009577DE">
              <w:rPr>
                <w:bCs/>
                <w:sz w:val="16"/>
                <w:szCs w:val="16"/>
                <w:lang w:val="es-ES_tradnl" w:bidi="th-TH"/>
              </w:rPr>
              <w:t xml:space="preserve">, Montenegro, la ex República Yugoslava de Macedonia, la República de </w:t>
            </w:r>
            <w:proofErr w:type="spellStart"/>
            <w:r w:rsidRPr="009577DE">
              <w:rPr>
                <w:bCs/>
                <w:sz w:val="16"/>
                <w:szCs w:val="16"/>
                <w:lang w:val="es-ES_tradnl" w:bidi="th-TH"/>
              </w:rPr>
              <w:t>Moldova</w:t>
            </w:r>
            <w:proofErr w:type="spellEnd"/>
            <w:r w:rsidRPr="009577DE">
              <w:rPr>
                <w:bCs/>
                <w:sz w:val="16"/>
                <w:szCs w:val="16"/>
                <w:lang w:val="es-ES_tradnl" w:bidi="th-TH"/>
              </w:rPr>
              <w:t xml:space="preserve"> y Rumania) disponen de estrategias nacionales de P.I. aprobadas o en proceso de aprobación.  En Eslovaquia, la República Checa, Tayikistán y Ucrania ha comenzado la formulación o la actualización de esas estrategias.</w:t>
            </w:r>
          </w:p>
          <w:p w:rsidR="00B070BF" w:rsidRPr="009577DE" w:rsidRDefault="00B070BF" w:rsidP="00C33D4A">
            <w:pPr>
              <w:widowControl w:val="0"/>
              <w:rPr>
                <w:sz w:val="16"/>
                <w:szCs w:val="16"/>
                <w:lang w:val="es-ES_tradnl"/>
              </w:rPr>
            </w:pPr>
          </w:p>
        </w:tc>
        <w:tc>
          <w:tcPr>
            <w:tcW w:w="557" w:type="pct"/>
            <w:tcBorders>
              <w:top w:val="nil"/>
              <w:bottom w:val="single" w:sz="4" w:space="0" w:color="auto"/>
              <w:right w:val="single" w:sz="4" w:space="0" w:color="auto"/>
            </w:tcBorders>
            <w:shd w:val="clear" w:color="auto" w:fill="auto"/>
            <w:tcMar>
              <w:top w:w="110" w:type="dxa"/>
            </w:tcMar>
          </w:tcPr>
          <w:p w:rsidR="00B070BF" w:rsidRPr="009577DE" w:rsidRDefault="00B070BF" w:rsidP="00C33D4A">
            <w:pPr>
              <w:widowControl w:val="0"/>
              <w:rPr>
                <w:b/>
                <w:bCs/>
                <w:sz w:val="16"/>
                <w:szCs w:val="16"/>
                <w:lang w:val="es-ES_tradnl"/>
              </w:rPr>
            </w:pPr>
            <w:r w:rsidRPr="009577DE">
              <w:rPr>
                <w:b/>
                <w:bCs/>
                <w:sz w:val="16"/>
                <w:szCs w:val="16"/>
                <w:lang w:val="es-ES_tradnl"/>
              </w:rPr>
              <w:t xml:space="preserve"> </w:t>
            </w:r>
            <w:r w:rsidRPr="009577DE">
              <w:rPr>
                <w:b/>
                <w:bCs/>
                <w:color w:val="008000"/>
                <w:sz w:val="16"/>
                <w:szCs w:val="16"/>
                <w:lang w:val="es-ES_tradnl"/>
              </w:rPr>
              <w:t>Progresa con normalidad</w:t>
            </w:r>
          </w:p>
          <w:p w:rsidR="00B070BF" w:rsidRPr="009577DE" w:rsidRDefault="00B070BF" w:rsidP="00C33D4A">
            <w:pPr>
              <w:widowControl w:val="0"/>
              <w:jc w:val="center"/>
              <w:rPr>
                <w:bCs/>
                <w:sz w:val="16"/>
                <w:szCs w:val="16"/>
                <w:lang w:val="es-ES_tradnl"/>
              </w:rPr>
            </w:pPr>
          </w:p>
          <w:p w:rsidR="00B070BF" w:rsidRPr="009577DE" w:rsidRDefault="00B070BF" w:rsidP="00C33D4A">
            <w:pPr>
              <w:widowControl w:val="0"/>
              <w:jc w:val="center"/>
              <w:rPr>
                <w:bCs/>
                <w:sz w:val="16"/>
                <w:szCs w:val="16"/>
                <w:lang w:val="es-ES_tradnl"/>
              </w:rPr>
            </w:pPr>
          </w:p>
        </w:tc>
      </w:tr>
      <w:tr w:rsidR="00B070BF" w:rsidRPr="009577DE" w:rsidTr="00C33D4A">
        <w:trPr>
          <w:cantSplit/>
        </w:trPr>
        <w:tc>
          <w:tcPr>
            <w:tcW w:w="5000" w:type="pct"/>
            <w:gridSpan w:val="5"/>
            <w:tcBorders>
              <w:top w:val="single" w:sz="4" w:space="0" w:color="auto"/>
              <w:left w:val="single" w:sz="4" w:space="0" w:color="auto"/>
              <w:bottom w:val="nil"/>
              <w:right w:val="single" w:sz="4" w:space="0" w:color="auto"/>
            </w:tcBorders>
            <w:shd w:val="clear" w:color="auto" w:fill="CCFFFF"/>
            <w:vAlign w:val="center"/>
          </w:tcPr>
          <w:p w:rsidR="00B070BF" w:rsidRPr="009577DE" w:rsidRDefault="00B070BF" w:rsidP="00C33D4A">
            <w:pPr>
              <w:widowControl w:val="0"/>
              <w:spacing w:before="120" w:after="120"/>
              <w:ind w:left="1735" w:hanging="1735"/>
              <w:rPr>
                <w:b/>
                <w:bCs/>
                <w:sz w:val="16"/>
                <w:szCs w:val="16"/>
                <w:lang w:val="es-ES_tradnl"/>
              </w:rPr>
            </w:pPr>
            <w:r w:rsidRPr="009577DE">
              <w:rPr>
                <w:b/>
                <w:bCs/>
                <w:sz w:val="16"/>
                <w:szCs w:val="16"/>
                <w:lang w:val="es-ES_tradnl"/>
              </w:rPr>
              <w:t>Resultado previsto:</w:t>
            </w:r>
            <w:r w:rsidRPr="009577DE">
              <w:rPr>
                <w:b/>
                <w:bCs/>
                <w:sz w:val="16"/>
                <w:szCs w:val="16"/>
                <w:lang w:val="es-ES_tradnl"/>
              </w:rPr>
              <w:tab/>
            </w:r>
            <w:r w:rsidRPr="009577DE">
              <w:rPr>
                <w:bCs/>
                <w:sz w:val="16"/>
                <w:szCs w:val="16"/>
                <w:lang w:val="es-ES_tradnl"/>
              </w:rPr>
              <w:t xml:space="preserve"> Mejora de las capacidades en el ámbito de los recursos humanos para hacer frente al amplio espectro de exigencias que supone la utilización eficaz de la P.I. en aras del desarrollo en los países en desarrollo, PMA y países con economías en transición.</w:t>
            </w:r>
          </w:p>
        </w:tc>
      </w:tr>
      <w:tr w:rsidR="00B070BF" w:rsidRPr="009577DE" w:rsidTr="00C33D4A">
        <w:trPr>
          <w:cantSplit/>
        </w:trPr>
        <w:tc>
          <w:tcPr>
            <w:tcW w:w="874" w:type="pct"/>
            <w:tcBorders>
              <w:top w:val="single" w:sz="4" w:space="0" w:color="auto"/>
              <w:left w:val="single" w:sz="4" w:space="0" w:color="auto"/>
              <w:bottom w:val="nil"/>
            </w:tcBorders>
            <w:shd w:val="clear" w:color="auto" w:fill="auto"/>
            <w:vAlign w:val="center"/>
          </w:tcPr>
          <w:p w:rsidR="00B070BF" w:rsidRPr="009577DE" w:rsidRDefault="00B070BF" w:rsidP="00C33D4A">
            <w:pPr>
              <w:widowControl w:val="0"/>
              <w:spacing w:after="120"/>
              <w:rPr>
                <w:sz w:val="16"/>
                <w:szCs w:val="16"/>
                <w:lang w:val="es-ES_tradnl"/>
              </w:rPr>
            </w:pPr>
            <w:r w:rsidRPr="009577DE">
              <w:rPr>
                <w:b/>
                <w:bCs/>
                <w:sz w:val="16"/>
                <w:szCs w:val="16"/>
                <w:lang w:val="es-ES_tradnl"/>
              </w:rPr>
              <w:t>Indicadores de rendimiento</w:t>
            </w:r>
          </w:p>
        </w:tc>
        <w:tc>
          <w:tcPr>
            <w:tcW w:w="805" w:type="pct"/>
            <w:tcBorders>
              <w:top w:val="single" w:sz="4" w:space="0" w:color="auto"/>
              <w:bottom w:val="nil"/>
            </w:tcBorders>
            <w:shd w:val="clear" w:color="auto" w:fill="C0C0C0"/>
          </w:tcPr>
          <w:p w:rsidR="00B070BF" w:rsidRPr="009577DE" w:rsidRDefault="00B070BF" w:rsidP="00C33D4A">
            <w:pPr>
              <w:widowControl w:val="0"/>
              <w:spacing w:after="120"/>
              <w:rPr>
                <w:b/>
                <w:bCs/>
                <w:sz w:val="16"/>
                <w:szCs w:val="16"/>
                <w:lang w:val="es-ES_tradnl"/>
              </w:rPr>
            </w:pPr>
            <w:r w:rsidRPr="009577DE">
              <w:rPr>
                <w:b/>
                <w:bCs/>
                <w:sz w:val="16"/>
                <w:szCs w:val="16"/>
                <w:lang w:val="es-ES_tradnl"/>
              </w:rPr>
              <w:t>Referencia (</w:t>
            </w:r>
            <w:proofErr w:type="spellStart"/>
            <w:r w:rsidRPr="009577DE">
              <w:rPr>
                <w:b/>
                <w:bCs/>
                <w:sz w:val="16"/>
                <w:szCs w:val="16"/>
                <w:lang w:val="es-ES_tradnl"/>
              </w:rPr>
              <w:t>Presup</w:t>
            </w:r>
            <w:proofErr w:type="spellEnd"/>
            <w:r w:rsidRPr="009577DE">
              <w:rPr>
                <w:b/>
                <w:bCs/>
                <w:sz w:val="16"/>
                <w:szCs w:val="16"/>
                <w:lang w:val="es-ES_tradnl"/>
              </w:rPr>
              <w:t xml:space="preserve">. por </w:t>
            </w:r>
            <w:proofErr w:type="spellStart"/>
            <w:r w:rsidRPr="009577DE">
              <w:rPr>
                <w:b/>
                <w:bCs/>
                <w:sz w:val="16"/>
                <w:szCs w:val="16"/>
                <w:lang w:val="es-ES_tradnl"/>
              </w:rPr>
              <w:t>prog</w:t>
            </w:r>
            <w:proofErr w:type="spellEnd"/>
            <w:r w:rsidRPr="009577DE">
              <w:rPr>
                <w:b/>
                <w:bCs/>
                <w:sz w:val="16"/>
                <w:szCs w:val="16"/>
                <w:lang w:val="es-ES_tradnl"/>
              </w:rPr>
              <w:t>. 2012/13)</w:t>
            </w:r>
          </w:p>
        </w:tc>
        <w:tc>
          <w:tcPr>
            <w:tcW w:w="916" w:type="pct"/>
            <w:tcBorders>
              <w:top w:val="single" w:sz="4" w:space="0" w:color="auto"/>
              <w:bottom w:val="nil"/>
            </w:tcBorders>
            <w:shd w:val="clear" w:color="auto" w:fill="auto"/>
            <w:tcMar>
              <w:top w:w="110" w:type="dxa"/>
            </w:tcMar>
            <w:vAlign w:val="center"/>
          </w:tcPr>
          <w:p w:rsidR="00B070BF" w:rsidRPr="009577DE" w:rsidRDefault="00B070BF" w:rsidP="00C33D4A">
            <w:pPr>
              <w:widowControl w:val="0"/>
              <w:spacing w:after="120"/>
              <w:rPr>
                <w:b/>
                <w:sz w:val="16"/>
                <w:szCs w:val="16"/>
                <w:lang w:val="es-ES_tradnl"/>
              </w:rPr>
            </w:pPr>
            <w:r w:rsidRPr="00BF138D">
              <w:rPr>
                <w:b/>
                <w:color w:val="993300"/>
                <w:sz w:val="16"/>
                <w:szCs w:val="16"/>
                <w:lang w:val="es-ES_tradnl"/>
              </w:rPr>
              <w:t>Referencia actualizada a finales de 2011</w:t>
            </w:r>
            <w:r w:rsidRPr="009577DE">
              <w:rPr>
                <w:b/>
                <w:sz w:val="16"/>
                <w:szCs w:val="16"/>
                <w:lang w:val="es-ES_tradnl"/>
              </w:rPr>
              <w:t xml:space="preserve"> </w:t>
            </w:r>
          </w:p>
        </w:tc>
        <w:tc>
          <w:tcPr>
            <w:tcW w:w="1848" w:type="pct"/>
            <w:tcBorders>
              <w:top w:val="single" w:sz="4" w:space="0" w:color="auto"/>
              <w:bottom w:val="nil"/>
            </w:tcBorders>
            <w:shd w:val="clear" w:color="auto" w:fill="FFFFFF"/>
            <w:tcMar>
              <w:top w:w="110" w:type="dxa"/>
            </w:tcMar>
            <w:vAlign w:val="center"/>
          </w:tcPr>
          <w:p w:rsidR="00B070BF" w:rsidRPr="009577DE" w:rsidRDefault="00B070BF" w:rsidP="00C33D4A">
            <w:pPr>
              <w:widowControl w:val="0"/>
              <w:spacing w:after="120"/>
              <w:rPr>
                <w:sz w:val="16"/>
                <w:szCs w:val="16"/>
                <w:lang w:val="es-ES_tradnl"/>
              </w:rPr>
            </w:pPr>
            <w:r w:rsidRPr="009577DE">
              <w:rPr>
                <w:b/>
                <w:bCs/>
                <w:sz w:val="16"/>
                <w:szCs w:val="16"/>
                <w:lang w:val="es-ES_tradnl"/>
              </w:rPr>
              <w:t>Datos sobre el rendimiento</w:t>
            </w:r>
          </w:p>
        </w:tc>
        <w:tc>
          <w:tcPr>
            <w:tcW w:w="557" w:type="pct"/>
            <w:tcBorders>
              <w:top w:val="single" w:sz="4" w:space="0" w:color="auto"/>
              <w:bottom w:val="nil"/>
              <w:right w:val="single" w:sz="4" w:space="0" w:color="auto"/>
            </w:tcBorders>
            <w:shd w:val="clear" w:color="auto" w:fill="auto"/>
            <w:tcMar>
              <w:top w:w="110" w:type="dxa"/>
            </w:tcMar>
            <w:vAlign w:val="center"/>
          </w:tcPr>
          <w:p w:rsidR="00B070BF" w:rsidRPr="009577DE" w:rsidRDefault="00B070BF" w:rsidP="00C33D4A">
            <w:pPr>
              <w:widowControl w:val="0"/>
              <w:spacing w:after="120"/>
              <w:jc w:val="center"/>
              <w:rPr>
                <w:b/>
                <w:bCs/>
                <w:sz w:val="16"/>
                <w:szCs w:val="16"/>
                <w:lang w:val="es-ES_tradnl"/>
              </w:rPr>
            </w:pPr>
            <w:r w:rsidRPr="009577DE">
              <w:rPr>
                <w:b/>
                <w:bCs/>
                <w:sz w:val="16"/>
                <w:szCs w:val="16"/>
                <w:lang w:val="es-ES_tradnl"/>
              </w:rPr>
              <w:t>Clave de colores</w:t>
            </w:r>
          </w:p>
        </w:tc>
      </w:tr>
      <w:tr w:rsidR="00B070BF" w:rsidRPr="009577DE" w:rsidTr="00C33D4A">
        <w:trPr>
          <w:cantSplit/>
        </w:trPr>
        <w:tc>
          <w:tcPr>
            <w:tcW w:w="874" w:type="pct"/>
            <w:tcBorders>
              <w:top w:val="nil"/>
              <w:left w:val="single" w:sz="4" w:space="0" w:color="auto"/>
              <w:bottom w:val="nil"/>
            </w:tcBorders>
            <w:shd w:val="clear" w:color="auto" w:fill="auto"/>
          </w:tcPr>
          <w:p w:rsidR="00B070BF" w:rsidRPr="009577DE" w:rsidRDefault="00B070BF" w:rsidP="00C33D4A">
            <w:pPr>
              <w:widowControl w:val="0"/>
              <w:rPr>
                <w:sz w:val="16"/>
                <w:szCs w:val="16"/>
                <w:lang w:val="es-ES_tradnl" w:bidi="th-TH"/>
              </w:rPr>
            </w:pPr>
            <w:r w:rsidRPr="009577DE">
              <w:rPr>
                <w:sz w:val="16"/>
                <w:szCs w:val="16"/>
                <w:lang w:val="es-ES_tradnl" w:bidi="th-TH"/>
              </w:rPr>
              <w:t>Porcentaje de funcionarios de oficinas de P.I. formados que utilizan en su trabajo las nuevas aptitudes adquiridas.</w:t>
            </w:r>
          </w:p>
          <w:p w:rsidR="00B070BF" w:rsidRPr="009577DE" w:rsidRDefault="00B070BF" w:rsidP="00C33D4A">
            <w:pPr>
              <w:widowControl w:val="0"/>
              <w:rPr>
                <w:sz w:val="16"/>
                <w:szCs w:val="16"/>
                <w:lang w:val="es-ES_tradnl"/>
              </w:rPr>
            </w:pPr>
          </w:p>
        </w:tc>
        <w:tc>
          <w:tcPr>
            <w:tcW w:w="805" w:type="pct"/>
            <w:tcBorders>
              <w:top w:val="nil"/>
              <w:bottom w:val="nil"/>
            </w:tcBorders>
            <w:shd w:val="clear" w:color="auto" w:fill="C0C0C0"/>
          </w:tcPr>
          <w:p w:rsidR="00B070BF" w:rsidRPr="009577DE" w:rsidRDefault="00B070BF" w:rsidP="00C33D4A">
            <w:pPr>
              <w:widowControl w:val="0"/>
              <w:rPr>
                <w:sz w:val="16"/>
                <w:szCs w:val="16"/>
                <w:lang w:val="es-ES_tradnl"/>
              </w:rPr>
            </w:pPr>
            <w:r w:rsidRPr="009577DE">
              <w:rPr>
                <w:sz w:val="16"/>
                <w:szCs w:val="16"/>
                <w:lang w:val="es-ES_tradnl" w:bidi="th-TH"/>
              </w:rPr>
              <w:t>No se dispone de datos.</w:t>
            </w:r>
          </w:p>
        </w:tc>
        <w:tc>
          <w:tcPr>
            <w:tcW w:w="916" w:type="pct"/>
            <w:tcBorders>
              <w:top w:val="nil"/>
              <w:bottom w:val="nil"/>
            </w:tcBorders>
            <w:shd w:val="clear" w:color="auto" w:fill="auto"/>
            <w:tcMar>
              <w:top w:w="110" w:type="dxa"/>
            </w:tcMar>
          </w:tcPr>
          <w:p w:rsidR="00B070BF" w:rsidRPr="009577DE" w:rsidRDefault="00B070BF" w:rsidP="00C33D4A">
            <w:pPr>
              <w:widowControl w:val="0"/>
              <w:rPr>
                <w:i/>
                <w:sz w:val="16"/>
                <w:szCs w:val="16"/>
                <w:lang w:val="es-ES_tradnl"/>
              </w:rPr>
            </w:pPr>
          </w:p>
        </w:tc>
        <w:tc>
          <w:tcPr>
            <w:tcW w:w="1848" w:type="pct"/>
            <w:tcBorders>
              <w:top w:val="nil"/>
              <w:bottom w:val="nil"/>
            </w:tcBorders>
            <w:shd w:val="clear" w:color="auto" w:fill="FFFFFF"/>
            <w:tcMar>
              <w:top w:w="110" w:type="dxa"/>
            </w:tcMar>
          </w:tcPr>
          <w:p w:rsidR="00B070BF" w:rsidRPr="009577DE" w:rsidRDefault="00B070BF" w:rsidP="00C33D4A">
            <w:pPr>
              <w:widowControl w:val="0"/>
              <w:rPr>
                <w:bCs/>
                <w:sz w:val="16"/>
                <w:szCs w:val="16"/>
                <w:lang w:val="es-ES_tradnl" w:bidi="th-TH"/>
              </w:rPr>
            </w:pPr>
            <w:r w:rsidRPr="009577DE">
              <w:rPr>
                <w:bCs/>
                <w:sz w:val="16"/>
                <w:szCs w:val="16"/>
                <w:lang w:val="es-ES_tradnl" w:bidi="th-TH"/>
              </w:rPr>
              <w:t xml:space="preserve">Se dispondrá de datos a finales de 2013 (formularios de evaluación de las actividades a las que se haya asistido). </w:t>
            </w:r>
          </w:p>
          <w:p w:rsidR="00B070BF" w:rsidRPr="009577DE" w:rsidRDefault="00B070BF" w:rsidP="00C33D4A">
            <w:pPr>
              <w:widowControl w:val="0"/>
              <w:rPr>
                <w:sz w:val="16"/>
                <w:szCs w:val="16"/>
                <w:lang w:val="es-ES_tradnl" w:bidi="th-TH"/>
              </w:rPr>
            </w:pPr>
          </w:p>
          <w:p w:rsidR="00B070BF" w:rsidRPr="009577DE" w:rsidRDefault="00B070BF" w:rsidP="00C33D4A">
            <w:pPr>
              <w:widowControl w:val="0"/>
              <w:rPr>
                <w:sz w:val="16"/>
                <w:szCs w:val="16"/>
                <w:lang w:val="es-ES_tradnl" w:bidi="th-TH"/>
              </w:rPr>
            </w:pPr>
          </w:p>
          <w:p w:rsidR="00B070BF" w:rsidRPr="009577DE" w:rsidRDefault="00B070BF" w:rsidP="00C33D4A">
            <w:pPr>
              <w:widowControl w:val="0"/>
              <w:rPr>
                <w:sz w:val="16"/>
                <w:szCs w:val="16"/>
                <w:lang w:val="es-ES_tradnl"/>
              </w:rPr>
            </w:pPr>
          </w:p>
        </w:tc>
        <w:tc>
          <w:tcPr>
            <w:tcW w:w="557" w:type="pct"/>
            <w:tcBorders>
              <w:top w:val="nil"/>
              <w:bottom w:val="nil"/>
              <w:right w:val="single" w:sz="4" w:space="0" w:color="auto"/>
            </w:tcBorders>
            <w:shd w:val="clear" w:color="auto" w:fill="auto"/>
            <w:tcMar>
              <w:top w:w="110" w:type="dxa"/>
            </w:tcMar>
          </w:tcPr>
          <w:p w:rsidR="00B070BF" w:rsidRPr="009577DE" w:rsidRDefault="00B070BF" w:rsidP="00C33D4A">
            <w:pPr>
              <w:widowControl w:val="0"/>
              <w:jc w:val="center"/>
              <w:rPr>
                <w:bCs/>
                <w:sz w:val="16"/>
                <w:szCs w:val="16"/>
                <w:lang w:val="es-ES_tradnl"/>
              </w:rPr>
            </w:pPr>
            <w:r w:rsidRPr="009577DE">
              <w:rPr>
                <w:b/>
                <w:bCs/>
                <w:sz w:val="16"/>
                <w:szCs w:val="16"/>
                <w:lang w:val="es-ES_tradnl"/>
              </w:rPr>
              <w:t>No disponible para 2012</w:t>
            </w:r>
          </w:p>
        </w:tc>
      </w:tr>
      <w:tr w:rsidR="00B070BF" w:rsidRPr="009577DE" w:rsidTr="00C33D4A">
        <w:trPr>
          <w:cantSplit/>
        </w:trPr>
        <w:tc>
          <w:tcPr>
            <w:tcW w:w="874" w:type="pct"/>
            <w:tcBorders>
              <w:top w:val="nil"/>
              <w:left w:val="single" w:sz="4" w:space="0" w:color="auto"/>
              <w:bottom w:val="nil"/>
            </w:tcBorders>
            <w:shd w:val="clear" w:color="auto" w:fill="auto"/>
          </w:tcPr>
          <w:p w:rsidR="00B070BF" w:rsidRPr="009577DE" w:rsidRDefault="00B070BF" w:rsidP="00C33D4A">
            <w:pPr>
              <w:widowControl w:val="0"/>
              <w:rPr>
                <w:sz w:val="16"/>
                <w:szCs w:val="16"/>
                <w:lang w:val="es-ES_tradnl" w:bidi="th-TH"/>
              </w:rPr>
            </w:pPr>
            <w:r w:rsidRPr="009577DE">
              <w:rPr>
                <w:sz w:val="16"/>
                <w:szCs w:val="16"/>
                <w:lang w:val="es-ES_tradnl" w:bidi="th-TH"/>
              </w:rPr>
              <w:t xml:space="preserve">Porcentaje de profesionales de la P.I. que afirman entender mejor las cuestiones de P.I. </w:t>
            </w:r>
          </w:p>
        </w:tc>
        <w:tc>
          <w:tcPr>
            <w:tcW w:w="805" w:type="pct"/>
            <w:tcBorders>
              <w:top w:val="nil"/>
              <w:bottom w:val="nil"/>
            </w:tcBorders>
            <w:shd w:val="clear" w:color="auto" w:fill="C0C0C0"/>
          </w:tcPr>
          <w:p w:rsidR="00B070BF" w:rsidRPr="009577DE" w:rsidRDefault="00B070BF" w:rsidP="00C33D4A">
            <w:pPr>
              <w:widowControl w:val="0"/>
              <w:rPr>
                <w:sz w:val="16"/>
                <w:szCs w:val="16"/>
                <w:lang w:val="es-ES_tradnl" w:bidi="th-TH"/>
              </w:rPr>
            </w:pPr>
            <w:r w:rsidRPr="009577DE">
              <w:rPr>
                <w:sz w:val="16"/>
                <w:szCs w:val="16"/>
                <w:lang w:val="es-ES_tradnl" w:bidi="th-TH"/>
              </w:rPr>
              <w:t>No se dispone de datos.</w:t>
            </w:r>
          </w:p>
        </w:tc>
        <w:tc>
          <w:tcPr>
            <w:tcW w:w="916" w:type="pct"/>
            <w:tcBorders>
              <w:top w:val="nil"/>
              <w:bottom w:val="nil"/>
            </w:tcBorders>
            <w:shd w:val="clear" w:color="auto" w:fill="auto"/>
            <w:tcMar>
              <w:top w:w="110" w:type="dxa"/>
            </w:tcMar>
          </w:tcPr>
          <w:p w:rsidR="00B070BF" w:rsidRPr="009577DE" w:rsidRDefault="00B070BF" w:rsidP="00C33D4A">
            <w:pPr>
              <w:widowControl w:val="0"/>
              <w:rPr>
                <w:sz w:val="16"/>
                <w:szCs w:val="16"/>
                <w:lang w:val="es-ES_tradnl" w:bidi="th-TH"/>
              </w:rPr>
            </w:pPr>
          </w:p>
        </w:tc>
        <w:tc>
          <w:tcPr>
            <w:tcW w:w="1848" w:type="pct"/>
            <w:tcBorders>
              <w:top w:val="nil"/>
              <w:bottom w:val="nil"/>
            </w:tcBorders>
            <w:shd w:val="clear" w:color="auto" w:fill="FFFFFF"/>
            <w:tcMar>
              <w:top w:w="110" w:type="dxa"/>
            </w:tcMar>
          </w:tcPr>
          <w:p w:rsidR="00B070BF" w:rsidRPr="009577DE" w:rsidRDefault="00B070BF" w:rsidP="00C33D4A">
            <w:pPr>
              <w:widowControl w:val="0"/>
              <w:rPr>
                <w:bCs/>
                <w:sz w:val="16"/>
                <w:szCs w:val="16"/>
                <w:lang w:val="es-ES_tradnl" w:bidi="th-TH"/>
              </w:rPr>
            </w:pPr>
            <w:r w:rsidRPr="009577DE">
              <w:rPr>
                <w:bCs/>
                <w:sz w:val="16"/>
                <w:szCs w:val="16"/>
                <w:lang w:val="es-ES_tradnl" w:bidi="th-TH"/>
              </w:rPr>
              <w:t xml:space="preserve">Se dispondrá de datos a finales de 2013 (formularios de evaluación de las actividades a las que se haya asistido). </w:t>
            </w:r>
          </w:p>
          <w:p w:rsidR="00B070BF" w:rsidRPr="009577DE" w:rsidRDefault="00B070BF" w:rsidP="00C33D4A">
            <w:pPr>
              <w:widowControl w:val="0"/>
              <w:rPr>
                <w:sz w:val="16"/>
                <w:szCs w:val="16"/>
                <w:lang w:val="es-ES_tradnl" w:bidi="th-TH"/>
              </w:rPr>
            </w:pPr>
          </w:p>
          <w:p w:rsidR="00B070BF" w:rsidRPr="009577DE" w:rsidRDefault="00B070BF" w:rsidP="00C33D4A">
            <w:pPr>
              <w:widowControl w:val="0"/>
              <w:rPr>
                <w:sz w:val="16"/>
                <w:szCs w:val="16"/>
                <w:lang w:val="es-ES_tradnl" w:bidi="th-TH"/>
              </w:rPr>
            </w:pPr>
          </w:p>
          <w:p w:rsidR="00B070BF" w:rsidRPr="009577DE" w:rsidRDefault="00B070BF" w:rsidP="00C33D4A">
            <w:pPr>
              <w:widowControl w:val="0"/>
              <w:rPr>
                <w:sz w:val="16"/>
                <w:szCs w:val="16"/>
                <w:lang w:val="es-ES_tradnl" w:bidi="th-TH"/>
              </w:rPr>
            </w:pPr>
          </w:p>
          <w:p w:rsidR="00B070BF" w:rsidRPr="009577DE" w:rsidRDefault="00B070BF" w:rsidP="00C33D4A">
            <w:pPr>
              <w:widowControl w:val="0"/>
              <w:rPr>
                <w:sz w:val="16"/>
                <w:szCs w:val="16"/>
                <w:lang w:val="es-ES_tradnl"/>
              </w:rPr>
            </w:pPr>
          </w:p>
        </w:tc>
        <w:tc>
          <w:tcPr>
            <w:tcW w:w="557" w:type="pct"/>
            <w:tcBorders>
              <w:top w:val="nil"/>
              <w:bottom w:val="nil"/>
              <w:right w:val="single" w:sz="4" w:space="0" w:color="auto"/>
            </w:tcBorders>
            <w:shd w:val="clear" w:color="auto" w:fill="auto"/>
            <w:tcMar>
              <w:top w:w="110" w:type="dxa"/>
            </w:tcMar>
          </w:tcPr>
          <w:p w:rsidR="00B070BF" w:rsidRPr="009577DE" w:rsidRDefault="00B070BF" w:rsidP="00C33D4A">
            <w:pPr>
              <w:widowControl w:val="0"/>
              <w:rPr>
                <w:bCs/>
                <w:sz w:val="16"/>
                <w:szCs w:val="16"/>
                <w:lang w:val="es-ES_tradnl"/>
              </w:rPr>
            </w:pPr>
            <w:r w:rsidRPr="009577DE">
              <w:rPr>
                <w:b/>
                <w:bCs/>
                <w:sz w:val="16"/>
                <w:szCs w:val="16"/>
                <w:lang w:val="es-ES_tradnl"/>
              </w:rPr>
              <w:t xml:space="preserve"> No disponible para 2012</w:t>
            </w:r>
          </w:p>
        </w:tc>
      </w:tr>
      <w:tr w:rsidR="00B070BF" w:rsidRPr="009577DE" w:rsidTr="00C33D4A">
        <w:trPr>
          <w:cantSplit/>
        </w:trPr>
        <w:tc>
          <w:tcPr>
            <w:tcW w:w="874" w:type="pct"/>
            <w:tcBorders>
              <w:top w:val="nil"/>
              <w:left w:val="single" w:sz="4" w:space="0" w:color="auto"/>
              <w:bottom w:val="single" w:sz="4" w:space="0" w:color="auto"/>
            </w:tcBorders>
            <w:shd w:val="clear" w:color="auto" w:fill="auto"/>
          </w:tcPr>
          <w:p w:rsidR="00B070BF" w:rsidRPr="009577DE" w:rsidRDefault="00B070BF" w:rsidP="00C33D4A">
            <w:pPr>
              <w:widowControl w:val="0"/>
              <w:rPr>
                <w:sz w:val="16"/>
                <w:szCs w:val="16"/>
                <w:lang w:val="es-ES_tradnl" w:bidi="th-TH"/>
              </w:rPr>
            </w:pPr>
            <w:r w:rsidRPr="009577DE">
              <w:rPr>
                <w:sz w:val="16"/>
                <w:szCs w:val="16"/>
                <w:lang w:val="es-ES_tradnl" w:bidi="th-TH"/>
              </w:rPr>
              <w:t>Porcentaje de participantes satisfechos con la calidad de los talleres y seminarios sobre la innovación y su comercialización.</w:t>
            </w:r>
          </w:p>
        </w:tc>
        <w:tc>
          <w:tcPr>
            <w:tcW w:w="805" w:type="pct"/>
            <w:tcBorders>
              <w:top w:val="nil"/>
              <w:bottom w:val="single" w:sz="4" w:space="0" w:color="auto"/>
            </w:tcBorders>
            <w:shd w:val="clear" w:color="auto" w:fill="C0C0C0"/>
          </w:tcPr>
          <w:p w:rsidR="00B070BF" w:rsidRPr="009577DE" w:rsidRDefault="00B070BF" w:rsidP="00C33D4A">
            <w:pPr>
              <w:widowControl w:val="0"/>
              <w:rPr>
                <w:sz w:val="16"/>
                <w:szCs w:val="16"/>
                <w:lang w:val="es-ES_tradnl" w:bidi="th-TH"/>
              </w:rPr>
            </w:pPr>
            <w:r w:rsidRPr="009577DE">
              <w:rPr>
                <w:sz w:val="16"/>
                <w:szCs w:val="16"/>
                <w:lang w:val="es-ES_tradnl" w:bidi="th-TH"/>
              </w:rPr>
              <w:t>Se dispone de información general, pero no de datos específicos.</w:t>
            </w:r>
          </w:p>
        </w:tc>
        <w:tc>
          <w:tcPr>
            <w:tcW w:w="916" w:type="pct"/>
            <w:tcBorders>
              <w:top w:val="nil"/>
              <w:bottom w:val="single" w:sz="4" w:space="0" w:color="auto"/>
            </w:tcBorders>
            <w:shd w:val="clear" w:color="auto" w:fill="auto"/>
            <w:tcMar>
              <w:top w:w="110" w:type="dxa"/>
            </w:tcMar>
          </w:tcPr>
          <w:p w:rsidR="00B070BF" w:rsidRPr="009577DE" w:rsidRDefault="00B070BF" w:rsidP="00C33D4A">
            <w:pPr>
              <w:widowControl w:val="0"/>
              <w:rPr>
                <w:sz w:val="16"/>
                <w:szCs w:val="16"/>
                <w:lang w:val="es-ES_tradnl" w:bidi="th-TH"/>
              </w:rPr>
            </w:pPr>
            <w:r w:rsidRPr="00F2661C">
              <w:rPr>
                <w:color w:val="993300"/>
                <w:sz w:val="16"/>
                <w:szCs w:val="16"/>
                <w:lang w:val="es-ES_tradnl" w:bidi="th-TH"/>
              </w:rPr>
              <w:t>Se dispone de información general, pero no de datos específicos.</w:t>
            </w:r>
          </w:p>
        </w:tc>
        <w:tc>
          <w:tcPr>
            <w:tcW w:w="1848" w:type="pct"/>
            <w:tcBorders>
              <w:top w:val="nil"/>
              <w:bottom w:val="single" w:sz="4" w:space="0" w:color="auto"/>
            </w:tcBorders>
            <w:shd w:val="clear" w:color="auto" w:fill="FFFFFF"/>
            <w:tcMar>
              <w:top w:w="110" w:type="dxa"/>
            </w:tcMar>
          </w:tcPr>
          <w:p w:rsidR="00B070BF" w:rsidRPr="009577DE" w:rsidRDefault="00B070BF" w:rsidP="00C33D4A">
            <w:pPr>
              <w:widowControl w:val="0"/>
              <w:rPr>
                <w:bCs/>
                <w:sz w:val="16"/>
                <w:szCs w:val="16"/>
                <w:lang w:val="es-ES_tradnl" w:bidi="th-TH"/>
              </w:rPr>
            </w:pPr>
            <w:r w:rsidRPr="009577DE">
              <w:rPr>
                <w:bCs/>
                <w:sz w:val="16"/>
                <w:szCs w:val="16"/>
                <w:lang w:val="es-ES_tradnl" w:bidi="th-TH"/>
              </w:rPr>
              <w:t xml:space="preserve">Se dispondrá de datos a finales de 2013 (formularios de evaluación de las actividades a las que se haya asistido). </w:t>
            </w:r>
          </w:p>
          <w:p w:rsidR="00B070BF" w:rsidRPr="009577DE" w:rsidRDefault="00B070BF" w:rsidP="00C33D4A">
            <w:pPr>
              <w:widowControl w:val="0"/>
              <w:rPr>
                <w:sz w:val="16"/>
                <w:szCs w:val="16"/>
                <w:lang w:val="es-ES_tradnl" w:bidi="th-TH"/>
              </w:rPr>
            </w:pPr>
          </w:p>
          <w:p w:rsidR="00B070BF" w:rsidRPr="009577DE" w:rsidRDefault="00B070BF" w:rsidP="00C33D4A">
            <w:pPr>
              <w:widowControl w:val="0"/>
              <w:rPr>
                <w:b/>
                <w:bCs/>
                <w:sz w:val="20"/>
                <w:lang w:val="es-ES_tradnl"/>
              </w:rPr>
            </w:pPr>
          </w:p>
          <w:p w:rsidR="00B070BF" w:rsidRPr="009577DE" w:rsidRDefault="00B070BF" w:rsidP="00C33D4A">
            <w:pPr>
              <w:widowControl w:val="0"/>
              <w:rPr>
                <w:b/>
                <w:bCs/>
                <w:sz w:val="20"/>
                <w:lang w:val="es-ES_tradnl"/>
              </w:rPr>
            </w:pPr>
          </w:p>
          <w:p w:rsidR="00B070BF" w:rsidRPr="009577DE" w:rsidRDefault="00B070BF" w:rsidP="00C33D4A">
            <w:pPr>
              <w:widowControl w:val="0"/>
              <w:rPr>
                <w:sz w:val="16"/>
                <w:szCs w:val="16"/>
                <w:lang w:val="es-ES_tradnl" w:bidi="th-TH"/>
              </w:rPr>
            </w:pPr>
          </w:p>
          <w:p w:rsidR="00B070BF" w:rsidRPr="009577DE" w:rsidRDefault="00B070BF" w:rsidP="00C33D4A">
            <w:pPr>
              <w:widowControl w:val="0"/>
              <w:rPr>
                <w:sz w:val="16"/>
                <w:szCs w:val="16"/>
                <w:lang w:val="es-ES_tradnl"/>
              </w:rPr>
            </w:pPr>
          </w:p>
        </w:tc>
        <w:tc>
          <w:tcPr>
            <w:tcW w:w="557" w:type="pct"/>
            <w:tcBorders>
              <w:top w:val="nil"/>
              <w:bottom w:val="single" w:sz="4" w:space="0" w:color="auto"/>
              <w:right w:val="single" w:sz="4" w:space="0" w:color="auto"/>
            </w:tcBorders>
            <w:shd w:val="clear" w:color="auto" w:fill="auto"/>
            <w:tcMar>
              <w:top w:w="110" w:type="dxa"/>
            </w:tcMar>
          </w:tcPr>
          <w:p w:rsidR="00B070BF" w:rsidRPr="009577DE" w:rsidRDefault="00B070BF" w:rsidP="00C33D4A">
            <w:pPr>
              <w:widowControl w:val="0"/>
              <w:rPr>
                <w:bCs/>
                <w:sz w:val="16"/>
                <w:szCs w:val="16"/>
                <w:lang w:val="es-ES_tradnl"/>
              </w:rPr>
            </w:pPr>
            <w:r w:rsidRPr="009577DE">
              <w:rPr>
                <w:b/>
                <w:bCs/>
                <w:sz w:val="16"/>
                <w:szCs w:val="16"/>
                <w:lang w:val="es-ES_tradnl"/>
              </w:rPr>
              <w:t xml:space="preserve"> No disponible para 2012</w:t>
            </w:r>
          </w:p>
        </w:tc>
      </w:tr>
      <w:tr w:rsidR="00B070BF" w:rsidRPr="009577DE" w:rsidTr="00C33D4A">
        <w:trPr>
          <w:cantSplit/>
        </w:trPr>
        <w:tc>
          <w:tcPr>
            <w:tcW w:w="5000" w:type="pct"/>
            <w:gridSpan w:val="5"/>
            <w:tcBorders>
              <w:top w:val="single" w:sz="4" w:space="0" w:color="auto"/>
              <w:left w:val="single" w:sz="4" w:space="0" w:color="auto"/>
              <w:bottom w:val="nil"/>
              <w:right w:val="single" w:sz="4" w:space="0" w:color="auto"/>
            </w:tcBorders>
            <w:shd w:val="clear" w:color="auto" w:fill="CCFFFF"/>
            <w:vAlign w:val="center"/>
          </w:tcPr>
          <w:p w:rsidR="00B070BF" w:rsidRPr="009577DE" w:rsidRDefault="00B070BF" w:rsidP="00C33D4A">
            <w:pPr>
              <w:widowControl w:val="0"/>
              <w:spacing w:before="120" w:after="120"/>
              <w:ind w:left="1735" w:hanging="1735"/>
              <w:rPr>
                <w:b/>
                <w:bCs/>
                <w:sz w:val="16"/>
                <w:szCs w:val="16"/>
                <w:lang w:val="es-ES_tradnl"/>
              </w:rPr>
            </w:pPr>
            <w:r w:rsidRPr="009577DE">
              <w:rPr>
                <w:b/>
                <w:bCs/>
                <w:sz w:val="16"/>
                <w:szCs w:val="16"/>
                <w:lang w:val="es-ES_tradnl"/>
              </w:rPr>
              <w:t>Resultado previsto:</w:t>
            </w:r>
            <w:r w:rsidRPr="009577DE">
              <w:rPr>
                <w:b/>
                <w:bCs/>
                <w:sz w:val="16"/>
                <w:szCs w:val="16"/>
                <w:lang w:val="es-ES_tradnl"/>
              </w:rPr>
              <w:tab/>
            </w:r>
            <w:r w:rsidRPr="009577DE">
              <w:rPr>
                <w:bCs/>
                <w:sz w:val="16"/>
                <w:szCs w:val="16"/>
                <w:lang w:val="es-ES_tradnl"/>
              </w:rPr>
              <w:t xml:space="preserve"> Mejora en el acceso a la información y los conocimientos sobre P.I. y su utilización por las instituciones de P.I. y el público, para fomentar la innovación y aumentar el acceso a las obras que son fruto de la creatividad, tanto las que están protegidas como las que se encuentran en el dominio público.</w:t>
            </w:r>
          </w:p>
        </w:tc>
      </w:tr>
      <w:tr w:rsidR="00B070BF" w:rsidRPr="009577DE" w:rsidTr="00C33D4A">
        <w:trPr>
          <w:cantSplit/>
        </w:trPr>
        <w:tc>
          <w:tcPr>
            <w:tcW w:w="874" w:type="pct"/>
            <w:tcBorders>
              <w:top w:val="single" w:sz="4" w:space="0" w:color="auto"/>
              <w:left w:val="single" w:sz="4" w:space="0" w:color="auto"/>
              <w:bottom w:val="nil"/>
            </w:tcBorders>
            <w:shd w:val="clear" w:color="auto" w:fill="auto"/>
            <w:vAlign w:val="center"/>
          </w:tcPr>
          <w:p w:rsidR="00B070BF" w:rsidRPr="009577DE" w:rsidRDefault="00B070BF" w:rsidP="00C33D4A">
            <w:pPr>
              <w:widowControl w:val="0"/>
              <w:spacing w:after="120"/>
              <w:rPr>
                <w:sz w:val="16"/>
                <w:szCs w:val="16"/>
                <w:lang w:val="es-ES_tradnl"/>
              </w:rPr>
            </w:pPr>
            <w:r w:rsidRPr="009577DE">
              <w:rPr>
                <w:b/>
                <w:bCs/>
                <w:sz w:val="16"/>
                <w:szCs w:val="16"/>
                <w:lang w:val="es-ES_tradnl"/>
              </w:rPr>
              <w:t>Indicadores de rendimiento</w:t>
            </w:r>
          </w:p>
        </w:tc>
        <w:tc>
          <w:tcPr>
            <w:tcW w:w="805" w:type="pct"/>
            <w:tcBorders>
              <w:top w:val="single" w:sz="4" w:space="0" w:color="auto"/>
              <w:bottom w:val="nil"/>
            </w:tcBorders>
            <w:shd w:val="clear" w:color="auto" w:fill="C0C0C0"/>
          </w:tcPr>
          <w:p w:rsidR="00B070BF" w:rsidRPr="009577DE" w:rsidRDefault="00B070BF" w:rsidP="00C33D4A">
            <w:pPr>
              <w:widowControl w:val="0"/>
              <w:spacing w:after="120"/>
              <w:rPr>
                <w:b/>
                <w:bCs/>
                <w:sz w:val="16"/>
                <w:szCs w:val="16"/>
                <w:lang w:val="es-ES_tradnl"/>
              </w:rPr>
            </w:pPr>
            <w:r w:rsidRPr="009577DE">
              <w:rPr>
                <w:b/>
                <w:bCs/>
                <w:sz w:val="16"/>
                <w:szCs w:val="16"/>
                <w:lang w:val="es-ES_tradnl"/>
              </w:rPr>
              <w:t>Referencia (</w:t>
            </w:r>
            <w:proofErr w:type="spellStart"/>
            <w:r w:rsidRPr="009577DE">
              <w:rPr>
                <w:b/>
                <w:bCs/>
                <w:sz w:val="16"/>
                <w:szCs w:val="16"/>
                <w:lang w:val="es-ES_tradnl"/>
              </w:rPr>
              <w:t>Presup</w:t>
            </w:r>
            <w:proofErr w:type="spellEnd"/>
            <w:r w:rsidRPr="009577DE">
              <w:rPr>
                <w:b/>
                <w:bCs/>
                <w:sz w:val="16"/>
                <w:szCs w:val="16"/>
                <w:lang w:val="es-ES_tradnl"/>
              </w:rPr>
              <w:t xml:space="preserve">. por </w:t>
            </w:r>
            <w:proofErr w:type="spellStart"/>
            <w:r w:rsidRPr="009577DE">
              <w:rPr>
                <w:b/>
                <w:bCs/>
                <w:sz w:val="16"/>
                <w:szCs w:val="16"/>
                <w:lang w:val="es-ES_tradnl"/>
              </w:rPr>
              <w:t>prog</w:t>
            </w:r>
            <w:proofErr w:type="spellEnd"/>
            <w:r w:rsidRPr="009577DE">
              <w:rPr>
                <w:b/>
                <w:bCs/>
                <w:sz w:val="16"/>
                <w:szCs w:val="16"/>
                <w:lang w:val="es-ES_tradnl"/>
              </w:rPr>
              <w:t>. 2012/13)</w:t>
            </w:r>
          </w:p>
        </w:tc>
        <w:tc>
          <w:tcPr>
            <w:tcW w:w="916" w:type="pct"/>
            <w:tcBorders>
              <w:top w:val="single" w:sz="4" w:space="0" w:color="auto"/>
              <w:bottom w:val="nil"/>
            </w:tcBorders>
            <w:shd w:val="clear" w:color="auto" w:fill="auto"/>
            <w:tcMar>
              <w:top w:w="110" w:type="dxa"/>
            </w:tcMar>
            <w:vAlign w:val="center"/>
          </w:tcPr>
          <w:p w:rsidR="00B070BF" w:rsidRPr="009577DE" w:rsidRDefault="00B070BF" w:rsidP="00C33D4A">
            <w:pPr>
              <w:widowControl w:val="0"/>
              <w:spacing w:after="120"/>
              <w:rPr>
                <w:b/>
                <w:sz w:val="16"/>
                <w:szCs w:val="16"/>
                <w:lang w:val="es-ES_tradnl"/>
              </w:rPr>
            </w:pPr>
            <w:r w:rsidRPr="00BF138D">
              <w:rPr>
                <w:b/>
                <w:color w:val="993300"/>
                <w:sz w:val="16"/>
                <w:szCs w:val="16"/>
                <w:lang w:val="es-ES_tradnl"/>
              </w:rPr>
              <w:t>Referencia actualizada a finales de 2011</w:t>
            </w:r>
            <w:r w:rsidRPr="009577DE">
              <w:rPr>
                <w:b/>
                <w:sz w:val="16"/>
                <w:szCs w:val="16"/>
                <w:lang w:val="es-ES_tradnl"/>
              </w:rPr>
              <w:t xml:space="preserve"> </w:t>
            </w:r>
          </w:p>
        </w:tc>
        <w:tc>
          <w:tcPr>
            <w:tcW w:w="1848" w:type="pct"/>
            <w:tcBorders>
              <w:top w:val="single" w:sz="4" w:space="0" w:color="auto"/>
              <w:bottom w:val="nil"/>
            </w:tcBorders>
            <w:shd w:val="clear" w:color="auto" w:fill="FFFFFF"/>
            <w:tcMar>
              <w:top w:w="110" w:type="dxa"/>
            </w:tcMar>
            <w:vAlign w:val="center"/>
          </w:tcPr>
          <w:p w:rsidR="00B070BF" w:rsidRPr="009577DE" w:rsidRDefault="00B070BF" w:rsidP="00C33D4A">
            <w:pPr>
              <w:widowControl w:val="0"/>
              <w:spacing w:after="120"/>
              <w:rPr>
                <w:sz w:val="16"/>
                <w:szCs w:val="16"/>
                <w:lang w:val="es-ES_tradnl"/>
              </w:rPr>
            </w:pPr>
            <w:r w:rsidRPr="009577DE">
              <w:rPr>
                <w:b/>
                <w:bCs/>
                <w:sz w:val="16"/>
                <w:szCs w:val="16"/>
                <w:lang w:val="es-ES_tradnl"/>
              </w:rPr>
              <w:t>Datos sobre el rendimiento</w:t>
            </w:r>
          </w:p>
        </w:tc>
        <w:tc>
          <w:tcPr>
            <w:tcW w:w="557" w:type="pct"/>
            <w:tcBorders>
              <w:top w:val="single" w:sz="4" w:space="0" w:color="auto"/>
              <w:bottom w:val="nil"/>
              <w:right w:val="single" w:sz="4" w:space="0" w:color="auto"/>
            </w:tcBorders>
            <w:shd w:val="clear" w:color="auto" w:fill="auto"/>
            <w:tcMar>
              <w:top w:w="110" w:type="dxa"/>
            </w:tcMar>
            <w:vAlign w:val="center"/>
          </w:tcPr>
          <w:p w:rsidR="00B070BF" w:rsidRPr="009577DE" w:rsidRDefault="00B070BF" w:rsidP="00C33D4A">
            <w:pPr>
              <w:widowControl w:val="0"/>
              <w:spacing w:after="120"/>
              <w:jc w:val="center"/>
              <w:rPr>
                <w:b/>
                <w:bCs/>
                <w:sz w:val="16"/>
                <w:szCs w:val="16"/>
                <w:lang w:val="es-ES_tradnl"/>
              </w:rPr>
            </w:pPr>
            <w:r w:rsidRPr="009577DE">
              <w:rPr>
                <w:b/>
                <w:bCs/>
                <w:sz w:val="16"/>
                <w:szCs w:val="16"/>
                <w:lang w:val="es-ES_tradnl"/>
              </w:rPr>
              <w:t>Clave de colores</w:t>
            </w:r>
          </w:p>
        </w:tc>
      </w:tr>
      <w:tr w:rsidR="00B070BF" w:rsidRPr="009577DE" w:rsidTr="00C33D4A">
        <w:trPr>
          <w:cantSplit/>
          <w:trHeight w:val="983"/>
        </w:trPr>
        <w:tc>
          <w:tcPr>
            <w:tcW w:w="874" w:type="pct"/>
            <w:tcBorders>
              <w:top w:val="nil"/>
              <w:left w:val="single" w:sz="4" w:space="0" w:color="auto"/>
              <w:bottom w:val="single" w:sz="4" w:space="0" w:color="auto"/>
            </w:tcBorders>
            <w:shd w:val="clear" w:color="auto" w:fill="auto"/>
          </w:tcPr>
          <w:p w:rsidR="00B070BF" w:rsidRPr="009577DE" w:rsidRDefault="00B070BF" w:rsidP="00C33D4A">
            <w:pPr>
              <w:widowControl w:val="0"/>
              <w:rPr>
                <w:sz w:val="16"/>
                <w:szCs w:val="16"/>
                <w:lang w:val="es-ES_tradnl" w:bidi="th-TH"/>
              </w:rPr>
            </w:pPr>
            <w:r w:rsidRPr="009577DE">
              <w:rPr>
                <w:sz w:val="16"/>
                <w:szCs w:val="16"/>
                <w:lang w:val="es-ES_tradnl" w:bidi="th-TH"/>
              </w:rPr>
              <w:t xml:space="preserve">Número de redes nacionales de CATI puestas en marcha. </w:t>
            </w:r>
          </w:p>
          <w:p w:rsidR="00B070BF" w:rsidRPr="009577DE" w:rsidRDefault="00B070BF" w:rsidP="00C33D4A">
            <w:pPr>
              <w:widowControl w:val="0"/>
              <w:rPr>
                <w:sz w:val="16"/>
                <w:szCs w:val="16"/>
                <w:lang w:val="es-ES_tradnl" w:bidi="th-TH"/>
              </w:rPr>
            </w:pPr>
          </w:p>
        </w:tc>
        <w:tc>
          <w:tcPr>
            <w:tcW w:w="805" w:type="pct"/>
            <w:tcBorders>
              <w:top w:val="nil"/>
              <w:bottom w:val="single" w:sz="4" w:space="0" w:color="auto"/>
            </w:tcBorders>
            <w:shd w:val="clear" w:color="auto" w:fill="C0C0C0"/>
          </w:tcPr>
          <w:p w:rsidR="00B070BF" w:rsidRPr="009577DE" w:rsidRDefault="00B070BF" w:rsidP="00C33D4A">
            <w:pPr>
              <w:widowControl w:val="0"/>
              <w:rPr>
                <w:sz w:val="16"/>
                <w:szCs w:val="16"/>
                <w:lang w:val="es-ES_tradnl" w:bidi="th-TH"/>
              </w:rPr>
            </w:pPr>
            <w:r w:rsidRPr="009577DE">
              <w:rPr>
                <w:sz w:val="16"/>
                <w:szCs w:val="16"/>
                <w:lang w:val="es-ES_tradnl" w:bidi="th-TH"/>
              </w:rPr>
              <w:t>Una red nacional de CATI puesta en marcha (primer trimestre de 2011).</w:t>
            </w:r>
          </w:p>
          <w:p w:rsidR="00B070BF" w:rsidRPr="009577DE" w:rsidRDefault="00B070BF" w:rsidP="00C33D4A">
            <w:pPr>
              <w:widowControl w:val="0"/>
              <w:rPr>
                <w:sz w:val="16"/>
                <w:szCs w:val="16"/>
                <w:lang w:val="es-ES_tradnl" w:bidi="th-TH"/>
              </w:rPr>
            </w:pPr>
          </w:p>
        </w:tc>
        <w:tc>
          <w:tcPr>
            <w:tcW w:w="916" w:type="pct"/>
            <w:tcBorders>
              <w:top w:val="nil"/>
              <w:bottom w:val="single" w:sz="4" w:space="0" w:color="auto"/>
            </w:tcBorders>
            <w:shd w:val="clear" w:color="auto" w:fill="auto"/>
            <w:tcMar>
              <w:top w:w="110" w:type="dxa"/>
            </w:tcMar>
          </w:tcPr>
          <w:p w:rsidR="00B070BF" w:rsidRPr="00F2661C" w:rsidRDefault="00B070BF" w:rsidP="00C33D4A">
            <w:pPr>
              <w:widowControl w:val="0"/>
              <w:rPr>
                <w:color w:val="993300"/>
                <w:sz w:val="16"/>
                <w:szCs w:val="16"/>
                <w:lang w:val="es-ES_tradnl" w:bidi="th-TH"/>
              </w:rPr>
            </w:pPr>
            <w:r w:rsidRPr="00F2661C">
              <w:rPr>
                <w:color w:val="993300"/>
                <w:sz w:val="16"/>
                <w:szCs w:val="16"/>
                <w:lang w:val="es-ES_tradnl" w:bidi="th-TH"/>
              </w:rPr>
              <w:t xml:space="preserve">Puesta en marcha de dos redes nacionales de CATI.  </w:t>
            </w:r>
          </w:p>
        </w:tc>
        <w:tc>
          <w:tcPr>
            <w:tcW w:w="1848" w:type="pct"/>
            <w:tcBorders>
              <w:top w:val="nil"/>
              <w:bottom w:val="single" w:sz="4" w:space="0" w:color="auto"/>
            </w:tcBorders>
            <w:shd w:val="clear" w:color="auto" w:fill="FFFFFF"/>
            <w:tcMar>
              <w:top w:w="110" w:type="dxa"/>
            </w:tcMar>
          </w:tcPr>
          <w:p w:rsidR="00B070BF" w:rsidRPr="009577DE" w:rsidRDefault="00B070BF" w:rsidP="00C33D4A">
            <w:pPr>
              <w:widowControl w:val="0"/>
              <w:rPr>
                <w:bCs/>
                <w:sz w:val="16"/>
                <w:szCs w:val="16"/>
                <w:lang w:val="es-ES_tradnl" w:bidi="th-TH"/>
              </w:rPr>
            </w:pPr>
            <w:r w:rsidRPr="009577DE">
              <w:rPr>
                <w:sz w:val="16"/>
                <w:szCs w:val="16"/>
                <w:lang w:val="es-ES_tradnl"/>
              </w:rPr>
              <w:t xml:space="preserve">En la Federación de Rusia se puso en marcha una red nacional de CATI. </w:t>
            </w:r>
          </w:p>
          <w:p w:rsidR="00B070BF" w:rsidRPr="009577DE" w:rsidRDefault="00B070BF" w:rsidP="00C33D4A">
            <w:pPr>
              <w:widowControl w:val="0"/>
              <w:rPr>
                <w:sz w:val="16"/>
                <w:szCs w:val="16"/>
                <w:lang w:val="es-ES_tradnl" w:bidi="th-TH"/>
              </w:rPr>
            </w:pPr>
          </w:p>
          <w:p w:rsidR="00B070BF" w:rsidRPr="009577DE" w:rsidRDefault="00B070BF" w:rsidP="00C33D4A">
            <w:pPr>
              <w:widowControl w:val="0"/>
              <w:rPr>
                <w:sz w:val="16"/>
                <w:szCs w:val="16"/>
                <w:lang w:val="es-ES_tradnl" w:bidi="th-TH"/>
              </w:rPr>
            </w:pPr>
          </w:p>
          <w:p w:rsidR="00B070BF" w:rsidRPr="009577DE" w:rsidRDefault="00B070BF" w:rsidP="00C33D4A">
            <w:pPr>
              <w:widowControl w:val="0"/>
              <w:rPr>
                <w:sz w:val="16"/>
                <w:szCs w:val="16"/>
                <w:lang w:val="es-ES_tradnl" w:bidi="th-TH"/>
              </w:rPr>
            </w:pPr>
          </w:p>
          <w:p w:rsidR="00B070BF" w:rsidRPr="009577DE" w:rsidRDefault="00B070BF" w:rsidP="00C33D4A">
            <w:pPr>
              <w:widowControl w:val="0"/>
              <w:rPr>
                <w:sz w:val="16"/>
                <w:szCs w:val="16"/>
                <w:lang w:val="es-ES_tradnl"/>
              </w:rPr>
            </w:pPr>
          </w:p>
        </w:tc>
        <w:tc>
          <w:tcPr>
            <w:tcW w:w="557" w:type="pct"/>
            <w:tcBorders>
              <w:top w:val="nil"/>
              <w:bottom w:val="single" w:sz="4" w:space="0" w:color="auto"/>
              <w:right w:val="single" w:sz="4" w:space="0" w:color="auto"/>
            </w:tcBorders>
            <w:shd w:val="clear" w:color="auto" w:fill="auto"/>
            <w:tcMar>
              <w:top w:w="110" w:type="dxa"/>
            </w:tcMar>
          </w:tcPr>
          <w:p w:rsidR="00B070BF" w:rsidRPr="009577DE" w:rsidRDefault="00B070BF" w:rsidP="00C33D4A">
            <w:pPr>
              <w:widowControl w:val="0"/>
              <w:jc w:val="center"/>
              <w:rPr>
                <w:b/>
                <w:bCs/>
                <w:sz w:val="16"/>
                <w:szCs w:val="16"/>
                <w:lang w:val="es-ES_tradnl"/>
              </w:rPr>
            </w:pPr>
            <w:r w:rsidRPr="009577DE">
              <w:rPr>
                <w:b/>
                <w:bCs/>
                <w:color w:val="008000"/>
                <w:sz w:val="16"/>
                <w:szCs w:val="16"/>
                <w:lang w:val="es-ES_tradnl"/>
              </w:rPr>
              <w:t>Progresa con normalidad</w:t>
            </w:r>
          </w:p>
          <w:p w:rsidR="00B070BF" w:rsidRPr="009577DE" w:rsidRDefault="00B070BF" w:rsidP="00C33D4A">
            <w:pPr>
              <w:widowControl w:val="0"/>
              <w:jc w:val="center"/>
              <w:rPr>
                <w:bCs/>
                <w:sz w:val="16"/>
                <w:szCs w:val="16"/>
                <w:lang w:val="es-ES_tradnl"/>
              </w:rPr>
            </w:pPr>
          </w:p>
          <w:p w:rsidR="00B070BF" w:rsidRPr="009577DE" w:rsidRDefault="00B070BF" w:rsidP="00C33D4A">
            <w:pPr>
              <w:widowControl w:val="0"/>
              <w:rPr>
                <w:bCs/>
                <w:sz w:val="16"/>
                <w:szCs w:val="16"/>
                <w:lang w:val="es-ES_tradnl"/>
              </w:rPr>
            </w:pPr>
          </w:p>
        </w:tc>
      </w:tr>
      <w:tr w:rsidR="00B070BF" w:rsidRPr="009577DE" w:rsidTr="00C33D4A">
        <w:trPr>
          <w:cantSplit/>
        </w:trPr>
        <w:tc>
          <w:tcPr>
            <w:tcW w:w="874" w:type="pct"/>
            <w:tcBorders>
              <w:top w:val="single" w:sz="4" w:space="0" w:color="auto"/>
              <w:left w:val="single" w:sz="4" w:space="0" w:color="auto"/>
              <w:bottom w:val="nil"/>
            </w:tcBorders>
            <w:shd w:val="clear" w:color="auto" w:fill="auto"/>
          </w:tcPr>
          <w:p w:rsidR="00B070BF" w:rsidRPr="009577DE" w:rsidRDefault="00B070BF" w:rsidP="00C33D4A">
            <w:pPr>
              <w:keepNext/>
              <w:widowControl w:val="0"/>
              <w:rPr>
                <w:sz w:val="16"/>
                <w:szCs w:val="16"/>
                <w:lang w:val="es-ES_tradnl" w:bidi="th-TH"/>
              </w:rPr>
            </w:pPr>
            <w:r w:rsidRPr="009577DE">
              <w:rPr>
                <w:sz w:val="16"/>
                <w:szCs w:val="16"/>
                <w:lang w:val="es-ES_tradnl" w:bidi="th-TH"/>
              </w:rPr>
              <w:lastRenderedPageBreak/>
              <w:t>Número de usuarios que utilizan los servicios de los CATI por trimestre y por país.</w:t>
            </w:r>
          </w:p>
        </w:tc>
        <w:tc>
          <w:tcPr>
            <w:tcW w:w="805" w:type="pct"/>
            <w:tcBorders>
              <w:top w:val="single" w:sz="4" w:space="0" w:color="auto"/>
              <w:bottom w:val="nil"/>
            </w:tcBorders>
            <w:shd w:val="clear" w:color="auto" w:fill="C0C0C0"/>
          </w:tcPr>
          <w:p w:rsidR="00B070BF" w:rsidRPr="009577DE" w:rsidRDefault="00B070BF" w:rsidP="00C33D4A">
            <w:pPr>
              <w:keepNext/>
              <w:widowControl w:val="0"/>
              <w:rPr>
                <w:sz w:val="16"/>
                <w:szCs w:val="16"/>
                <w:lang w:val="es-ES_tradnl" w:bidi="th-TH"/>
              </w:rPr>
            </w:pPr>
            <w:r w:rsidRPr="009577DE">
              <w:rPr>
                <w:sz w:val="16"/>
                <w:szCs w:val="16"/>
                <w:lang w:val="es-ES_tradnl" w:bidi="th-TH"/>
              </w:rPr>
              <w:t>A determinar a fines de 2011.</w:t>
            </w:r>
          </w:p>
        </w:tc>
        <w:tc>
          <w:tcPr>
            <w:tcW w:w="916" w:type="pct"/>
            <w:tcBorders>
              <w:top w:val="single" w:sz="4" w:space="0" w:color="auto"/>
              <w:bottom w:val="nil"/>
            </w:tcBorders>
            <w:shd w:val="clear" w:color="auto" w:fill="auto"/>
            <w:tcMar>
              <w:top w:w="110" w:type="dxa"/>
            </w:tcMar>
          </w:tcPr>
          <w:p w:rsidR="00B070BF" w:rsidRPr="00F2661C" w:rsidRDefault="00B070BF" w:rsidP="00C33D4A">
            <w:pPr>
              <w:keepNext/>
              <w:widowControl w:val="0"/>
              <w:rPr>
                <w:color w:val="993300"/>
                <w:sz w:val="16"/>
                <w:szCs w:val="16"/>
                <w:lang w:val="es-ES_tradnl" w:bidi="th-TH"/>
              </w:rPr>
            </w:pPr>
            <w:r w:rsidRPr="00F2661C">
              <w:rPr>
                <w:color w:val="993300"/>
                <w:sz w:val="16"/>
                <w:szCs w:val="16"/>
                <w:lang w:val="es-ES_tradnl" w:bidi="th-TH"/>
              </w:rPr>
              <w:t xml:space="preserve">El promedio diario de usuarios que utilizan los servicios de los CATI oscila entre 200 y 630. </w:t>
            </w:r>
          </w:p>
          <w:p w:rsidR="00B070BF" w:rsidRPr="00F2661C" w:rsidRDefault="00B070BF" w:rsidP="00C33D4A">
            <w:pPr>
              <w:keepNext/>
              <w:widowControl w:val="0"/>
              <w:rPr>
                <w:color w:val="993300"/>
                <w:sz w:val="16"/>
                <w:szCs w:val="16"/>
                <w:lang w:val="es-ES_tradnl" w:bidi="th-TH"/>
              </w:rPr>
            </w:pPr>
          </w:p>
        </w:tc>
        <w:tc>
          <w:tcPr>
            <w:tcW w:w="1848" w:type="pct"/>
            <w:tcBorders>
              <w:top w:val="single" w:sz="4" w:space="0" w:color="auto"/>
              <w:bottom w:val="nil"/>
            </w:tcBorders>
            <w:shd w:val="clear" w:color="auto" w:fill="FFFFFF"/>
            <w:tcMar>
              <w:top w:w="110" w:type="dxa"/>
            </w:tcMar>
          </w:tcPr>
          <w:p w:rsidR="00B070BF" w:rsidRPr="009577DE" w:rsidRDefault="00B070BF" w:rsidP="00C33D4A">
            <w:pPr>
              <w:keepNext/>
              <w:widowControl w:val="0"/>
              <w:rPr>
                <w:sz w:val="16"/>
                <w:szCs w:val="16"/>
                <w:lang w:val="es-ES_tradnl" w:bidi="th-TH"/>
              </w:rPr>
            </w:pPr>
            <w:r w:rsidRPr="009577DE">
              <w:rPr>
                <w:sz w:val="16"/>
                <w:szCs w:val="16"/>
                <w:lang w:val="es-ES_tradnl" w:bidi="th-TH"/>
              </w:rPr>
              <w:t xml:space="preserve">El promedio diario de usuarios que utilizan los servicios de los CATI oscila entre 300 y 750.  </w:t>
            </w:r>
          </w:p>
          <w:p w:rsidR="00B070BF" w:rsidRPr="009577DE" w:rsidRDefault="00B070BF" w:rsidP="00C33D4A">
            <w:pPr>
              <w:keepNext/>
              <w:widowControl w:val="0"/>
              <w:rPr>
                <w:sz w:val="16"/>
                <w:szCs w:val="16"/>
                <w:lang w:val="es-ES_tradnl" w:bidi="th-TH"/>
              </w:rPr>
            </w:pPr>
          </w:p>
          <w:p w:rsidR="00B070BF" w:rsidRPr="009577DE" w:rsidRDefault="00B070BF" w:rsidP="00C33D4A">
            <w:pPr>
              <w:keepNext/>
              <w:widowControl w:val="0"/>
              <w:rPr>
                <w:sz w:val="16"/>
                <w:szCs w:val="16"/>
                <w:lang w:val="es-ES_tradnl"/>
              </w:rPr>
            </w:pPr>
          </w:p>
        </w:tc>
        <w:tc>
          <w:tcPr>
            <w:tcW w:w="557" w:type="pct"/>
            <w:tcBorders>
              <w:top w:val="single" w:sz="4" w:space="0" w:color="auto"/>
              <w:bottom w:val="nil"/>
              <w:right w:val="single" w:sz="4" w:space="0" w:color="auto"/>
            </w:tcBorders>
            <w:shd w:val="clear" w:color="auto" w:fill="auto"/>
            <w:tcMar>
              <w:top w:w="110" w:type="dxa"/>
            </w:tcMar>
          </w:tcPr>
          <w:p w:rsidR="00B070BF" w:rsidRPr="009577DE" w:rsidRDefault="00B070BF" w:rsidP="00C33D4A">
            <w:pPr>
              <w:keepNext/>
              <w:widowControl w:val="0"/>
              <w:jc w:val="center"/>
              <w:rPr>
                <w:b/>
                <w:bCs/>
                <w:sz w:val="16"/>
                <w:szCs w:val="16"/>
                <w:lang w:val="es-ES_tradnl"/>
              </w:rPr>
            </w:pPr>
            <w:r w:rsidRPr="009577DE">
              <w:rPr>
                <w:b/>
                <w:bCs/>
                <w:color w:val="008000"/>
                <w:sz w:val="16"/>
                <w:szCs w:val="16"/>
                <w:lang w:val="es-ES_tradnl"/>
              </w:rPr>
              <w:t>Progresa con normalidad</w:t>
            </w:r>
          </w:p>
          <w:p w:rsidR="00B070BF" w:rsidRPr="009577DE" w:rsidRDefault="00B070BF" w:rsidP="00C33D4A">
            <w:pPr>
              <w:keepNext/>
              <w:widowControl w:val="0"/>
              <w:jc w:val="center"/>
              <w:rPr>
                <w:bCs/>
                <w:sz w:val="16"/>
                <w:szCs w:val="16"/>
                <w:lang w:val="es-ES_tradnl"/>
              </w:rPr>
            </w:pPr>
          </w:p>
          <w:p w:rsidR="00B070BF" w:rsidRPr="009577DE" w:rsidRDefault="00B070BF" w:rsidP="00C33D4A">
            <w:pPr>
              <w:keepNext/>
              <w:widowControl w:val="0"/>
              <w:jc w:val="center"/>
              <w:rPr>
                <w:bCs/>
                <w:sz w:val="16"/>
                <w:szCs w:val="16"/>
                <w:lang w:val="es-ES_tradnl"/>
              </w:rPr>
            </w:pPr>
          </w:p>
        </w:tc>
      </w:tr>
      <w:tr w:rsidR="00B070BF" w:rsidRPr="009577DE" w:rsidTr="00C33D4A">
        <w:trPr>
          <w:cantSplit/>
        </w:trPr>
        <w:tc>
          <w:tcPr>
            <w:tcW w:w="874" w:type="pct"/>
            <w:tcBorders>
              <w:top w:val="nil"/>
              <w:left w:val="single" w:sz="4" w:space="0" w:color="auto"/>
              <w:bottom w:val="single" w:sz="4" w:space="0" w:color="auto"/>
            </w:tcBorders>
            <w:shd w:val="clear" w:color="auto" w:fill="auto"/>
          </w:tcPr>
          <w:p w:rsidR="00B070BF" w:rsidRPr="009577DE" w:rsidRDefault="00B070BF" w:rsidP="00C33D4A">
            <w:pPr>
              <w:widowControl w:val="0"/>
              <w:rPr>
                <w:sz w:val="16"/>
                <w:szCs w:val="16"/>
                <w:lang w:val="es-ES_tradnl" w:bidi="th-TH"/>
              </w:rPr>
            </w:pPr>
            <w:r w:rsidRPr="009577DE">
              <w:rPr>
                <w:sz w:val="16"/>
                <w:szCs w:val="16"/>
                <w:lang w:val="es-ES_tradnl" w:bidi="th-TH"/>
              </w:rPr>
              <w:t xml:space="preserve">Número de Estados miembros que han desarrollado su marco de P.I. y establecido oficinas universitarias de transferencia de tecnología (OTT). </w:t>
            </w:r>
          </w:p>
          <w:p w:rsidR="00B070BF" w:rsidRPr="009577DE" w:rsidRDefault="00B070BF" w:rsidP="00C33D4A">
            <w:pPr>
              <w:widowControl w:val="0"/>
              <w:rPr>
                <w:sz w:val="16"/>
                <w:szCs w:val="16"/>
                <w:lang w:val="es-ES_tradnl" w:bidi="th-TH"/>
              </w:rPr>
            </w:pPr>
          </w:p>
        </w:tc>
        <w:tc>
          <w:tcPr>
            <w:tcW w:w="805" w:type="pct"/>
            <w:tcBorders>
              <w:top w:val="nil"/>
              <w:bottom w:val="single" w:sz="4" w:space="0" w:color="auto"/>
            </w:tcBorders>
            <w:shd w:val="clear" w:color="auto" w:fill="C0C0C0"/>
          </w:tcPr>
          <w:p w:rsidR="00B070BF" w:rsidRPr="009577DE" w:rsidRDefault="00B070BF" w:rsidP="00C33D4A">
            <w:pPr>
              <w:widowControl w:val="0"/>
              <w:rPr>
                <w:sz w:val="16"/>
                <w:szCs w:val="16"/>
                <w:lang w:val="es-ES_tradnl" w:bidi="th-TH"/>
              </w:rPr>
            </w:pPr>
            <w:r w:rsidRPr="009577DE">
              <w:rPr>
                <w:sz w:val="16"/>
                <w:szCs w:val="16"/>
                <w:lang w:val="es-ES_tradnl" w:bidi="th-TH"/>
              </w:rPr>
              <w:t>Se ha adoptado el proyecto piloto de marco de P.I. y se ha asignado la financiación correspondiente.</w:t>
            </w:r>
          </w:p>
        </w:tc>
        <w:tc>
          <w:tcPr>
            <w:tcW w:w="916" w:type="pct"/>
            <w:tcBorders>
              <w:top w:val="nil"/>
              <w:bottom w:val="single" w:sz="4" w:space="0" w:color="auto"/>
            </w:tcBorders>
            <w:shd w:val="clear" w:color="auto" w:fill="auto"/>
            <w:tcMar>
              <w:top w:w="110" w:type="dxa"/>
            </w:tcMar>
          </w:tcPr>
          <w:p w:rsidR="00B070BF" w:rsidRPr="009577DE" w:rsidRDefault="00B070BF" w:rsidP="00C33D4A">
            <w:pPr>
              <w:widowControl w:val="0"/>
              <w:rPr>
                <w:sz w:val="16"/>
                <w:szCs w:val="16"/>
                <w:lang w:val="es-ES_tradnl" w:bidi="th-TH"/>
              </w:rPr>
            </w:pPr>
          </w:p>
        </w:tc>
        <w:tc>
          <w:tcPr>
            <w:tcW w:w="1848" w:type="pct"/>
            <w:tcBorders>
              <w:top w:val="nil"/>
              <w:bottom w:val="single" w:sz="4" w:space="0" w:color="auto"/>
            </w:tcBorders>
            <w:shd w:val="clear" w:color="auto" w:fill="FFFFFF"/>
            <w:tcMar>
              <w:top w:w="110" w:type="dxa"/>
            </w:tcMar>
          </w:tcPr>
          <w:p w:rsidR="00B070BF" w:rsidRPr="009577DE" w:rsidRDefault="00B070BF" w:rsidP="00C33D4A">
            <w:pPr>
              <w:widowControl w:val="0"/>
              <w:rPr>
                <w:sz w:val="16"/>
                <w:szCs w:val="16"/>
                <w:lang w:val="es-ES_tradnl"/>
              </w:rPr>
            </w:pPr>
            <w:r w:rsidRPr="009577DE">
              <w:rPr>
                <w:sz w:val="16"/>
                <w:szCs w:val="16"/>
                <w:lang w:val="es-ES_tradnl" w:bidi="th-TH"/>
              </w:rPr>
              <w:t>Ninguna</w:t>
            </w:r>
          </w:p>
        </w:tc>
        <w:tc>
          <w:tcPr>
            <w:tcW w:w="557" w:type="pct"/>
            <w:tcBorders>
              <w:top w:val="nil"/>
              <w:bottom w:val="single" w:sz="4" w:space="0" w:color="auto"/>
              <w:right w:val="single" w:sz="4" w:space="0" w:color="auto"/>
            </w:tcBorders>
            <w:shd w:val="clear" w:color="auto" w:fill="auto"/>
            <w:tcMar>
              <w:top w:w="110" w:type="dxa"/>
            </w:tcMar>
          </w:tcPr>
          <w:p w:rsidR="00B070BF" w:rsidRPr="009577DE" w:rsidRDefault="00B070BF" w:rsidP="00C33D4A">
            <w:pPr>
              <w:widowControl w:val="0"/>
              <w:jc w:val="center"/>
              <w:rPr>
                <w:b/>
                <w:bCs/>
                <w:sz w:val="16"/>
                <w:szCs w:val="16"/>
                <w:lang w:val="es-ES_tradnl"/>
              </w:rPr>
            </w:pPr>
            <w:r w:rsidRPr="009577DE">
              <w:rPr>
                <w:b/>
                <w:bCs/>
                <w:color w:val="FF0000"/>
                <w:sz w:val="16"/>
                <w:szCs w:val="16"/>
                <w:lang w:val="es-ES_tradnl"/>
              </w:rPr>
              <w:t>Sin avances significativos</w:t>
            </w:r>
          </w:p>
          <w:p w:rsidR="00B070BF" w:rsidRPr="009577DE" w:rsidRDefault="00B070BF" w:rsidP="00C33D4A">
            <w:pPr>
              <w:widowControl w:val="0"/>
              <w:jc w:val="center"/>
              <w:rPr>
                <w:bCs/>
                <w:sz w:val="16"/>
                <w:szCs w:val="16"/>
                <w:lang w:val="es-ES_tradnl"/>
              </w:rPr>
            </w:pPr>
          </w:p>
        </w:tc>
      </w:tr>
      <w:tr w:rsidR="00B070BF" w:rsidRPr="009577DE" w:rsidTr="00C33D4A">
        <w:trPr>
          <w:cantSplit/>
        </w:trPr>
        <w:tc>
          <w:tcPr>
            <w:tcW w:w="5000" w:type="pct"/>
            <w:gridSpan w:val="5"/>
            <w:tcBorders>
              <w:top w:val="single" w:sz="4" w:space="0" w:color="auto"/>
              <w:left w:val="single" w:sz="4" w:space="0" w:color="auto"/>
              <w:bottom w:val="nil"/>
              <w:right w:val="single" w:sz="4" w:space="0" w:color="auto"/>
            </w:tcBorders>
            <w:shd w:val="clear" w:color="auto" w:fill="CCFFFF"/>
            <w:vAlign w:val="center"/>
          </w:tcPr>
          <w:p w:rsidR="00B070BF" w:rsidRPr="009577DE" w:rsidRDefault="00B070BF" w:rsidP="00C33D4A">
            <w:pPr>
              <w:widowControl w:val="0"/>
              <w:spacing w:before="120" w:after="120"/>
              <w:ind w:left="1735" w:hanging="1735"/>
              <w:rPr>
                <w:b/>
                <w:bCs/>
                <w:sz w:val="16"/>
                <w:szCs w:val="16"/>
                <w:lang w:val="es-ES_tradnl"/>
              </w:rPr>
            </w:pPr>
            <w:r w:rsidRPr="009577DE">
              <w:rPr>
                <w:b/>
                <w:bCs/>
                <w:sz w:val="16"/>
                <w:szCs w:val="16"/>
                <w:lang w:val="es-ES_tradnl"/>
              </w:rPr>
              <w:t>Resultado previsto:</w:t>
            </w:r>
            <w:r w:rsidRPr="009577DE">
              <w:rPr>
                <w:b/>
                <w:bCs/>
                <w:sz w:val="16"/>
                <w:szCs w:val="16"/>
                <w:lang w:val="es-ES_tradnl"/>
              </w:rPr>
              <w:tab/>
            </w:r>
            <w:r w:rsidRPr="009577DE">
              <w:rPr>
                <w:bCs/>
                <w:sz w:val="16"/>
                <w:szCs w:val="16"/>
                <w:lang w:val="es-ES_tradnl"/>
              </w:rPr>
              <w:t xml:space="preserve"> Mejora en la infraestructura técnica y de conocimientos de las oficinas y demás instituciones de P.I. que les permite prestar mejores servicios (más económicos, más rápidos y de mejor calidad) a sus usuarios.</w:t>
            </w:r>
          </w:p>
        </w:tc>
      </w:tr>
      <w:tr w:rsidR="00B070BF" w:rsidRPr="009577DE" w:rsidTr="00C33D4A">
        <w:trPr>
          <w:cantSplit/>
          <w:trHeight w:val="424"/>
        </w:trPr>
        <w:tc>
          <w:tcPr>
            <w:tcW w:w="874" w:type="pct"/>
            <w:tcBorders>
              <w:top w:val="single" w:sz="4" w:space="0" w:color="auto"/>
              <w:left w:val="single" w:sz="4" w:space="0" w:color="auto"/>
              <w:bottom w:val="nil"/>
            </w:tcBorders>
            <w:shd w:val="clear" w:color="auto" w:fill="auto"/>
            <w:vAlign w:val="center"/>
          </w:tcPr>
          <w:p w:rsidR="00B070BF" w:rsidRPr="009577DE" w:rsidRDefault="00B070BF" w:rsidP="00C33D4A">
            <w:pPr>
              <w:widowControl w:val="0"/>
              <w:spacing w:after="120"/>
              <w:rPr>
                <w:sz w:val="16"/>
                <w:szCs w:val="16"/>
                <w:lang w:val="es-ES_tradnl"/>
              </w:rPr>
            </w:pPr>
            <w:r w:rsidRPr="009577DE">
              <w:rPr>
                <w:b/>
                <w:bCs/>
                <w:sz w:val="16"/>
                <w:szCs w:val="16"/>
                <w:lang w:val="es-ES_tradnl"/>
              </w:rPr>
              <w:t>Indicadores de rendimiento</w:t>
            </w:r>
          </w:p>
        </w:tc>
        <w:tc>
          <w:tcPr>
            <w:tcW w:w="805" w:type="pct"/>
            <w:tcBorders>
              <w:top w:val="single" w:sz="4" w:space="0" w:color="auto"/>
              <w:bottom w:val="nil"/>
            </w:tcBorders>
            <w:shd w:val="clear" w:color="auto" w:fill="C0C0C0"/>
          </w:tcPr>
          <w:p w:rsidR="00B070BF" w:rsidRPr="009577DE" w:rsidRDefault="00B070BF" w:rsidP="00C33D4A">
            <w:pPr>
              <w:widowControl w:val="0"/>
              <w:spacing w:after="120"/>
              <w:rPr>
                <w:b/>
                <w:bCs/>
                <w:sz w:val="16"/>
                <w:szCs w:val="16"/>
                <w:lang w:val="es-ES_tradnl"/>
              </w:rPr>
            </w:pPr>
            <w:r w:rsidRPr="009577DE">
              <w:rPr>
                <w:b/>
                <w:bCs/>
                <w:sz w:val="16"/>
                <w:szCs w:val="16"/>
                <w:lang w:val="es-ES_tradnl"/>
              </w:rPr>
              <w:t>Referencia (</w:t>
            </w:r>
            <w:proofErr w:type="spellStart"/>
            <w:r w:rsidRPr="009577DE">
              <w:rPr>
                <w:b/>
                <w:bCs/>
                <w:sz w:val="16"/>
                <w:szCs w:val="16"/>
                <w:lang w:val="es-ES_tradnl"/>
              </w:rPr>
              <w:t>Presup</w:t>
            </w:r>
            <w:proofErr w:type="spellEnd"/>
            <w:r w:rsidRPr="009577DE">
              <w:rPr>
                <w:b/>
                <w:bCs/>
                <w:sz w:val="16"/>
                <w:szCs w:val="16"/>
                <w:lang w:val="es-ES_tradnl"/>
              </w:rPr>
              <w:t xml:space="preserve">. por </w:t>
            </w:r>
            <w:proofErr w:type="spellStart"/>
            <w:r w:rsidRPr="009577DE">
              <w:rPr>
                <w:b/>
                <w:bCs/>
                <w:sz w:val="16"/>
                <w:szCs w:val="16"/>
                <w:lang w:val="es-ES_tradnl"/>
              </w:rPr>
              <w:t>prog</w:t>
            </w:r>
            <w:proofErr w:type="spellEnd"/>
            <w:r w:rsidRPr="009577DE">
              <w:rPr>
                <w:b/>
                <w:bCs/>
                <w:sz w:val="16"/>
                <w:szCs w:val="16"/>
                <w:lang w:val="es-ES_tradnl"/>
              </w:rPr>
              <w:t>. 2012/13)</w:t>
            </w:r>
          </w:p>
        </w:tc>
        <w:tc>
          <w:tcPr>
            <w:tcW w:w="916" w:type="pct"/>
            <w:tcBorders>
              <w:top w:val="single" w:sz="4" w:space="0" w:color="auto"/>
              <w:bottom w:val="nil"/>
            </w:tcBorders>
            <w:shd w:val="clear" w:color="auto" w:fill="auto"/>
            <w:tcMar>
              <w:top w:w="110" w:type="dxa"/>
            </w:tcMar>
            <w:vAlign w:val="center"/>
          </w:tcPr>
          <w:p w:rsidR="00B070BF" w:rsidRPr="009577DE" w:rsidRDefault="00B070BF" w:rsidP="00C33D4A">
            <w:pPr>
              <w:widowControl w:val="0"/>
              <w:spacing w:after="120"/>
              <w:rPr>
                <w:b/>
                <w:sz w:val="16"/>
                <w:szCs w:val="16"/>
                <w:lang w:val="es-ES_tradnl"/>
              </w:rPr>
            </w:pPr>
            <w:r w:rsidRPr="00BF138D">
              <w:rPr>
                <w:b/>
                <w:color w:val="993300"/>
                <w:sz w:val="16"/>
                <w:szCs w:val="16"/>
                <w:lang w:val="es-ES_tradnl"/>
              </w:rPr>
              <w:t>Referencia actualizada a finales de 2011</w:t>
            </w:r>
            <w:r w:rsidRPr="009577DE">
              <w:rPr>
                <w:b/>
                <w:sz w:val="16"/>
                <w:szCs w:val="16"/>
                <w:lang w:val="es-ES_tradnl"/>
              </w:rPr>
              <w:t xml:space="preserve"> </w:t>
            </w:r>
          </w:p>
        </w:tc>
        <w:tc>
          <w:tcPr>
            <w:tcW w:w="1848" w:type="pct"/>
            <w:tcBorders>
              <w:top w:val="single" w:sz="4" w:space="0" w:color="auto"/>
              <w:bottom w:val="nil"/>
            </w:tcBorders>
            <w:shd w:val="clear" w:color="auto" w:fill="FFFFFF"/>
            <w:tcMar>
              <w:top w:w="110" w:type="dxa"/>
            </w:tcMar>
            <w:vAlign w:val="center"/>
          </w:tcPr>
          <w:p w:rsidR="00B070BF" w:rsidRPr="009577DE" w:rsidRDefault="00B070BF" w:rsidP="00C33D4A">
            <w:pPr>
              <w:widowControl w:val="0"/>
              <w:spacing w:after="120"/>
              <w:rPr>
                <w:sz w:val="16"/>
                <w:szCs w:val="16"/>
                <w:lang w:val="es-ES_tradnl"/>
              </w:rPr>
            </w:pPr>
            <w:r w:rsidRPr="009577DE">
              <w:rPr>
                <w:b/>
                <w:bCs/>
                <w:sz w:val="16"/>
                <w:szCs w:val="16"/>
                <w:lang w:val="es-ES_tradnl"/>
              </w:rPr>
              <w:t>Datos sobre el rendimiento</w:t>
            </w:r>
          </w:p>
        </w:tc>
        <w:tc>
          <w:tcPr>
            <w:tcW w:w="557" w:type="pct"/>
            <w:tcBorders>
              <w:top w:val="single" w:sz="4" w:space="0" w:color="auto"/>
              <w:bottom w:val="nil"/>
              <w:right w:val="single" w:sz="4" w:space="0" w:color="auto"/>
            </w:tcBorders>
            <w:shd w:val="clear" w:color="auto" w:fill="auto"/>
            <w:tcMar>
              <w:top w:w="110" w:type="dxa"/>
            </w:tcMar>
            <w:vAlign w:val="center"/>
          </w:tcPr>
          <w:p w:rsidR="00B070BF" w:rsidRPr="009577DE" w:rsidRDefault="00B070BF" w:rsidP="00C33D4A">
            <w:pPr>
              <w:widowControl w:val="0"/>
              <w:spacing w:after="120"/>
              <w:jc w:val="center"/>
              <w:rPr>
                <w:b/>
                <w:bCs/>
                <w:sz w:val="16"/>
                <w:szCs w:val="16"/>
                <w:lang w:val="es-ES_tradnl"/>
              </w:rPr>
            </w:pPr>
            <w:r w:rsidRPr="009577DE">
              <w:rPr>
                <w:b/>
                <w:bCs/>
                <w:sz w:val="16"/>
                <w:szCs w:val="16"/>
                <w:lang w:val="es-ES_tradnl"/>
              </w:rPr>
              <w:t>Clave de colores</w:t>
            </w:r>
          </w:p>
        </w:tc>
      </w:tr>
      <w:tr w:rsidR="00B070BF" w:rsidRPr="009577DE" w:rsidTr="00C33D4A">
        <w:trPr>
          <w:cantSplit/>
        </w:trPr>
        <w:tc>
          <w:tcPr>
            <w:tcW w:w="874" w:type="pct"/>
            <w:tcBorders>
              <w:top w:val="nil"/>
              <w:left w:val="single" w:sz="4" w:space="0" w:color="auto"/>
              <w:bottom w:val="nil"/>
            </w:tcBorders>
            <w:shd w:val="clear" w:color="auto" w:fill="auto"/>
          </w:tcPr>
          <w:p w:rsidR="00B070BF" w:rsidRPr="009577DE" w:rsidRDefault="00B070BF" w:rsidP="00C33D4A">
            <w:pPr>
              <w:widowControl w:val="0"/>
              <w:rPr>
                <w:sz w:val="16"/>
                <w:szCs w:val="16"/>
                <w:lang w:val="es-ES_tradnl" w:bidi="th-TH"/>
              </w:rPr>
            </w:pPr>
            <w:r w:rsidRPr="009577DE">
              <w:rPr>
                <w:sz w:val="16"/>
                <w:szCs w:val="16"/>
                <w:lang w:val="es-ES_tradnl" w:bidi="th-TH"/>
              </w:rPr>
              <w:t>Número de oficinas que disponen de sistemas de administración de P.I. totalmente automatizados proporcionados por la OMPI, en comparación con las que disponen de sistemas automatizados parcialmente.</w:t>
            </w:r>
          </w:p>
        </w:tc>
        <w:tc>
          <w:tcPr>
            <w:tcW w:w="805" w:type="pct"/>
            <w:tcBorders>
              <w:top w:val="nil"/>
              <w:bottom w:val="nil"/>
            </w:tcBorders>
            <w:shd w:val="clear" w:color="auto" w:fill="C0C0C0"/>
          </w:tcPr>
          <w:p w:rsidR="00B070BF" w:rsidRPr="009577DE" w:rsidRDefault="00B070BF" w:rsidP="00C33D4A">
            <w:pPr>
              <w:widowControl w:val="0"/>
              <w:rPr>
                <w:sz w:val="16"/>
                <w:szCs w:val="16"/>
                <w:lang w:val="es-ES_tradnl" w:bidi="th-TH"/>
              </w:rPr>
            </w:pPr>
            <w:r w:rsidRPr="009577DE">
              <w:rPr>
                <w:sz w:val="16"/>
                <w:szCs w:val="16"/>
                <w:lang w:val="es-ES_tradnl" w:bidi="th-TH"/>
              </w:rPr>
              <w:t>Cuatro.</w:t>
            </w:r>
          </w:p>
          <w:p w:rsidR="00B070BF" w:rsidRPr="009577DE" w:rsidRDefault="00B070BF" w:rsidP="00C33D4A">
            <w:pPr>
              <w:widowControl w:val="0"/>
              <w:rPr>
                <w:sz w:val="16"/>
                <w:szCs w:val="16"/>
                <w:lang w:val="es-ES_tradnl" w:bidi="th-TH"/>
              </w:rPr>
            </w:pPr>
          </w:p>
          <w:p w:rsidR="00B070BF" w:rsidRPr="009577DE" w:rsidRDefault="00B070BF" w:rsidP="00C33D4A">
            <w:pPr>
              <w:widowControl w:val="0"/>
              <w:rPr>
                <w:sz w:val="16"/>
                <w:szCs w:val="16"/>
                <w:lang w:val="es-ES_tradnl" w:bidi="th-TH"/>
              </w:rPr>
            </w:pPr>
          </w:p>
        </w:tc>
        <w:tc>
          <w:tcPr>
            <w:tcW w:w="916" w:type="pct"/>
            <w:tcBorders>
              <w:top w:val="nil"/>
              <w:bottom w:val="nil"/>
            </w:tcBorders>
            <w:shd w:val="clear" w:color="auto" w:fill="auto"/>
            <w:tcMar>
              <w:top w:w="110" w:type="dxa"/>
            </w:tcMar>
          </w:tcPr>
          <w:p w:rsidR="00B070BF" w:rsidRPr="009577DE" w:rsidRDefault="00B070BF" w:rsidP="00C33D4A">
            <w:pPr>
              <w:widowControl w:val="0"/>
              <w:rPr>
                <w:sz w:val="16"/>
                <w:szCs w:val="16"/>
                <w:lang w:val="es-ES_tradnl"/>
              </w:rPr>
            </w:pPr>
          </w:p>
        </w:tc>
        <w:tc>
          <w:tcPr>
            <w:tcW w:w="1848" w:type="pct"/>
            <w:tcBorders>
              <w:top w:val="nil"/>
              <w:bottom w:val="nil"/>
            </w:tcBorders>
            <w:shd w:val="clear" w:color="auto" w:fill="FFFFFF"/>
            <w:tcMar>
              <w:top w:w="110" w:type="dxa"/>
            </w:tcMar>
          </w:tcPr>
          <w:p w:rsidR="00B070BF" w:rsidRPr="009577DE" w:rsidRDefault="00B070BF" w:rsidP="00C33D4A">
            <w:pPr>
              <w:widowControl w:val="0"/>
              <w:rPr>
                <w:sz w:val="16"/>
                <w:szCs w:val="16"/>
                <w:lang w:val="es-ES_tradnl" w:bidi="th-TH"/>
              </w:rPr>
            </w:pPr>
            <w:r w:rsidRPr="009577DE">
              <w:rPr>
                <w:sz w:val="16"/>
                <w:szCs w:val="16"/>
                <w:lang w:val="es-ES_tradnl" w:bidi="th-TH"/>
              </w:rPr>
              <w:t>Número de oficinas con sistemas totalmente automatizados a finales de 2012:  4</w:t>
            </w:r>
          </w:p>
          <w:p w:rsidR="00B070BF" w:rsidRPr="009577DE" w:rsidRDefault="00B070BF" w:rsidP="00C33D4A">
            <w:pPr>
              <w:widowControl w:val="0"/>
              <w:rPr>
                <w:sz w:val="16"/>
                <w:szCs w:val="16"/>
                <w:lang w:val="es-ES_tradnl" w:bidi="th-TH"/>
              </w:rPr>
            </w:pPr>
          </w:p>
          <w:p w:rsidR="00B070BF" w:rsidRPr="009577DE" w:rsidRDefault="00B070BF" w:rsidP="00C33D4A">
            <w:pPr>
              <w:widowControl w:val="0"/>
              <w:rPr>
                <w:sz w:val="16"/>
                <w:szCs w:val="16"/>
                <w:lang w:val="es-ES_tradnl" w:bidi="th-TH"/>
              </w:rPr>
            </w:pPr>
            <w:r w:rsidRPr="009577DE">
              <w:rPr>
                <w:sz w:val="16"/>
                <w:szCs w:val="16"/>
                <w:lang w:val="es-ES_tradnl" w:bidi="th-TH"/>
              </w:rPr>
              <w:t>Número de oficinas con sistemas automatizados parcialmente a finales de 2012:   3</w:t>
            </w:r>
          </w:p>
          <w:p w:rsidR="00B070BF" w:rsidRPr="009577DE" w:rsidRDefault="00B070BF" w:rsidP="00C33D4A">
            <w:pPr>
              <w:widowControl w:val="0"/>
              <w:rPr>
                <w:sz w:val="16"/>
                <w:szCs w:val="16"/>
                <w:lang w:val="es-ES_tradnl" w:bidi="th-TH"/>
              </w:rPr>
            </w:pPr>
          </w:p>
          <w:p w:rsidR="00B070BF" w:rsidRPr="009577DE" w:rsidRDefault="00B070BF" w:rsidP="00C33D4A">
            <w:pPr>
              <w:widowControl w:val="0"/>
              <w:rPr>
                <w:sz w:val="16"/>
                <w:szCs w:val="16"/>
                <w:lang w:val="es-ES_tradnl" w:bidi="th-TH"/>
              </w:rPr>
            </w:pPr>
            <w:r w:rsidRPr="009577DE">
              <w:rPr>
                <w:sz w:val="16"/>
                <w:szCs w:val="16"/>
                <w:lang w:val="es-ES_tradnl" w:bidi="th-TH"/>
              </w:rPr>
              <w:t>A finales de 2012, 7 oficinas utilizaban sistemas de administración de P.I. proporcionados por la OMPI.</w:t>
            </w:r>
          </w:p>
          <w:p w:rsidR="00B070BF" w:rsidRPr="009577DE" w:rsidRDefault="00B070BF" w:rsidP="00C33D4A">
            <w:pPr>
              <w:widowControl w:val="0"/>
              <w:rPr>
                <w:sz w:val="16"/>
                <w:szCs w:val="16"/>
                <w:lang w:val="es-ES_tradnl"/>
              </w:rPr>
            </w:pPr>
          </w:p>
        </w:tc>
        <w:tc>
          <w:tcPr>
            <w:tcW w:w="557" w:type="pct"/>
            <w:tcBorders>
              <w:top w:val="nil"/>
              <w:bottom w:val="nil"/>
              <w:right w:val="single" w:sz="4" w:space="0" w:color="auto"/>
            </w:tcBorders>
            <w:shd w:val="clear" w:color="auto" w:fill="auto"/>
            <w:tcMar>
              <w:top w:w="110" w:type="dxa"/>
            </w:tcMar>
          </w:tcPr>
          <w:p w:rsidR="00B070BF" w:rsidRPr="009577DE" w:rsidRDefault="00B070BF" w:rsidP="00C33D4A">
            <w:pPr>
              <w:widowControl w:val="0"/>
              <w:jc w:val="center"/>
              <w:rPr>
                <w:b/>
                <w:bCs/>
                <w:sz w:val="16"/>
                <w:szCs w:val="16"/>
                <w:lang w:val="es-ES_tradnl"/>
              </w:rPr>
            </w:pPr>
            <w:r w:rsidRPr="009577DE">
              <w:rPr>
                <w:b/>
                <w:bCs/>
                <w:color w:val="008000"/>
                <w:sz w:val="16"/>
                <w:szCs w:val="16"/>
                <w:lang w:val="es-ES_tradnl"/>
              </w:rPr>
              <w:t>Progresa con normalidad</w:t>
            </w:r>
          </w:p>
          <w:p w:rsidR="00B070BF" w:rsidRPr="009577DE" w:rsidRDefault="00B070BF" w:rsidP="00C33D4A">
            <w:pPr>
              <w:widowControl w:val="0"/>
              <w:rPr>
                <w:bCs/>
                <w:sz w:val="16"/>
                <w:szCs w:val="16"/>
                <w:lang w:val="es-ES_tradnl"/>
              </w:rPr>
            </w:pPr>
          </w:p>
        </w:tc>
      </w:tr>
      <w:tr w:rsidR="00B070BF" w:rsidRPr="009577DE" w:rsidTr="00C33D4A">
        <w:trPr>
          <w:cantSplit/>
        </w:trPr>
        <w:tc>
          <w:tcPr>
            <w:tcW w:w="874" w:type="pct"/>
            <w:tcBorders>
              <w:top w:val="nil"/>
              <w:left w:val="single" w:sz="4" w:space="0" w:color="auto"/>
              <w:bottom w:val="nil"/>
            </w:tcBorders>
            <w:shd w:val="clear" w:color="auto" w:fill="auto"/>
          </w:tcPr>
          <w:p w:rsidR="00B070BF" w:rsidRPr="009577DE" w:rsidRDefault="00B070BF" w:rsidP="00C33D4A">
            <w:pPr>
              <w:widowControl w:val="0"/>
              <w:rPr>
                <w:sz w:val="16"/>
                <w:szCs w:val="16"/>
                <w:lang w:val="es-ES_tradnl" w:bidi="th-TH"/>
              </w:rPr>
            </w:pPr>
            <w:r w:rsidRPr="009577DE">
              <w:rPr>
                <w:sz w:val="16"/>
                <w:szCs w:val="16"/>
                <w:lang w:val="es-ES_tradnl" w:bidi="th-TH"/>
              </w:rPr>
              <w:t>Número de oficinas cuyos datos de P.I. están disponibles en las bases de datos de la OMPI en Internet.</w:t>
            </w:r>
          </w:p>
          <w:p w:rsidR="00B070BF" w:rsidRPr="009577DE" w:rsidRDefault="00B070BF" w:rsidP="00C33D4A">
            <w:pPr>
              <w:widowControl w:val="0"/>
              <w:rPr>
                <w:sz w:val="16"/>
                <w:szCs w:val="16"/>
                <w:lang w:val="es-ES_tradnl" w:bidi="th-TH"/>
              </w:rPr>
            </w:pPr>
          </w:p>
        </w:tc>
        <w:tc>
          <w:tcPr>
            <w:tcW w:w="805" w:type="pct"/>
            <w:tcBorders>
              <w:top w:val="nil"/>
              <w:bottom w:val="nil"/>
            </w:tcBorders>
            <w:shd w:val="clear" w:color="auto" w:fill="C0C0C0"/>
          </w:tcPr>
          <w:p w:rsidR="00B070BF" w:rsidRPr="009577DE" w:rsidRDefault="00B070BF" w:rsidP="00C33D4A">
            <w:pPr>
              <w:widowControl w:val="0"/>
              <w:rPr>
                <w:sz w:val="16"/>
                <w:szCs w:val="16"/>
                <w:lang w:val="es-ES_tradnl" w:bidi="th-TH"/>
              </w:rPr>
            </w:pPr>
            <w:r w:rsidRPr="009577DE">
              <w:rPr>
                <w:sz w:val="16"/>
                <w:szCs w:val="16"/>
                <w:lang w:val="es-ES_tradnl" w:bidi="th-TH"/>
              </w:rPr>
              <w:t>Por determinar.</w:t>
            </w:r>
          </w:p>
          <w:p w:rsidR="00B070BF" w:rsidRPr="009577DE" w:rsidRDefault="00B070BF" w:rsidP="00C33D4A">
            <w:pPr>
              <w:widowControl w:val="0"/>
              <w:rPr>
                <w:sz w:val="16"/>
                <w:szCs w:val="16"/>
                <w:lang w:val="es-ES_tradnl" w:bidi="th-TH"/>
              </w:rPr>
            </w:pPr>
          </w:p>
        </w:tc>
        <w:tc>
          <w:tcPr>
            <w:tcW w:w="916" w:type="pct"/>
            <w:tcBorders>
              <w:top w:val="nil"/>
              <w:bottom w:val="nil"/>
            </w:tcBorders>
            <w:shd w:val="clear" w:color="auto" w:fill="auto"/>
            <w:tcMar>
              <w:top w:w="110" w:type="dxa"/>
            </w:tcMar>
          </w:tcPr>
          <w:p w:rsidR="00B070BF" w:rsidRPr="009577DE" w:rsidRDefault="00B070BF" w:rsidP="00C33D4A">
            <w:pPr>
              <w:widowControl w:val="0"/>
              <w:rPr>
                <w:sz w:val="16"/>
                <w:szCs w:val="16"/>
                <w:lang w:val="es-ES_tradnl" w:bidi="th-TH"/>
              </w:rPr>
            </w:pPr>
          </w:p>
        </w:tc>
        <w:tc>
          <w:tcPr>
            <w:tcW w:w="1848" w:type="pct"/>
            <w:tcBorders>
              <w:top w:val="nil"/>
              <w:bottom w:val="nil"/>
            </w:tcBorders>
            <w:shd w:val="clear" w:color="auto" w:fill="FFFFFF"/>
            <w:tcMar>
              <w:top w:w="110" w:type="dxa"/>
            </w:tcMar>
          </w:tcPr>
          <w:p w:rsidR="00B070BF" w:rsidRPr="009577DE" w:rsidRDefault="00B070BF" w:rsidP="00C33D4A">
            <w:pPr>
              <w:widowControl w:val="0"/>
              <w:rPr>
                <w:sz w:val="16"/>
                <w:szCs w:val="16"/>
                <w:lang w:val="es-ES_tradnl"/>
              </w:rPr>
            </w:pPr>
            <w:r w:rsidRPr="009577DE">
              <w:rPr>
                <w:sz w:val="16"/>
                <w:szCs w:val="16"/>
                <w:lang w:val="es-ES_tradnl" w:bidi="th-TH"/>
              </w:rPr>
              <w:t xml:space="preserve">Una oficina </w:t>
            </w:r>
          </w:p>
        </w:tc>
        <w:tc>
          <w:tcPr>
            <w:tcW w:w="557" w:type="pct"/>
            <w:tcBorders>
              <w:top w:val="nil"/>
              <w:bottom w:val="nil"/>
              <w:right w:val="single" w:sz="4" w:space="0" w:color="auto"/>
            </w:tcBorders>
            <w:shd w:val="clear" w:color="auto" w:fill="auto"/>
            <w:tcMar>
              <w:top w:w="110" w:type="dxa"/>
            </w:tcMar>
          </w:tcPr>
          <w:p w:rsidR="00B070BF" w:rsidRPr="009577DE" w:rsidRDefault="00B070BF" w:rsidP="00C33D4A">
            <w:pPr>
              <w:widowControl w:val="0"/>
              <w:jc w:val="center"/>
              <w:rPr>
                <w:b/>
                <w:bCs/>
                <w:sz w:val="16"/>
                <w:szCs w:val="16"/>
                <w:lang w:val="es-ES_tradnl"/>
              </w:rPr>
            </w:pPr>
            <w:r w:rsidRPr="009577DE">
              <w:rPr>
                <w:b/>
                <w:bCs/>
                <w:color w:val="008000"/>
                <w:sz w:val="16"/>
                <w:szCs w:val="16"/>
                <w:lang w:val="es-ES_tradnl"/>
              </w:rPr>
              <w:t>Progresa con normalidad</w:t>
            </w:r>
          </w:p>
          <w:p w:rsidR="00B070BF" w:rsidRPr="009577DE" w:rsidRDefault="00B070BF" w:rsidP="00C33D4A">
            <w:pPr>
              <w:widowControl w:val="0"/>
              <w:jc w:val="center"/>
              <w:rPr>
                <w:bCs/>
                <w:sz w:val="16"/>
                <w:szCs w:val="16"/>
                <w:lang w:val="es-ES_tradnl"/>
              </w:rPr>
            </w:pPr>
          </w:p>
          <w:p w:rsidR="00B070BF" w:rsidRPr="009577DE" w:rsidRDefault="00B070BF" w:rsidP="00C33D4A">
            <w:pPr>
              <w:widowControl w:val="0"/>
              <w:jc w:val="center"/>
              <w:rPr>
                <w:bCs/>
                <w:sz w:val="16"/>
                <w:szCs w:val="16"/>
                <w:lang w:val="es-ES_tradnl"/>
              </w:rPr>
            </w:pPr>
          </w:p>
        </w:tc>
      </w:tr>
      <w:tr w:rsidR="00B070BF" w:rsidRPr="009577DE" w:rsidTr="00C33D4A">
        <w:trPr>
          <w:cantSplit/>
        </w:trPr>
        <w:tc>
          <w:tcPr>
            <w:tcW w:w="874" w:type="pct"/>
            <w:tcBorders>
              <w:top w:val="nil"/>
              <w:left w:val="single" w:sz="4" w:space="0" w:color="auto"/>
              <w:bottom w:val="single" w:sz="4" w:space="0" w:color="auto"/>
            </w:tcBorders>
            <w:shd w:val="clear" w:color="auto" w:fill="auto"/>
          </w:tcPr>
          <w:p w:rsidR="00B070BF" w:rsidRPr="009577DE" w:rsidRDefault="00B070BF" w:rsidP="00C33D4A">
            <w:pPr>
              <w:widowControl w:val="0"/>
              <w:rPr>
                <w:sz w:val="16"/>
                <w:szCs w:val="16"/>
                <w:lang w:val="es-ES_tradnl" w:bidi="th-TH"/>
              </w:rPr>
            </w:pPr>
            <w:r w:rsidRPr="009577DE">
              <w:rPr>
                <w:sz w:val="16"/>
                <w:szCs w:val="16"/>
                <w:lang w:val="es-ES_tradnl" w:bidi="th-TH"/>
              </w:rPr>
              <w:t>Número de oficinas que tramitan los datos del PCT y del sistema de Madrid con el apoyo de sistemas proporcionados por la OMPI.</w:t>
            </w:r>
          </w:p>
          <w:p w:rsidR="00B070BF" w:rsidRPr="009577DE" w:rsidRDefault="00B070BF" w:rsidP="00C33D4A">
            <w:pPr>
              <w:widowControl w:val="0"/>
              <w:rPr>
                <w:sz w:val="16"/>
                <w:szCs w:val="16"/>
                <w:lang w:val="es-ES_tradnl" w:bidi="th-TH"/>
              </w:rPr>
            </w:pPr>
          </w:p>
        </w:tc>
        <w:tc>
          <w:tcPr>
            <w:tcW w:w="805" w:type="pct"/>
            <w:tcBorders>
              <w:top w:val="nil"/>
              <w:bottom w:val="single" w:sz="4" w:space="0" w:color="auto"/>
            </w:tcBorders>
            <w:shd w:val="clear" w:color="auto" w:fill="C0C0C0"/>
          </w:tcPr>
          <w:p w:rsidR="00B070BF" w:rsidRPr="009577DE" w:rsidRDefault="00B070BF" w:rsidP="00C33D4A">
            <w:pPr>
              <w:widowControl w:val="0"/>
              <w:rPr>
                <w:sz w:val="16"/>
                <w:szCs w:val="16"/>
                <w:lang w:val="es-ES_tradnl" w:bidi="th-TH"/>
              </w:rPr>
            </w:pPr>
            <w:r w:rsidRPr="009577DE">
              <w:rPr>
                <w:sz w:val="16"/>
                <w:szCs w:val="16"/>
                <w:lang w:val="es-ES_tradnl" w:bidi="th-TH"/>
              </w:rPr>
              <w:t>Por determinar.</w:t>
            </w:r>
          </w:p>
        </w:tc>
        <w:tc>
          <w:tcPr>
            <w:tcW w:w="916" w:type="pct"/>
            <w:tcBorders>
              <w:top w:val="nil"/>
              <w:bottom w:val="single" w:sz="4" w:space="0" w:color="auto"/>
            </w:tcBorders>
            <w:shd w:val="clear" w:color="auto" w:fill="auto"/>
            <w:tcMar>
              <w:top w:w="110" w:type="dxa"/>
            </w:tcMar>
          </w:tcPr>
          <w:p w:rsidR="00B070BF" w:rsidRPr="009577DE" w:rsidRDefault="00B070BF" w:rsidP="00C33D4A">
            <w:pPr>
              <w:widowControl w:val="0"/>
              <w:rPr>
                <w:sz w:val="16"/>
                <w:szCs w:val="16"/>
                <w:lang w:val="es-ES_tradnl" w:bidi="th-TH"/>
              </w:rPr>
            </w:pPr>
          </w:p>
        </w:tc>
        <w:tc>
          <w:tcPr>
            <w:tcW w:w="1848" w:type="pct"/>
            <w:tcBorders>
              <w:top w:val="nil"/>
              <w:bottom w:val="single" w:sz="4" w:space="0" w:color="auto"/>
            </w:tcBorders>
            <w:shd w:val="clear" w:color="auto" w:fill="FFFFFF"/>
            <w:tcMar>
              <w:top w:w="110" w:type="dxa"/>
            </w:tcMar>
          </w:tcPr>
          <w:p w:rsidR="00B070BF" w:rsidRPr="009577DE" w:rsidRDefault="00B070BF" w:rsidP="00C33D4A">
            <w:pPr>
              <w:widowControl w:val="0"/>
              <w:rPr>
                <w:sz w:val="16"/>
                <w:szCs w:val="16"/>
                <w:lang w:val="es-ES_tradnl" w:bidi="th-TH"/>
              </w:rPr>
            </w:pPr>
            <w:r w:rsidRPr="009577DE">
              <w:rPr>
                <w:sz w:val="16"/>
                <w:szCs w:val="16"/>
                <w:lang w:val="es-ES_tradnl" w:bidi="th-TH"/>
              </w:rPr>
              <w:t>Cuatro oficinas (PCT:  1; Madrid:  3)</w:t>
            </w:r>
          </w:p>
          <w:p w:rsidR="00B070BF" w:rsidRPr="009577DE" w:rsidRDefault="00B070BF" w:rsidP="00C33D4A">
            <w:pPr>
              <w:widowControl w:val="0"/>
              <w:rPr>
                <w:sz w:val="16"/>
                <w:szCs w:val="16"/>
                <w:lang w:val="es-ES_tradnl" w:bidi="th-TH"/>
              </w:rPr>
            </w:pPr>
          </w:p>
          <w:p w:rsidR="00B070BF" w:rsidRPr="009577DE" w:rsidRDefault="00B070BF" w:rsidP="00C33D4A">
            <w:pPr>
              <w:widowControl w:val="0"/>
              <w:rPr>
                <w:sz w:val="16"/>
                <w:szCs w:val="16"/>
                <w:lang w:val="es-ES_tradnl" w:bidi="th-TH"/>
              </w:rPr>
            </w:pPr>
          </w:p>
          <w:p w:rsidR="00B070BF" w:rsidRPr="009577DE" w:rsidRDefault="00B070BF" w:rsidP="00C33D4A">
            <w:pPr>
              <w:widowControl w:val="0"/>
              <w:rPr>
                <w:sz w:val="16"/>
                <w:szCs w:val="16"/>
                <w:lang w:val="es-ES_tradnl"/>
              </w:rPr>
            </w:pPr>
          </w:p>
        </w:tc>
        <w:tc>
          <w:tcPr>
            <w:tcW w:w="557" w:type="pct"/>
            <w:tcBorders>
              <w:top w:val="nil"/>
              <w:bottom w:val="single" w:sz="4" w:space="0" w:color="auto"/>
              <w:right w:val="single" w:sz="4" w:space="0" w:color="auto"/>
            </w:tcBorders>
            <w:shd w:val="clear" w:color="auto" w:fill="auto"/>
            <w:tcMar>
              <w:top w:w="110" w:type="dxa"/>
            </w:tcMar>
          </w:tcPr>
          <w:p w:rsidR="00B070BF" w:rsidRPr="009577DE" w:rsidRDefault="00B070BF" w:rsidP="00C33D4A">
            <w:pPr>
              <w:widowControl w:val="0"/>
              <w:jc w:val="center"/>
              <w:rPr>
                <w:b/>
                <w:bCs/>
                <w:sz w:val="16"/>
                <w:szCs w:val="16"/>
                <w:lang w:val="es-ES_tradnl"/>
              </w:rPr>
            </w:pPr>
            <w:r w:rsidRPr="009577DE">
              <w:rPr>
                <w:b/>
                <w:bCs/>
                <w:color w:val="008000"/>
                <w:sz w:val="16"/>
                <w:szCs w:val="16"/>
                <w:lang w:val="es-ES_tradnl"/>
              </w:rPr>
              <w:t>Progresa con normalidad</w:t>
            </w:r>
          </w:p>
          <w:p w:rsidR="00B070BF" w:rsidRPr="009577DE" w:rsidRDefault="00B070BF" w:rsidP="00C33D4A">
            <w:pPr>
              <w:widowControl w:val="0"/>
              <w:jc w:val="center"/>
              <w:rPr>
                <w:bCs/>
                <w:sz w:val="16"/>
                <w:szCs w:val="16"/>
                <w:lang w:val="es-ES_tradnl"/>
              </w:rPr>
            </w:pPr>
          </w:p>
        </w:tc>
      </w:tr>
      <w:tr w:rsidR="00B070BF" w:rsidRPr="009577DE" w:rsidTr="00C33D4A">
        <w:trPr>
          <w:cantSplit/>
        </w:trPr>
        <w:tc>
          <w:tcPr>
            <w:tcW w:w="5000" w:type="pct"/>
            <w:gridSpan w:val="5"/>
            <w:tcBorders>
              <w:top w:val="single" w:sz="4" w:space="0" w:color="auto"/>
              <w:left w:val="single" w:sz="4" w:space="0" w:color="auto"/>
              <w:bottom w:val="nil"/>
              <w:right w:val="single" w:sz="4" w:space="0" w:color="auto"/>
            </w:tcBorders>
            <w:shd w:val="clear" w:color="auto" w:fill="CCFFFF"/>
            <w:vAlign w:val="center"/>
          </w:tcPr>
          <w:p w:rsidR="00B070BF" w:rsidRPr="009577DE" w:rsidRDefault="00B070BF" w:rsidP="00C33D4A">
            <w:pPr>
              <w:widowControl w:val="0"/>
              <w:tabs>
                <w:tab w:val="left" w:pos="1452"/>
              </w:tabs>
              <w:spacing w:before="120" w:after="120"/>
              <w:ind w:left="1452" w:hanging="1452"/>
              <w:rPr>
                <w:b/>
                <w:bCs/>
                <w:sz w:val="16"/>
                <w:szCs w:val="16"/>
                <w:lang w:val="es-ES_tradnl"/>
              </w:rPr>
            </w:pPr>
            <w:r w:rsidRPr="009577DE">
              <w:rPr>
                <w:b/>
                <w:bCs/>
                <w:sz w:val="16"/>
                <w:szCs w:val="16"/>
                <w:lang w:val="es-ES_tradnl"/>
              </w:rPr>
              <w:t>Resultado previsto:</w:t>
            </w:r>
            <w:r w:rsidRPr="009577DE">
              <w:rPr>
                <w:b/>
                <w:bCs/>
                <w:sz w:val="16"/>
                <w:szCs w:val="16"/>
                <w:lang w:val="es-ES_tradnl"/>
              </w:rPr>
              <w:tab/>
            </w:r>
            <w:r w:rsidRPr="009577DE">
              <w:rPr>
                <w:bCs/>
                <w:sz w:val="16"/>
                <w:szCs w:val="16"/>
                <w:lang w:val="es-ES_tradnl"/>
              </w:rPr>
              <w:t xml:space="preserve"> Marcos de P.I. adaptados y equilibrados en el ámbito legislativo, regulador y de política.</w:t>
            </w:r>
            <w:r w:rsidRPr="009577DE">
              <w:rPr>
                <w:sz w:val="16"/>
                <w:szCs w:val="16"/>
                <w:lang w:val="es-ES_tradnl" w:bidi="th-TH"/>
              </w:rPr>
              <w:t xml:space="preserve">  </w:t>
            </w:r>
          </w:p>
        </w:tc>
      </w:tr>
      <w:tr w:rsidR="00B070BF" w:rsidRPr="009577DE" w:rsidTr="00C33D4A">
        <w:trPr>
          <w:cantSplit/>
        </w:trPr>
        <w:tc>
          <w:tcPr>
            <w:tcW w:w="874" w:type="pct"/>
            <w:tcBorders>
              <w:top w:val="single" w:sz="4" w:space="0" w:color="auto"/>
              <w:left w:val="single" w:sz="4" w:space="0" w:color="auto"/>
              <w:bottom w:val="nil"/>
            </w:tcBorders>
            <w:shd w:val="clear" w:color="auto" w:fill="auto"/>
            <w:vAlign w:val="center"/>
          </w:tcPr>
          <w:p w:rsidR="00B070BF" w:rsidRPr="009577DE" w:rsidRDefault="00B070BF" w:rsidP="00C33D4A">
            <w:pPr>
              <w:widowControl w:val="0"/>
              <w:spacing w:after="120"/>
              <w:rPr>
                <w:sz w:val="16"/>
                <w:szCs w:val="16"/>
                <w:lang w:val="es-ES_tradnl"/>
              </w:rPr>
            </w:pPr>
            <w:r w:rsidRPr="009577DE">
              <w:rPr>
                <w:b/>
                <w:bCs/>
                <w:sz w:val="16"/>
                <w:szCs w:val="16"/>
                <w:lang w:val="es-ES_tradnl"/>
              </w:rPr>
              <w:t>Indicadores de rendimiento</w:t>
            </w:r>
          </w:p>
        </w:tc>
        <w:tc>
          <w:tcPr>
            <w:tcW w:w="805" w:type="pct"/>
            <w:tcBorders>
              <w:top w:val="single" w:sz="4" w:space="0" w:color="auto"/>
              <w:bottom w:val="nil"/>
            </w:tcBorders>
            <w:shd w:val="clear" w:color="auto" w:fill="C0C0C0"/>
          </w:tcPr>
          <w:p w:rsidR="00B070BF" w:rsidRPr="009577DE" w:rsidRDefault="00B070BF" w:rsidP="00C33D4A">
            <w:pPr>
              <w:widowControl w:val="0"/>
              <w:spacing w:after="120"/>
              <w:rPr>
                <w:b/>
                <w:bCs/>
                <w:sz w:val="16"/>
                <w:szCs w:val="16"/>
                <w:lang w:val="es-ES_tradnl"/>
              </w:rPr>
            </w:pPr>
            <w:r w:rsidRPr="009577DE">
              <w:rPr>
                <w:b/>
                <w:bCs/>
                <w:sz w:val="16"/>
                <w:szCs w:val="16"/>
                <w:lang w:val="es-ES_tradnl"/>
              </w:rPr>
              <w:t>Referencia (</w:t>
            </w:r>
            <w:proofErr w:type="spellStart"/>
            <w:r w:rsidRPr="009577DE">
              <w:rPr>
                <w:b/>
                <w:bCs/>
                <w:sz w:val="16"/>
                <w:szCs w:val="16"/>
                <w:lang w:val="es-ES_tradnl"/>
              </w:rPr>
              <w:t>Presup</w:t>
            </w:r>
            <w:proofErr w:type="spellEnd"/>
            <w:r w:rsidRPr="009577DE">
              <w:rPr>
                <w:b/>
                <w:bCs/>
                <w:sz w:val="16"/>
                <w:szCs w:val="16"/>
                <w:lang w:val="es-ES_tradnl"/>
              </w:rPr>
              <w:t xml:space="preserve">. por </w:t>
            </w:r>
            <w:proofErr w:type="spellStart"/>
            <w:r w:rsidRPr="009577DE">
              <w:rPr>
                <w:b/>
                <w:bCs/>
                <w:sz w:val="16"/>
                <w:szCs w:val="16"/>
                <w:lang w:val="es-ES_tradnl"/>
              </w:rPr>
              <w:t>prog</w:t>
            </w:r>
            <w:proofErr w:type="spellEnd"/>
            <w:r w:rsidRPr="009577DE">
              <w:rPr>
                <w:b/>
                <w:bCs/>
                <w:sz w:val="16"/>
                <w:szCs w:val="16"/>
                <w:lang w:val="es-ES_tradnl"/>
              </w:rPr>
              <w:t>. 2012/13)</w:t>
            </w:r>
          </w:p>
        </w:tc>
        <w:tc>
          <w:tcPr>
            <w:tcW w:w="916" w:type="pct"/>
            <w:tcBorders>
              <w:top w:val="single" w:sz="4" w:space="0" w:color="auto"/>
              <w:bottom w:val="nil"/>
            </w:tcBorders>
            <w:shd w:val="clear" w:color="auto" w:fill="auto"/>
            <w:tcMar>
              <w:top w:w="110" w:type="dxa"/>
            </w:tcMar>
            <w:vAlign w:val="center"/>
          </w:tcPr>
          <w:p w:rsidR="00B070BF" w:rsidRPr="009577DE" w:rsidRDefault="00B070BF" w:rsidP="00C33D4A">
            <w:pPr>
              <w:widowControl w:val="0"/>
              <w:spacing w:after="120"/>
              <w:rPr>
                <w:b/>
                <w:sz w:val="16"/>
                <w:szCs w:val="16"/>
                <w:lang w:val="es-ES_tradnl"/>
              </w:rPr>
            </w:pPr>
            <w:r w:rsidRPr="00BF138D">
              <w:rPr>
                <w:b/>
                <w:color w:val="993300"/>
                <w:sz w:val="16"/>
                <w:szCs w:val="16"/>
                <w:lang w:val="es-ES_tradnl"/>
              </w:rPr>
              <w:t>Referencia actualizada a finales de 2011</w:t>
            </w:r>
            <w:r w:rsidRPr="009577DE">
              <w:rPr>
                <w:b/>
                <w:sz w:val="16"/>
                <w:szCs w:val="16"/>
                <w:lang w:val="es-ES_tradnl"/>
              </w:rPr>
              <w:t xml:space="preserve"> </w:t>
            </w:r>
          </w:p>
        </w:tc>
        <w:tc>
          <w:tcPr>
            <w:tcW w:w="1848" w:type="pct"/>
            <w:tcBorders>
              <w:top w:val="single" w:sz="4" w:space="0" w:color="auto"/>
              <w:bottom w:val="nil"/>
            </w:tcBorders>
            <w:shd w:val="clear" w:color="auto" w:fill="FFFFFF"/>
            <w:tcMar>
              <w:top w:w="110" w:type="dxa"/>
            </w:tcMar>
            <w:vAlign w:val="center"/>
          </w:tcPr>
          <w:p w:rsidR="00B070BF" w:rsidRPr="009577DE" w:rsidRDefault="00B070BF" w:rsidP="00C33D4A">
            <w:pPr>
              <w:widowControl w:val="0"/>
              <w:spacing w:after="120"/>
              <w:rPr>
                <w:sz w:val="16"/>
                <w:szCs w:val="16"/>
                <w:lang w:val="es-ES_tradnl"/>
              </w:rPr>
            </w:pPr>
            <w:r w:rsidRPr="009577DE">
              <w:rPr>
                <w:b/>
                <w:bCs/>
                <w:sz w:val="16"/>
                <w:szCs w:val="16"/>
                <w:lang w:val="es-ES_tradnl"/>
              </w:rPr>
              <w:t>Datos sobre el rendimiento</w:t>
            </w:r>
          </w:p>
        </w:tc>
        <w:tc>
          <w:tcPr>
            <w:tcW w:w="557" w:type="pct"/>
            <w:tcBorders>
              <w:top w:val="single" w:sz="4" w:space="0" w:color="auto"/>
              <w:bottom w:val="nil"/>
              <w:right w:val="single" w:sz="4" w:space="0" w:color="auto"/>
            </w:tcBorders>
            <w:shd w:val="clear" w:color="auto" w:fill="auto"/>
            <w:tcMar>
              <w:top w:w="110" w:type="dxa"/>
            </w:tcMar>
            <w:vAlign w:val="center"/>
          </w:tcPr>
          <w:p w:rsidR="00B070BF" w:rsidRPr="009577DE" w:rsidRDefault="00B070BF" w:rsidP="00C33D4A">
            <w:pPr>
              <w:widowControl w:val="0"/>
              <w:spacing w:after="120"/>
              <w:jc w:val="center"/>
              <w:rPr>
                <w:b/>
                <w:bCs/>
                <w:sz w:val="16"/>
                <w:szCs w:val="16"/>
                <w:lang w:val="es-ES_tradnl"/>
              </w:rPr>
            </w:pPr>
            <w:r w:rsidRPr="009577DE">
              <w:rPr>
                <w:b/>
                <w:bCs/>
                <w:sz w:val="16"/>
                <w:szCs w:val="16"/>
                <w:lang w:val="es-ES_tradnl"/>
              </w:rPr>
              <w:t>Clave de colores</w:t>
            </w:r>
          </w:p>
        </w:tc>
      </w:tr>
      <w:tr w:rsidR="00B070BF" w:rsidRPr="009577DE" w:rsidTr="00C33D4A">
        <w:trPr>
          <w:cantSplit/>
        </w:trPr>
        <w:tc>
          <w:tcPr>
            <w:tcW w:w="874" w:type="pct"/>
            <w:tcBorders>
              <w:top w:val="nil"/>
              <w:left w:val="single" w:sz="4" w:space="0" w:color="auto"/>
              <w:bottom w:val="single" w:sz="4" w:space="0" w:color="auto"/>
            </w:tcBorders>
            <w:shd w:val="clear" w:color="auto" w:fill="auto"/>
          </w:tcPr>
          <w:p w:rsidR="00B070BF" w:rsidRPr="009577DE" w:rsidRDefault="00B070BF" w:rsidP="00C33D4A">
            <w:pPr>
              <w:widowControl w:val="0"/>
              <w:rPr>
                <w:sz w:val="16"/>
                <w:szCs w:val="16"/>
                <w:lang w:val="es-ES_tradnl" w:bidi="th-TH"/>
              </w:rPr>
            </w:pPr>
            <w:r w:rsidRPr="009577DE">
              <w:rPr>
                <w:sz w:val="16"/>
                <w:szCs w:val="16"/>
                <w:lang w:val="es-ES_tradnl" w:bidi="th-TH"/>
              </w:rPr>
              <w:t xml:space="preserve">Número de países que cuentan con legislación y/o reglamentos sobre P.I. actualizados. </w:t>
            </w:r>
          </w:p>
        </w:tc>
        <w:tc>
          <w:tcPr>
            <w:tcW w:w="805" w:type="pct"/>
            <w:tcBorders>
              <w:top w:val="nil"/>
              <w:bottom w:val="single" w:sz="4" w:space="0" w:color="auto"/>
            </w:tcBorders>
            <w:shd w:val="clear" w:color="auto" w:fill="C0C0C0"/>
          </w:tcPr>
          <w:p w:rsidR="00B070BF" w:rsidRPr="009577DE" w:rsidRDefault="00B070BF" w:rsidP="00C33D4A">
            <w:pPr>
              <w:widowControl w:val="0"/>
              <w:rPr>
                <w:sz w:val="16"/>
                <w:szCs w:val="16"/>
                <w:lang w:val="es-ES_tradnl" w:bidi="th-TH"/>
              </w:rPr>
            </w:pPr>
            <w:r w:rsidRPr="009577DE">
              <w:rPr>
                <w:sz w:val="16"/>
                <w:szCs w:val="16"/>
                <w:lang w:val="es-ES_tradnl" w:bidi="th-TH"/>
              </w:rPr>
              <w:t>Ocho países (2008/09)</w:t>
            </w:r>
          </w:p>
        </w:tc>
        <w:tc>
          <w:tcPr>
            <w:tcW w:w="916" w:type="pct"/>
            <w:tcBorders>
              <w:top w:val="nil"/>
              <w:bottom w:val="single" w:sz="4" w:space="0" w:color="auto"/>
            </w:tcBorders>
            <w:shd w:val="clear" w:color="auto" w:fill="auto"/>
            <w:tcMar>
              <w:top w:w="110" w:type="dxa"/>
            </w:tcMar>
          </w:tcPr>
          <w:p w:rsidR="00B070BF" w:rsidRPr="009577DE" w:rsidRDefault="00B070BF" w:rsidP="00C33D4A">
            <w:pPr>
              <w:widowControl w:val="0"/>
              <w:rPr>
                <w:sz w:val="16"/>
                <w:szCs w:val="16"/>
                <w:lang w:val="es-ES_tradnl" w:bidi="th-TH"/>
              </w:rPr>
            </w:pPr>
            <w:r w:rsidRPr="00F2661C">
              <w:rPr>
                <w:color w:val="993300"/>
                <w:sz w:val="16"/>
                <w:szCs w:val="16"/>
                <w:lang w:val="es-ES_tradnl" w:bidi="th-TH"/>
              </w:rPr>
              <w:t>Diez países</w:t>
            </w:r>
          </w:p>
        </w:tc>
        <w:tc>
          <w:tcPr>
            <w:tcW w:w="1848" w:type="pct"/>
            <w:tcBorders>
              <w:top w:val="nil"/>
              <w:bottom w:val="single" w:sz="4" w:space="0" w:color="auto"/>
            </w:tcBorders>
            <w:shd w:val="clear" w:color="auto" w:fill="FFFFFF"/>
            <w:tcMar>
              <w:top w:w="110" w:type="dxa"/>
            </w:tcMar>
          </w:tcPr>
          <w:p w:rsidR="00B070BF" w:rsidRPr="009577DE" w:rsidRDefault="00B070BF" w:rsidP="00C33D4A">
            <w:pPr>
              <w:widowControl w:val="0"/>
              <w:spacing w:after="80"/>
              <w:rPr>
                <w:bCs/>
                <w:sz w:val="16"/>
                <w:szCs w:val="16"/>
                <w:lang w:val="es-ES_tradnl" w:bidi="th-TH"/>
              </w:rPr>
            </w:pPr>
            <w:r w:rsidRPr="009577DE">
              <w:rPr>
                <w:bCs/>
                <w:sz w:val="16"/>
                <w:szCs w:val="16"/>
                <w:lang w:val="es-ES_tradnl" w:bidi="th-TH"/>
              </w:rPr>
              <w:t xml:space="preserve">Cuatro países modificaron su legislación nacional para armonizarla con los tratados internacionales en materia de P.I. y los planes nacionales de desarrollo:  Albania, </w:t>
            </w:r>
            <w:proofErr w:type="spellStart"/>
            <w:r w:rsidRPr="009577DE">
              <w:rPr>
                <w:bCs/>
                <w:sz w:val="16"/>
                <w:szCs w:val="16"/>
                <w:lang w:val="es-ES_tradnl" w:bidi="th-TH"/>
              </w:rPr>
              <w:t>Belarús</w:t>
            </w:r>
            <w:proofErr w:type="spellEnd"/>
            <w:r w:rsidRPr="009577DE">
              <w:rPr>
                <w:bCs/>
                <w:sz w:val="16"/>
                <w:szCs w:val="16"/>
                <w:lang w:val="es-ES_tradnl" w:bidi="th-TH"/>
              </w:rPr>
              <w:t>, Bosnia y Herzegovina y Rumania.</w:t>
            </w:r>
          </w:p>
          <w:p w:rsidR="00B070BF" w:rsidRPr="009577DE" w:rsidRDefault="00B070BF" w:rsidP="00C33D4A">
            <w:pPr>
              <w:widowControl w:val="0"/>
              <w:spacing w:after="80"/>
              <w:rPr>
                <w:bCs/>
                <w:sz w:val="16"/>
                <w:szCs w:val="16"/>
                <w:lang w:val="es-ES_tradnl" w:bidi="th-TH"/>
              </w:rPr>
            </w:pPr>
            <w:r w:rsidRPr="009577DE">
              <w:rPr>
                <w:bCs/>
                <w:sz w:val="16"/>
                <w:szCs w:val="16"/>
                <w:lang w:val="es-ES_tradnl" w:bidi="th-TH"/>
              </w:rPr>
              <w:t xml:space="preserve">Seis países tenían previsto efectuar modificaciones:  Eslovenia, Estonia, la Federación de Rusia, Letonia, </w:t>
            </w:r>
            <w:proofErr w:type="spellStart"/>
            <w:r w:rsidRPr="009577DE">
              <w:rPr>
                <w:bCs/>
                <w:sz w:val="16"/>
                <w:szCs w:val="16"/>
                <w:lang w:val="es-ES_tradnl" w:bidi="th-TH"/>
              </w:rPr>
              <w:t>Moldova</w:t>
            </w:r>
            <w:proofErr w:type="spellEnd"/>
            <w:r w:rsidRPr="009577DE">
              <w:rPr>
                <w:bCs/>
                <w:sz w:val="16"/>
                <w:szCs w:val="16"/>
                <w:lang w:val="es-ES_tradnl" w:bidi="th-TH"/>
              </w:rPr>
              <w:t xml:space="preserve"> y Serbia.</w:t>
            </w:r>
          </w:p>
          <w:p w:rsidR="00B070BF" w:rsidRPr="009577DE" w:rsidRDefault="00B070BF" w:rsidP="00C33D4A">
            <w:pPr>
              <w:widowControl w:val="0"/>
              <w:spacing w:after="80"/>
              <w:rPr>
                <w:sz w:val="16"/>
                <w:szCs w:val="16"/>
                <w:lang w:val="es-ES_tradnl"/>
              </w:rPr>
            </w:pPr>
          </w:p>
        </w:tc>
        <w:tc>
          <w:tcPr>
            <w:tcW w:w="557" w:type="pct"/>
            <w:tcBorders>
              <w:top w:val="nil"/>
              <w:bottom w:val="single" w:sz="4" w:space="0" w:color="auto"/>
              <w:right w:val="single" w:sz="4" w:space="0" w:color="auto"/>
            </w:tcBorders>
            <w:shd w:val="clear" w:color="auto" w:fill="auto"/>
            <w:tcMar>
              <w:top w:w="110" w:type="dxa"/>
            </w:tcMar>
          </w:tcPr>
          <w:p w:rsidR="00B070BF" w:rsidRPr="009577DE" w:rsidRDefault="00B070BF" w:rsidP="00C33D4A">
            <w:pPr>
              <w:widowControl w:val="0"/>
              <w:jc w:val="center"/>
              <w:rPr>
                <w:b/>
                <w:bCs/>
                <w:sz w:val="16"/>
                <w:szCs w:val="16"/>
                <w:lang w:val="es-ES_tradnl"/>
              </w:rPr>
            </w:pPr>
            <w:r w:rsidRPr="009577DE">
              <w:rPr>
                <w:b/>
                <w:bCs/>
                <w:color w:val="008000"/>
                <w:sz w:val="16"/>
                <w:szCs w:val="16"/>
                <w:lang w:val="es-ES_tradnl"/>
              </w:rPr>
              <w:t>Progresa con normalidad</w:t>
            </w:r>
          </w:p>
          <w:p w:rsidR="00B070BF" w:rsidRPr="009577DE" w:rsidRDefault="00B070BF" w:rsidP="00C33D4A">
            <w:pPr>
              <w:widowControl w:val="0"/>
              <w:jc w:val="center"/>
              <w:rPr>
                <w:bCs/>
                <w:sz w:val="16"/>
                <w:szCs w:val="16"/>
                <w:lang w:val="es-ES_tradnl"/>
              </w:rPr>
            </w:pPr>
          </w:p>
          <w:p w:rsidR="00B070BF" w:rsidRPr="009577DE" w:rsidRDefault="00B070BF" w:rsidP="00C33D4A">
            <w:pPr>
              <w:widowControl w:val="0"/>
              <w:jc w:val="center"/>
              <w:rPr>
                <w:bCs/>
                <w:sz w:val="16"/>
                <w:szCs w:val="16"/>
                <w:lang w:val="es-ES_tradnl"/>
              </w:rPr>
            </w:pPr>
          </w:p>
        </w:tc>
      </w:tr>
      <w:tr w:rsidR="00B070BF" w:rsidRPr="009577DE" w:rsidTr="00C33D4A">
        <w:trPr>
          <w:cantSplit/>
          <w:trHeight w:val="1640"/>
        </w:trPr>
        <w:tc>
          <w:tcPr>
            <w:tcW w:w="874" w:type="pct"/>
            <w:tcBorders>
              <w:top w:val="single" w:sz="4" w:space="0" w:color="auto"/>
              <w:left w:val="single" w:sz="4" w:space="0" w:color="auto"/>
              <w:bottom w:val="nil"/>
            </w:tcBorders>
            <w:shd w:val="clear" w:color="auto" w:fill="auto"/>
          </w:tcPr>
          <w:p w:rsidR="00B070BF" w:rsidRPr="009577DE" w:rsidRDefault="00B070BF" w:rsidP="00C33D4A">
            <w:pPr>
              <w:widowControl w:val="0"/>
              <w:rPr>
                <w:sz w:val="16"/>
                <w:szCs w:val="16"/>
                <w:lang w:val="es-ES_tradnl" w:bidi="th-TH"/>
              </w:rPr>
            </w:pPr>
            <w:r w:rsidRPr="009577DE">
              <w:rPr>
                <w:sz w:val="16"/>
                <w:szCs w:val="16"/>
                <w:lang w:val="es-ES_tradnl" w:bidi="th-TH"/>
              </w:rPr>
              <w:lastRenderedPageBreak/>
              <w:t>Índole y número de veces que se prestó asesoramiento legislativo a los Estados miembros en relación con las patentes, los modelos de utilidad, los secretos comerciales y los circuitos integrados.</w:t>
            </w:r>
          </w:p>
        </w:tc>
        <w:tc>
          <w:tcPr>
            <w:tcW w:w="805" w:type="pct"/>
            <w:tcBorders>
              <w:top w:val="single" w:sz="4" w:space="0" w:color="auto"/>
              <w:bottom w:val="nil"/>
            </w:tcBorders>
            <w:shd w:val="clear" w:color="auto" w:fill="C0C0C0"/>
          </w:tcPr>
          <w:p w:rsidR="00B070BF" w:rsidRPr="009577DE" w:rsidRDefault="00B070BF" w:rsidP="00C33D4A">
            <w:pPr>
              <w:widowControl w:val="0"/>
              <w:rPr>
                <w:sz w:val="16"/>
                <w:szCs w:val="16"/>
                <w:lang w:val="es-ES_tradnl" w:bidi="th-TH"/>
              </w:rPr>
            </w:pPr>
            <w:r w:rsidRPr="009577DE">
              <w:rPr>
                <w:sz w:val="16"/>
                <w:szCs w:val="16"/>
                <w:lang w:val="es-ES_tradnl" w:bidi="th-TH"/>
              </w:rPr>
              <w:t>Por determinar.</w:t>
            </w:r>
          </w:p>
        </w:tc>
        <w:tc>
          <w:tcPr>
            <w:tcW w:w="916" w:type="pct"/>
            <w:tcBorders>
              <w:top w:val="single" w:sz="4" w:space="0" w:color="auto"/>
              <w:bottom w:val="nil"/>
            </w:tcBorders>
            <w:shd w:val="clear" w:color="auto" w:fill="auto"/>
            <w:tcMar>
              <w:top w:w="110" w:type="dxa"/>
            </w:tcMar>
          </w:tcPr>
          <w:p w:rsidR="00B070BF" w:rsidRPr="009577DE" w:rsidRDefault="00B070BF" w:rsidP="00C33D4A">
            <w:pPr>
              <w:widowControl w:val="0"/>
              <w:rPr>
                <w:sz w:val="16"/>
                <w:szCs w:val="16"/>
                <w:lang w:val="es-ES_tradnl" w:bidi="th-TH"/>
              </w:rPr>
            </w:pPr>
          </w:p>
        </w:tc>
        <w:tc>
          <w:tcPr>
            <w:tcW w:w="1848" w:type="pct"/>
            <w:tcBorders>
              <w:top w:val="single" w:sz="4" w:space="0" w:color="auto"/>
              <w:bottom w:val="nil"/>
            </w:tcBorders>
            <w:shd w:val="clear" w:color="auto" w:fill="FFFFFF"/>
            <w:tcMar>
              <w:top w:w="110" w:type="dxa"/>
            </w:tcMar>
          </w:tcPr>
          <w:p w:rsidR="00B070BF" w:rsidRPr="009577DE" w:rsidRDefault="00B070BF" w:rsidP="00C33D4A">
            <w:pPr>
              <w:widowControl w:val="0"/>
              <w:rPr>
                <w:sz w:val="16"/>
                <w:szCs w:val="16"/>
                <w:lang w:val="es-ES_tradnl"/>
              </w:rPr>
            </w:pPr>
            <w:r w:rsidRPr="009577DE">
              <w:rPr>
                <w:sz w:val="16"/>
                <w:szCs w:val="16"/>
                <w:lang w:val="es-ES_tradnl" w:bidi="th-TH"/>
              </w:rPr>
              <w:t>Ninguna</w:t>
            </w:r>
          </w:p>
          <w:p w:rsidR="00B070BF" w:rsidRPr="009577DE" w:rsidRDefault="00B070BF" w:rsidP="00C33D4A">
            <w:pPr>
              <w:widowControl w:val="0"/>
              <w:rPr>
                <w:sz w:val="16"/>
                <w:szCs w:val="16"/>
                <w:lang w:val="es-ES_tradnl"/>
              </w:rPr>
            </w:pPr>
          </w:p>
        </w:tc>
        <w:tc>
          <w:tcPr>
            <w:tcW w:w="557" w:type="pct"/>
            <w:tcBorders>
              <w:top w:val="single" w:sz="4" w:space="0" w:color="auto"/>
              <w:bottom w:val="nil"/>
              <w:right w:val="single" w:sz="4" w:space="0" w:color="auto"/>
            </w:tcBorders>
            <w:shd w:val="clear" w:color="auto" w:fill="auto"/>
            <w:tcMar>
              <w:top w:w="110" w:type="dxa"/>
            </w:tcMar>
          </w:tcPr>
          <w:p w:rsidR="00B070BF" w:rsidRPr="009577DE" w:rsidRDefault="00B070BF" w:rsidP="00C33D4A">
            <w:pPr>
              <w:widowControl w:val="0"/>
              <w:jc w:val="center"/>
              <w:rPr>
                <w:b/>
                <w:bCs/>
                <w:sz w:val="16"/>
                <w:szCs w:val="16"/>
                <w:lang w:val="es-ES_tradnl"/>
              </w:rPr>
            </w:pPr>
            <w:r w:rsidRPr="009577DE">
              <w:rPr>
                <w:b/>
                <w:bCs/>
                <w:color w:val="FF0000"/>
                <w:sz w:val="16"/>
                <w:szCs w:val="16"/>
                <w:lang w:val="es-ES_tradnl"/>
              </w:rPr>
              <w:t>Sin avances significativos</w:t>
            </w:r>
          </w:p>
          <w:p w:rsidR="00B070BF" w:rsidRPr="009577DE" w:rsidRDefault="00B070BF" w:rsidP="00C33D4A">
            <w:pPr>
              <w:widowControl w:val="0"/>
              <w:jc w:val="center"/>
              <w:rPr>
                <w:bCs/>
                <w:sz w:val="16"/>
                <w:szCs w:val="16"/>
                <w:lang w:val="es-ES_tradnl"/>
              </w:rPr>
            </w:pPr>
          </w:p>
          <w:p w:rsidR="00B070BF" w:rsidRPr="009577DE" w:rsidRDefault="00B070BF" w:rsidP="00C33D4A">
            <w:pPr>
              <w:widowControl w:val="0"/>
              <w:jc w:val="center"/>
              <w:rPr>
                <w:bCs/>
                <w:sz w:val="16"/>
                <w:szCs w:val="16"/>
                <w:lang w:val="es-ES_tradnl"/>
              </w:rPr>
            </w:pPr>
          </w:p>
        </w:tc>
      </w:tr>
      <w:tr w:rsidR="00B070BF" w:rsidRPr="009577DE" w:rsidTr="00C33D4A">
        <w:trPr>
          <w:cantSplit/>
        </w:trPr>
        <w:tc>
          <w:tcPr>
            <w:tcW w:w="874" w:type="pct"/>
            <w:tcBorders>
              <w:top w:val="nil"/>
              <w:left w:val="single" w:sz="4" w:space="0" w:color="auto"/>
              <w:bottom w:val="nil"/>
            </w:tcBorders>
            <w:shd w:val="clear" w:color="auto" w:fill="auto"/>
          </w:tcPr>
          <w:p w:rsidR="00B070BF" w:rsidRPr="009577DE" w:rsidRDefault="00B070BF" w:rsidP="00C33D4A">
            <w:pPr>
              <w:widowControl w:val="0"/>
              <w:rPr>
                <w:sz w:val="16"/>
                <w:szCs w:val="16"/>
                <w:lang w:val="es-ES_tradnl" w:bidi="th-TH"/>
              </w:rPr>
            </w:pPr>
            <w:r w:rsidRPr="009577DE">
              <w:rPr>
                <w:sz w:val="16"/>
                <w:szCs w:val="16"/>
                <w:lang w:val="es-ES_tradnl" w:bidi="th-TH"/>
              </w:rPr>
              <w:t>Número de países que consideraron útil el asesoramiento en materia legislativa relacionado con las patentes, los modelos de utilidad, los secretos comerciales y los circuitos integrados.</w:t>
            </w:r>
          </w:p>
          <w:p w:rsidR="00B070BF" w:rsidRPr="009577DE" w:rsidRDefault="00B070BF" w:rsidP="00C33D4A">
            <w:pPr>
              <w:widowControl w:val="0"/>
              <w:rPr>
                <w:sz w:val="16"/>
                <w:szCs w:val="16"/>
                <w:lang w:val="es-ES_tradnl" w:bidi="th-TH"/>
              </w:rPr>
            </w:pPr>
          </w:p>
        </w:tc>
        <w:tc>
          <w:tcPr>
            <w:tcW w:w="805" w:type="pct"/>
            <w:tcBorders>
              <w:top w:val="nil"/>
              <w:bottom w:val="nil"/>
            </w:tcBorders>
            <w:shd w:val="clear" w:color="auto" w:fill="C0C0C0"/>
          </w:tcPr>
          <w:p w:rsidR="00B070BF" w:rsidRPr="009577DE" w:rsidRDefault="00B070BF" w:rsidP="00C33D4A">
            <w:pPr>
              <w:widowControl w:val="0"/>
              <w:rPr>
                <w:sz w:val="16"/>
                <w:szCs w:val="16"/>
                <w:lang w:val="es-ES_tradnl" w:bidi="th-TH"/>
              </w:rPr>
            </w:pPr>
            <w:r w:rsidRPr="009577DE">
              <w:rPr>
                <w:sz w:val="16"/>
                <w:szCs w:val="16"/>
                <w:lang w:val="es-ES_tradnl" w:bidi="th-TH"/>
              </w:rPr>
              <w:t>No se dispone de datos.</w:t>
            </w:r>
          </w:p>
        </w:tc>
        <w:tc>
          <w:tcPr>
            <w:tcW w:w="916" w:type="pct"/>
            <w:tcBorders>
              <w:top w:val="nil"/>
              <w:bottom w:val="nil"/>
            </w:tcBorders>
            <w:shd w:val="clear" w:color="auto" w:fill="auto"/>
            <w:tcMar>
              <w:top w:w="110" w:type="dxa"/>
            </w:tcMar>
          </w:tcPr>
          <w:p w:rsidR="00B070BF" w:rsidRPr="009577DE" w:rsidRDefault="00B070BF" w:rsidP="00C33D4A">
            <w:pPr>
              <w:widowControl w:val="0"/>
              <w:rPr>
                <w:sz w:val="16"/>
                <w:szCs w:val="16"/>
                <w:lang w:val="es-ES_tradnl" w:bidi="th-TH"/>
              </w:rPr>
            </w:pPr>
          </w:p>
        </w:tc>
        <w:tc>
          <w:tcPr>
            <w:tcW w:w="1848" w:type="pct"/>
            <w:tcBorders>
              <w:top w:val="nil"/>
              <w:bottom w:val="nil"/>
            </w:tcBorders>
            <w:shd w:val="clear" w:color="auto" w:fill="FFFFFF"/>
            <w:tcMar>
              <w:top w:w="110" w:type="dxa"/>
            </w:tcMar>
          </w:tcPr>
          <w:p w:rsidR="00B070BF" w:rsidRPr="009577DE" w:rsidRDefault="00B070BF" w:rsidP="00C33D4A">
            <w:pPr>
              <w:widowControl w:val="0"/>
              <w:rPr>
                <w:sz w:val="16"/>
                <w:szCs w:val="16"/>
                <w:lang w:val="es-ES_tradnl"/>
              </w:rPr>
            </w:pPr>
            <w:r w:rsidRPr="009577DE">
              <w:rPr>
                <w:sz w:val="16"/>
                <w:szCs w:val="16"/>
                <w:lang w:val="es-ES_tradnl" w:bidi="th-TH"/>
              </w:rPr>
              <w:t>No disponible</w:t>
            </w:r>
          </w:p>
          <w:p w:rsidR="00B070BF" w:rsidRPr="009577DE" w:rsidRDefault="00B070BF" w:rsidP="00C33D4A">
            <w:pPr>
              <w:widowControl w:val="0"/>
              <w:rPr>
                <w:sz w:val="16"/>
                <w:szCs w:val="16"/>
                <w:lang w:val="es-ES_tradnl"/>
              </w:rPr>
            </w:pPr>
          </w:p>
        </w:tc>
        <w:tc>
          <w:tcPr>
            <w:tcW w:w="557" w:type="pct"/>
            <w:tcBorders>
              <w:top w:val="nil"/>
              <w:bottom w:val="nil"/>
              <w:right w:val="single" w:sz="4" w:space="0" w:color="auto"/>
            </w:tcBorders>
            <w:shd w:val="clear" w:color="auto" w:fill="auto"/>
            <w:tcMar>
              <w:top w:w="110" w:type="dxa"/>
            </w:tcMar>
          </w:tcPr>
          <w:p w:rsidR="00B070BF" w:rsidRPr="009577DE" w:rsidRDefault="00B070BF" w:rsidP="00C33D4A">
            <w:pPr>
              <w:widowControl w:val="0"/>
              <w:jc w:val="center"/>
              <w:rPr>
                <w:b/>
                <w:bCs/>
                <w:sz w:val="16"/>
                <w:szCs w:val="16"/>
                <w:lang w:val="es-ES_tradnl"/>
              </w:rPr>
            </w:pPr>
            <w:r w:rsidRPr="009577DE">
              <w:rPr>
                <w:b/>
                <w:bCs/>
                <w:sz w:val="16"/>
                <w:szCs w:val="16"/>
                <w:lang w:val="es-ES_tradnl"/>
              </w:rPr>
              <w:t>No disponible para 2012</w:t>
            </w:r>
          </w:p>
          <w:p w:rsidR="00B070BF" w:rsidRPr="009577DE" w:rsidRDefault="00B070BF" w:rsidP="00C33D4A">
            <w:pPr>
              <w:widowControl w:val="0"/>
              <w:jc w:val="center"/>
              <w:rPr>
                <w:bCs/>
                <w:sz w:val="16"/>
                <w:szCs w:val="16"/>
                <w:lang w:val="es-ES_tradnl"/>
              </w:rPr>
            </w:pPr>
          </w:p>
        </w:tc>
      </w:tr>
      <w:tr w:rsidR="00B070BF" w:rsidRPr="009577DE" w:rsidTr="00C33D4A">
        <w:trPr>
          <w:cantSplit/>
        </w:trPr>
        <w:tc>
          <w:tcPr>
            <w:tcW w:w="874" w:type="pct"/>
            <w:tcBorders>
              <w:top w:val="nil"/>
              <w:left w:val="single" w:sz="4" w:space="0" w:color="auto"/>
              <w:bottom w:val="nil"/>
            </w:tcBorders>
            <w:shd w:val="clear" w:color="auto" w:fill="auto"/>
          </w:tcPr>
          <w:p w:rsidR="00B070BF" w:rsidRPr="009577DE" w:rsidRDefault="00B070BF" w:rsidP="00C33D4A">
            <w:pPr>
              <w:widowControl w:val="0"/>
              <w:rPr>
                <w:sz w:val="16"/>
                <w:szCs w:val="16"/>
                <w:lang w:val="es-ES_tradnl" w:bidi="th-TH"/>
              </w:rPr>
            </w:pPr>
            <w:r w:rsidRPr="009577DE">
              <w:rPr>
                <w:sz w:val="16"/>
                <w:szCs w:val="16"/>
                <w:lang w:val="es-ES_tradnl" w:bidi="th-TH"/>
              </w:rPr>
              <w:t>Porcentaje de países que consideraron útil la información proporcionada en relación con los principios y prácticas del sistema de patentes, y ello incluye las flexibilidades que ofrece el sistema y los desafíos que se plantean en la materia.</w:t>
            </w:r>
          </w:p>
          <w:p w:rsidR="00B070BF" w:rsidRPr="009577DE" w:rsidRDefault="00B070BF" w:rsidP="00C33D4A">
            <w:pPr>
              <w:widowControl w:val="0"/>
              <w:rPr>
                <w:sz w:val="16"/>
                <w:szCs w:val="16"/>
                <w:lang w:val="es-ES_tradnl" w:bidi="th-TH"/>
              </w:rPr>
            </w:pPr>
          </w:p>
        </w:tc>
        <w:tc>
          <w:tcPr>
            <w:tcW w:w="805" w:type="pct"/>
            <w:tcBorders>
              <w:top w:val="nil"/>
              <w:bottom w:val="nil"/>
            </w:tcBorders>
            <w:shd w:val="clear" w:color="auto" w:fill="C0C0C0"/>
          </w:tcPr>
          <w:p w:rsidR="00B070BF" w:rsidRPr="009577DE" w:rsidRDefault="00B070BF" w:rsidP="00C33D4A">
            <w:pPr>
              <w:widowControl w:val="0"/>
              <w:rPr>
                <w:sz w:val="16"/>
                <w:szCs w:val="16"/>
                <w:lang w:val="es-ES_tradnl" w:bidi="th-TH"/>
              </w:rPr>
            </w:pPr>
            <w:r w:rsidRPr="009577DE">
              <w:rPr>
                <w:sz w:val="16"/>
                <w:szCs w:val="16"/>
                <w:lang w:val="es-ES_tradnl" w:bidi="th-TH"/>
              </w:rPr>
              <w:t>No se dispone de datos.</w:t>
            </w:r>
          </w:p>
        </w:tc>
        <w:tc>
          <w:tcPr>
            <w:tcW w:w="916" w:type="pct"/>
            <w:tcBorders>
              <w:top w:val="nil"/>
              <w:bottom w:val="nil"/>
            </w:tcBorders>
            <w:shd w:val="clear" w:color="auto" w:fill="auto"/>
            <w:tcMar>
              <w:top w:w="110" w:type="dxa"/>
            </w:tcMar>
          </w:tcPr>
          <w:p w:rsidR="00B070BF" w:rsidRPr="009577DE" w:rsidRDefault="00B070BF" w:rsidP="00C33D4A">
            <w:pPr>
              <w:widowControl w:val="0"/>
              <w:rPr>
                <w:sz w:val="16"/>
                <w:szCs w:val="16"/>
                <w:lang w:val="es-ES_tradnl" w:bidi="th-TH"/>
              </w:rPr>
            </w:pPr>
            <w:r w:rsidRPr="00F2661C">
              <w:rPr>
                <w:color w:val="993300"/>
                <w:sz w:val="16"/>
                <w:szCs w:val="16"/>
                <w:lang w:val="es-ES_tradnl" w:bidi="th-TH"/>
              </w:rPr>
              <w:t xml:space="preserve">Los informes del SCP y del CDIP permiten conocer las opiniones de los Estados miembros (no se dispone de estadísticas).  </w:t>
            </w:r>
          </w:p>
        </w:tc>
        <w:tc>
          <w:tcPr>
            <w:tcW w:w="1848" w:type="pct"/>
            <w:tcBorders>
              <w:top w:val="nil"/>
              <w:bottom w:val="nil"/>
            </w:tcBorders>
            <w:shd w:val="clear" w:color="auto" w:fill="FFFFFF"/>
            <w:tcMar>
              <w:top w:w="110" w:type="dxa"/>
            </w:tcMar>
          </w:tcPr>
          <w:p w:rsidR="00B070BF" w:rsidRPr="009577DE" w:rsidRDefault="00B070BF" w:rsidP="00C33D4A">
            <w:pPr>
              <w:widowControl w:val="0"/>
              <w:rPr>
                <w:sz w:val="16"/>
                <w:szCs w:val="16"/>
                <w:lang w:val="es-ES_tradnl" w:bidi="th-TH"/>
              </w:rPr>
            </w:pPr>
            <w:r w:rsidRPr="009577DE">
              <w:rPr>
                <w:sz w:val="16"/>
                <w:szCs w:val="16"/>
                <w:lang w:val="es-ES_tradnl" w:bidi="th-TH"/>
              </w:rPr>
              <w:t>La mayoría de los Estados miembros expresó su satisfacción con la calidad de la información proporcionada.</w:t>
            </w:r>
          </w:p>
        </w:tc>
        <w:tc>
          <w:tcPr>
            <w:tcW w:w="557" w:type="pct"/>
            <w:tcBorders>
              <w:top w:val="nil"/>
              <w:bottom w:val="nil"/>
              <w:right w:val="single" w:sz="4" w:space="0" w:color="auto"/>
            </w:tcBorders>
            <w:shd w:val="clear" w:color="auto" w:fill="auto"/>
            <w:tcMar>
              <w:top w:w="110" w:type="dxa"/>
            </w:tcMar>
          </w:tcPr>
          <w:p w:rsidR="00B070BF" w:rsidRPr="009577DE" w:rsidRDefault="00B070BF" w:rsidP="00C33D4A">
            <w:pPr>
              <w:widowControl w:val="0"/>
              <w:jc w:val="center"/>
              <w:rPr>
                <w:b/>
                <w:bCs/>
                <w:sz w:val="16"/>
                <w:szCs w:val="16"/>
                <w:lang w:val="es-ES_tradnl"/>
              </w:rPr>
            </w:pPr>
            <w:r w:rsidRPr="009577DE">
              <w:rPr>
                <w:b/>
                <w:bCs/>
                <w:color w:val="008000"/>
                <w:sz w:val="16"/>
                <w:szCs w:val="16"/>
                <w:lang w:val="es-ES_tradnl"/>
              </w:rPr>
              <w:t>Progresa con normalidad</w:t>
            </w:r>
          </w:p>
          <w:p w:rsidR="00B070BF" w:rsidRPr="009577DE" w:rsidRDefault="00B070BF" w:rsidP="00C33D4A">
            <w:pPr>
              <w:widowControl w:val="0"/>
              <w:jc w:val="center"/>
              <w:rPr>
                <w:bCs/>
                <w:sz w:val="16"/>
                <w:szCs w:val="16"/>
                <w:lang w:val="es-ES_tradnl"/>
              </w:rPr>
            </w:pPr>
          </w:p>
          <w:p w:rsidR="00B070BF" w:rsidRPr="009577DE" w:rsidRDefault="00B070BF" w:rsidP="00C33D4A">
            <w:pPr>
              <w:widowControl w:val="0"/>
              <w:jc w:val="center"/>
              <w:rPr>
                <w:bCs/>
                <w:sz w:val="16"/>
                <w:szCs w:val="16"/>
                <w:lang w:val="es-ES_tradnl"/>
              </w:rPr>
            </w:pPr>
          </w:p>
        </w:tc>
      </w:tr>
      <w:tr w:rsidR="00B070BF" w:rsidRPr="009577DE" w:rsidTr="00C33D4A">
        <w:trPr>
          <w:cantSplit/>
        </w:trPr>
        <w:tc>
          <w:tcPr>
            <w:tcW w:w="874" w:type="pct"/>
            <w:tcBorders>
              <w:top w:val="nil"/>
              <w:left w:val="single" w:sz="4" w:space="0" w:color="auto"/>
              <w:bottom w:val="nil"/>
            </w:tcBorders>
            <w:shd w:val="clear" w:color="auto" w:fill="auto"/>
          </w:tcPr>
          <w:p w:rsidR="00B070BF" w:rsidRPr="009577DE" w:rsidRDefault="00B070BF" w:rsidP="00C33D4A">
            <w:pPr>
              <w:widowControl w:val="0"/>
              <w:rPr>
                <w:sz w:val="16"/>
                <w:szCs w:val="16"/>
                <w:lang w:val="es-ES_tradnl" w:bidi="th-TH"/>
              </w:rPr>
            </w:pPr>
            <w:r w:rsidRPr="009577DE">
              <w:rPr>
                <w:sz w:val="16"/>
                <w:szCs w:val="16"/>
                <w:lang w:val="es-ES_tradnl" w:bidi="th-TH"/>
              </w:rPr>
              <w:t xml:space="preserve">Porcentaje de participantes en talleres/seminarios sobre cuestiones específicas relacionadas con las patentes que expresaron satisfacción al respecto. </w:t>
            </w:r>
          </w:p>
        </w:tc>
        <w:tc>
          <w:tcPr>
            <w:tcW w:w="805" w:type="pct"/>
            <w:tcBorders>
              <w:top w:val="nil"/>
              <w:bottom w:val="nil"/>
            </w:tcBorders>
            <w:shd w:val="clear" w:color="auto" w:fill="C0C0C0"/>
          </w:tcPr>
          <w:p w:rsidR="00B070BF" w:rsidRPr="009577DE" w:rsidRDefault="00B070BF" w:rsidP="00C33D4A">
            <w:pPr>
              <w:widowControl w:val="0"/>
              <w:rPr>
                <w:sz w:val="16"/>
                <w:szCs w:val="16"/>
                <w:lang w:val="es-ES_tradnl" w:bidi="th-TH"/>
              </w:rPr>
            </w:pPr>
            <w:r w:rsidRPr="009577DE">
              <w:rPr>
                <w:sz w:val="16"/>
                <w:szCs w:val="16"/>
                <w:lang w:val="es-ES_tradnl" w:bidi="th-TH"/>
              </w:rPr>
              <w:t>No se dispone de datos.</w:t>
            </w:r>
          </w:p>
        </w:tc>
        <w:tc>
          <w:tcPr>
            <w:tcW w:w="916" w:type="pct"/>
            <w:tcBorders>
              <w:top w:val="nil"/>
              <w:bottom w:val="nil"/>
            </w:tcBorders>
            <w:shd w:val="clear" w:color="auto" w:fill="auto"/>
            <w:tcMar>
              <w:top w:w="110" w:type="dxa"/>
            </w:tcMar>
          </w:tcPr>
          <w:p w:rsidR="00B070BF" w:rsidRPr="009577DE" w:rsidRDefault="00B070BF" w:rsidP="00C33D4A">
            <w:pPr>
              <w:widowControl w:val="0"/>
              <w:rPr>
                <w:sz w:val="16"/>
                <w:szCs w:val="16"/>
                <w:lang w:val="es-ES_tradnl" w:bidi="th-TH"/>
              </w:rPr>
            </w:pPr>
          </w:p>
        </w:tc>
        <w:tc>
          <w:tcPr>
            <w:tcW w:w="1848" w:type="pct"/>
            <w:tcBorders>
              <w:top w:val="nil"/>
              <w:bottom w:val="nil"/>
            </w:tcBorders>
            <w:shd w:val="clear" w:color="auto" w:fill="FFFFFF"/>
            <w:tcMar>
              <w:top w:w="110" w:type="dxa"/>
            </w:tcMar>
          </w:tcPr>
          <w:p w:rsidR="00B070BF" w:rsidRPr="009577DE" w:rsidRDefault="00B070BF" w:rsidP="00C33D4A">
            <w:pPr>
              <w:widowControl w:val="0"/>
              <w:rPr>
                <w:sz w:val="16"/>
                <w:szCs w:val="16"/>
                <w:lang w:val="es-ES_tradnl"/>
              </w:rPr>
            </w:pPr>
            <w:r w:rsidRPr="009577DE">
              <w:rPr>
                <w:sz w:val="16"/>
                <w:szCs w:val="16"/>
                <w:lang w:val="es-ES_tradnl"/>
              </w:rPr>
              <w:t>Coloquio OMPI–OMC para profesores de propiedad intelectual (Ginebra).</w:t>
            </w:r>
          </w:p>
          <w:p w:rsidR="00B070BF" w:rsidRPr="009577DE" w:rsidRDefault="00B070BF" w:rsidP="00C33D4A">
            <w:pPr>
              <w:widowControl w:val="0"/>
              <w:rPr>
                <w:sz w:val="16"/>
                <w:szCs w:val="16"/>
                <w:lang w:val="es-ES_tradnl"/>
              </w:rPr>
            </w:pPr>
          </w:p>
          <w:p w:rsidR="00B070BF" w:rsidRPr="009577DE" w:rsidRDefault="00B070BF" w:rsidP="00C33D4A">
            <w:pPr>
              <w:widowControl w:val="0"/>
              <w:rPr>
                <w:sz w:val="16"/>
                <w:szCs w:val="16"/>
                <w:lang w:val="es-ES_tradnl"/>
              </w:rPr>
            </w:pPr>
            <w:r w:rsidRPr="009577DE">
              <w:rPr>
                <w:sz w:val="16"/>
                <w:szCs w:val="16"/>
                <w:lang w:val="es-ES_tradnl"/>
              </w:rPr>
              <w:t xml:space="preserve">Seminario interregional de nivel intermedio sobre propiedad industrial (Ginebra). </w:t>
            </w:r>
          </w:p>
          <w:p w:rsidR="00B070BF" w:rsidRPr="009577DE" w:rsidRDefault="00B070BF" w:rsidP="00C33D4A">
            <w:pPr>
              <w:widowControl w:val="0"/>
              <w:rPr>
                <w:sz w:val="16"/>
                <w:szCs w:val="16"/>
                <w:lang w:val="es-ES_tradnl"/>
              </w:rPr>
            </w:pPr>
          </w:p>
          <w:p w:rsidR="00B070BF" w:rsidRPr="009577DE" w:rsidRDefault="00B070BF" w:rsidP="00C33D4A">
            <w:pPr>
              <w:widowControl w:val="0"/>
              <w:rPr>
                <w:sz w:val="16"/>
                <w:szCs w:val="16"/>
                <w:lang w:val="es-ES_tradnl" w:bidi="th-TH"/>
              </w:rPr>
            </w:pPr>
            <w:r w:rsidRPr="009577DE">
              <w:rPr>
                <w:sz w:val="16"/>
                <w:szCs w:val="16"/>
                <w:lang w:val="es-ES_tradnl" w:bidi="th-TH"/>
              </w:rPr>
              <w:t>Todos los participantes expresaron su satisfacción con los talleres y seminarios a los que habían asistido</w:t>
            </w:r>
            <w:r w:rsidRPr="009577DE">
              <w:rPr>
                <w:sz w:val="16"/>
                <w:szCs w:val="16"/>
                <w:lang w:val="es-ES_tradnl"/>
              </w:rPr>
              <w:t xml:space="preserve"> (100%). </w:t>
            </w:r>
          </w:p>
          <w:p w:rsidR="00B070BF" w:rsidRPr="009577DE" w:rsidRDefault="00B070BF" w:rsidP="00C33D4A">
            <w:pPr>
              <w:widowControl w:val="0"/>
              <w:rPr>
                <w:sz w:val="16"/>
                <w:szCs w:val="16"/>
                <w:lang w:val="es-ES_tradnl"/>
              </w:rPr>
            </w:pPr>
          </w:p>
        </w:tc>
        <w:tc>
          <w:tcPr>
            <w:tcW w:w="557" w:type="pct"/>
            <w:tcBorders>
              <w:top w:val="nil"/>
              <w:bottom w:val="nil"/>
              <w:right w:val="single" w:sz="4" w:space="0" w:color="auto"/>
            </w:tcBorders>
            <w:shd w:val="clear" w:color="auto" w:fill="auto"/>
            <w:tcMar>
              <w:top w:w="110" w:type="dxa"/>
            </w:tcMar>
          </w:tcPr>
          <w:p w:rsidR="00B070BF" w:rsidRPr="009577DE" w:rsidRDefault="00B070BF" w:rsidP="00C33D4A">
            <w:pPr>
              <w:widowControl w:val="0"/>
              <w:jc w:val="center"/>
              <w:rPr>
                <w:b/>
                <w:bCs/>
                <w:sz w:val="16"/>
                <w:szCs w:val="16"/>
                <w:lang w:val="es-ES_tradnl"/>
              </w:rPr>
            </w:pPr>
            <w:r w:rsidRPr="009577DE">
              <w:rPr>
                <w:b/>
                <w:bCs/>
                <w:color w:val="008000"/>
                <w:sz w:val="16"/>
                <w:szCs w:val="16"/>
                <w:lang w:val="es-ES_tradnl"/>
              </w:rPr>
              <w:t>Progresa con normalidad</w:t>
            </w:r>
          </w:p>
          <w:p w:rsidR="00B070BF" w:rsidRPr="009577DE" w:rsidRDefault="00B070BF" w:rsidP="00C33D4A">
            <w:pPr>
              <w:widowControl w:val="0"/>
              <w:jc w:val="center"/>
              <w:rPr>
                <w:bCs/>
                <w:sz w:val="16"/>
                <w:szCs w:val="16"/>
                <w:lang w:val="es-ES_tradnl"/>
              </w:rPr>
            </w:pPr>
          </w:p>
        </w:tc>
      </w:tr>
      <w:tr w:rsidR="00B070BF" w:rsidRPr="009577DE" w:rsidTr="00C33D4A">
        <w:trPr>
          <w:cantSplit/>
        </w:trPr>
        <w:tc>
          <w:tcPr>
            <w:tcW w:w="874" w:type="pct"/>
            <w:tcBorders>
              <w:top w:val="nil"/>
              <w:left w:val="single" w:sz="4" w:space="0" w:color="auto"/>
              <w:bottom w:val="single" w:sz="4" w:space="0" w:color="auto"/>
            </w:tcBorders>
            <w:shd w:val="clear" w:color="auto" w:fill="auto"/>
          </w:tcPr>
          <w:p w:rsidR="00B070BF" w:rsidRPr="009577DE" w:rsidRDefault="00B070BF" w:rsidP="00C33D4A">
            <w:pPr>
              <w:widowControl w:val="0"/>
              <w:rPr>
                <w:sz w:val="16"/>
                <w:szCs w:val="16"/>
                <w:lang w:val="es-ES_tradnl" w:bidi="th-TH"/>
              </w:rPr>
            </w:pPr>
            <w:r w:rsidRPr="009577DE">
              <w:rPr>
                <w:sz w:val="16"/>
                <w:szCs w:val="16"/>
                <w:lang w:val="es-ES_tradnl" w:bidi="th-TH"/>
              </w:rPr>
              <w:t xml:space="preserve">Número de Estados miembros que recibieron asesoramiento en materia legislativa en la esfera de las marcas, los dibujos y modelos industriales y las indicaciones geográficas. </w:t>
            </w:r>
          </w:p>
          <w:p w:rsidR="00B070BF" w:rsidRPr="009577DE" w:rsidRDefault="00B070BF" w:rsidP="00C33D4A">
            <w:pPr>
              <w:widowControl w:val="0"/>
              <w:rPr>
                <w:sz w:val="16"/>
                <w:szCs w:val="16"/>
                <w:lang w:val="es-ES_tradnl" w:bidi="th-TH"/>
              </w:rPr>
            </w:pPr>
          </w:p>
        </w:tc>
        <w:tc>
          <w:tcPr>
            <w:tcW w:w="805" w:type="pct"/>
            <w:tcBorders>
              <w:top w:val="nil"/>
              <w:bottom w:val="single" w:sz="4" w:space="0" w:color="auto"/>
            </w:tcBorders>
            <w:shd w:val="clear" w:color="auto" w:fill="C0C0C0"/>
          </w:tcPr>
          <w:p w:rsidR="00B070BF" w:rsidRPr="009577DE" w:rsidRDefault="00B070BF" w:rsidP="00C33D4A">
            <w:pPr>
              <w:widowControl w:val="0"/>
              <w:rPr>
                <w:sz w:val="16"/>
                <w:szCs w:val="16"/>
                <w:lang w:val="es-ES_tradnl" w:bidi="th-TH"/>
              </w:rPr>
            </w:pPr>
            <w:r w:rsidRPr="009577DE">
              <w:rPr>
                <w:sz w:val="16"/>
                <w:szCs w:val="16"/>
                <w:lang w:val="es-ES_tradnl" w:bidi="th-TH"/>
              </w:rPr>
              <w:t>Dos</w:t>
            </w:r>
          </w:p>
        </w:tc>
        <w:tc>
          <w:tcPr>
            <w:tcW w:w="916" w:type="pct"/>
            <w:tcBorders>
              <w:top w:val="nil"/>
              <w:bottom w:val="single" w:sz="4" w:space="0" w:color="auto"/>
            </w:tcBorders>
            <w:shd w:val="clear" w:color="auto" w:fill="auto"/>
            <w:tcMar>
              <w:top w:w="110" w:type="dxa"/>
            </w:tcMar>
          </w:tcPr>
          <w:p w:rsidR="00B070BF" w:rsidRPr="009577DE" w:rsidRDefault="00B070BF" w:rsidP="00C33D4A">
            <w:pPr>
              <w:widowControl w:val="0"/>
              <w:rPr>
                <w:sz w:val="16"/>
                <w:szCs w:val="16"/>
                <w:lang w:val="es-ES_tradnl" w:bidi="th-TH"/>
              </w:rPr>
            </w:pPr>
          </w:p>
        </w:tc>
        <w:tc>
          <w:tcPr>
            <w:tcW w:w="1848" w:type="pct"/>
            <w:tcBorders>
              <w:top w:val="nil"/>
              <w:bottom w:val="single" w:sz="4" w:space="0" w:color="auto"/>
            </w:tcBorders>
            <w:shd w:val="clear" w:color="auto" w:fill="FFFFFF"/>
            <w:tcMar>
              <w:top w:w="110" w:type="dxa"/>
            </w:tcMar>
          </w:tcPr>
          <w:p w:rsidR="00B070BF" w:rsidRPr="009577DE" w:rsidRDefault="00B070BF" w:rsidP="00C33D4A">
            <w:pPr>
              <w:widowControl w:val="0"/>
              <w:rPr>
                <w:sz w:val="16"/>
                <w:szCs w:val="16"/>
                <w:lang w:val="es-ES_tradnl"/>
              </w:rPr>
            </w:pPr>
            <w:r w:rsidRPr="009577DE">
              <w:rPr>
                <w:sz w:val="16"/>
                <w:szCs w:val="16"/>
                <w:lang w:val="es-ES_tradnl"/>
              </w:rPr>
              <w:t>Ninguna</w:t>
            </w:r>
          </w:p>
          <w:p w:rsidR="00B070BF" w:rsidRPr="009577DE" w:rsidRDefault="00B070BF" w:rsidP="00C33D4A">
            <w:pPr>
              <w:widowControl w:val="0"/>
              <w:rPr>
                <w:sz w:val="16"/>
                <w:szCs w:val="16"/>
                <w:lang w:val="es-ES_tradnl"/>
              </w:rPr>
            </w:pPr>
          </w:p>
          <w:p w:rsidR="00B070BF" w:rsidRPr="009577DE" w:rsidRDefault="00B070BF" w:rsidP="00C33D4A">
            <w:pPr>
              <w:widowControl w:val="0"/>
              <w:rPr>
                <w:sz w:val="16"/>
                <w:szCs w:val="16"/>
                <w:lang w:val="es-ES_tradnl"/>
              </w:rPr>
            </w:pPr>
          </w:p>
          <w:p w:rsidR="00B070BF" w:rsidRPr="009577DE" w:rsidRDefault="00B070BF" w:rsidP="00C33D4A">
            <w:pPr>
              <w:widowControl w:val="0"/>
              <w:rPr>
                <w:sz w:val="16"/>
                <w:szCs w:val="16"/>
                <w:lang w:val="es-ES_tradnl"/>
              </w:rPr>
            </w:pPr>
          </w:p>
          <w:p w:rsidR="00B070BF" w:rsidRPr="009577DE" w:rsidRDefault="00B070BF" w:rsidP="00C33D4A">
            <w:pPr>
              <w:widowControl w:val="0"/>
              <w:rPr>
                <w:sz w:val="16"/>
                <w:szCs w:val="16"/>
                <w:lang w:val="es-ES_tradnl"/>
              </w:rPr>
            </w:pPr>
          </w:p>
          <w:p w:rsidR="00B070BF" w:rsidRPr="009577DE" w:rsidRDefault="00B070BF" w:rsidP="00C33D4A">
            <w:pPr>
              <w:widowControl w:val="0"/>
              <w:rPr>
                <w:sz w:val="16"/>
                <w:szCs w:val="16"/>
                <w:lang w:val="es-ES_tradnl"/>
              </w:rPr>
            </w:pPr>
          </w:p>
          <w:p w:rsidR="00B070BF" w:rsidRPr="009577DE" w:rsidRDefault="00B070BF" w:rsidP="00C33D4A">
            <w:pPr>
              <w:widowControl w:val="0"/>
              <w:rPr>
                <w:sz w:val="16"/>
                <w:szCs w:val="16"/>
                <w:lang w:val="es-ES_tradnl"/>
              </w:rPr>
            </w:pPr>
          </w:p>
        </w:tc>
        <w:tc>
          <w:tcPr>
            <w:tcW w:w="557" w:type="pct"/>
            <w:tcBorders>
              <w:top w:val="nil"/>
              <w:bottom w:val="single" w:sz="4" w:space="0" w:color="auto"/>
              <w:right w:val="single" w:sz="4" w:space="0" w:color="auto"/>
            </w:tcBorders>
            <w:shd w:val="clear" w:color="auto" w:fill="auto"/>
            <w:tcMar>
              <w:top w:w="110" w:type="dxa"/>
            </w:tcMar>
          </w:tcPr>
          <w:p w:rsidR="00B070BF" w:rsidRPr="009577DE" w:rsidRDefault="00B070BF" w:rsidP="00C33D4A">
            <w:pPr>
              <w:widowControl w:val="0"/>
              <w:jc w:val="center"/>
              <w:rPr>
                <w:b/>
                <w:bCs/>
                <w:sz w:val="16"/>
                <w:szCs w:val="16"/>
                <w:lang w:val="es-ES_tradnl"/>
              </w:rPr>
            </w:pPr>
            <w:r w:rsidRPr="009577DE">
              <w:rPr>
                <w:bCs/>
                <w:sz w:val="16"/>
                <w:szCs w:val="16"/>
                <w:lang w:val="es-ES_tradnl"/>
              </w:rPr>
              <w:t xml:space="preserve"> </w:t>
            </w:r>
            <w:r w:rsidRPr="009577DE">
              <w:rPr>
                <w:b/>
                <w:bCs/>
                <w:color w:val="FF0000"/>
                <w:sz w:val="16"/>
                <w:szCs w:val="16"/>
                <w:lang w:val="es-ES_tradnl"/>
              </w:rPr>
              <w:t>Sin avances significativos</w:t>
            </w:r>
          </w:p>
          <w:p w:rsidR="00B070BF" w:rsidRPr="009577DE" w:rsidRDefault="00B070BF" w:rsidP="00C33D4A">
            <w:pPr>
              <w:widowControl w:val="0"/>
              <w:jc w:val="center"/>
              <w:rPr>
                <w:bCs/>
                <w:sz w:val="16"/>
                <w:szCs w:val="16"/>
                <w:lang w:val="es-ES_tradnl"/>
              </w:rPr>
            </w:pPr>
            <w:r w:rsidRPr="009577DE" w:rsidDel="00EB2DAD">
              <w:rPr>
                <w:bCs/>
                <w:sz w:val="16"/>
                <w:szCs w:val="16"/>
                <w:lang w:val="es-ES_tradnl"/>
              </w:rPr>
              <w:t xml:space="preserve"> </w:t>
            </w:r>
            <w:r w:rsidRPr="009577DE">
              <w:rPr>
                <w:bCs/>
                <w:sz w:val="16"/>
                <w:szCs w:val="16"/>
                <w:lang w:val="es-ES_tradnl"/>
              </w:rPr>
              <w:br/>
            </w:r>
          </w:p>
        </w:tc>
      </w:tr>
      <w:tr w:rsidR="00B070BF" w:rsidRPr="009577DE" w:rsidTr="00C33D4A">
        <w:trPr>
          <w:cantSplit/>
        </w:trPr>
        <w:tc>
          <w:tcPr>
            <w:tcW w:w="874" w:type="pct"/>
            <w:tcBorders>
              <w:top w:val="single" w:sz="4" w:space="0" w:color="auto"/>
              <w:left w:val="single" w:sz="4" w:space="0" w:color="auto"/>
              <w:bottom w:val="single" w:sz="4" w:space="0" w:color="auto"/>
            </w:tcBorders>
            <w:shd w:val="clear" w:color="auto" w:fill="auto"/>
          </w:tcPr>
          <w:p w:rsidR="00B070BF" w:rsidRPr="009577DE" w:rsidRDefault="00B070BF" w:rsidP="00C33D4A">
            <w:pPr>
              <w:widowControl w:val="0"/>
              <w:rPr>
                <w:sz w:val="16"/>
                <w:szCs w:val="16"/>
                <w:lang w:val="es-ES_tradnl" w:bidi="th-TH"/>
              </w:rPr>
            </w:pPr>
            <w:r w:rsidRPr="009577DE">
              <w:rPr>
                <w:sz w:val="16"/>
                <w:szCs w:val="16"/>
                <w:lang w:val="es-ES_tradnl" w:bidi="th-TH"/>
              </w:rPr>
              <w:lastRenderedPageBreak/>
              <w:t>Número de países que presentaron comentarios positivos sobre la utilidad del asesoramiento proporcionado en materia legislativa en la esfera de las marcas, los dibujos y modelos industriales y las indicaciones geográficas.</w:t>
            </w:r>
          </w:p>
          <w:p w:rsidR="00B070BF" w:rsidRPr="009577DE" w:rsidRDefault="00B070BF" w:rsidP="00C33D4A">
            <w:pPr>
              <w:widowControl w:val="0"/>
              <w:rPr>
                <w:sz w:val="16"/>
                <w:szCs w:val="16"/>
                <w:lang w:val="es-ES_tradnl" w:bidi="th-TH"/>
              </w:rPr>
            </w:pPr>
            <w:r w:rsidRPr="009577DE">
              <w:rPr>
                <w:sz w:val="16"/>
                <w:szCs w:val="16"/>
                <w:lang w:val="es-ES_tradnl" w:bidi="th-TH"/>
              </w:rPr>
              <w:t xml:space="preserve"> </w:t>
            </w:r>
          </w:p>
        </w:tc>
        <w:tc>
          <w:tcPr>
            <w:tcW w:w="805" w:type="pct"/>
            <w:tcBorders>
              <w:top w:val="single" w:sz="4" w:space="0" w:color="auto"/>
              <w:bottom w:val="single" w:sz="4" w:space="0" w:color="auto"/>
            </w:tcBorders>
            <w:shd w:val="clear" w:color="auto" w:fill="C0C0C0"/>
          </w:tcPr>
          <w:p w:rsidR="00B070BF" w:rsidRPr="009577DE" w:rsidRDefault="00B070BF" w:rsidP="00C33D4A">
            <w:pPr>
              <w:widowControl w:val="0"/>
              <w:rPr>
                <w:sz w:val="16"/>
                <w:szCs w:val="16"/>
                <w:lang w:val="es-ES_tradnl" w:bidi="th-TH"/>
              </w:rPr>
            </w:pPr>
            <w:r w:rsidRPr="009577DE">
              <w:rPr>
                <w:sz w:val="16"/>
                <w:szCs w:val="16"/>
                <w:lang w:val="es-ES_tradnl" w:bidi="th-TH"/>
              </w:rPr>
              <w:t>No se dispone de datos.</w:t>
            </w:r>
          </w:p>
        </w:tc>
        <w:tc>
          <w:tcPr>
            <w:tcW w:w="916" w:type="pct"/>
            <w:tcBorders>
              <w:top w:val="single" w:sz="4" w:space="0" w:color="auto"/>
              <w:bottom w:val="single" w:sz="4" w:space="0" w:color="auto"/>
            </w:tcBorders>
            <w:shd w:val="clear" w:color="auto" w:fill="auto"/>
            <w:tcMar>
              <w:top w:w="110" w:type="dxa"/>
            </w:tcMar>
          </w:tcPr>
          <w:p w:rsidR="00B070BF" w:rsidRPr="009577DE" w:rsidRDefault="00B070BF" w:rsidP="00C33D4A">
            <w:pPr>
              <w:widowControl w:val="0"/>
              <w:rPr>
                <w:sz w:val="16"/>
                <w:szCs w:val="16"/>
                <w:lang w:val="es-ES_tradnl" w:bidi="th-TH"/>
              </w:rPr>
            </w:pPr>
          </w:p>
        </w:tc>
        <w:tc>
          <w:tcPr>
            <w:tcW w:w="1848" w:type="pct"/>
            <w:tcBorders>
              <w:top w:val="single" w:sz="4" w:space="0" w:color="auto"/>
              <w:bottom w:val="single" w:sz="4" w:space="0" w:color="auto"/>
            </w:tcBorders>
            <w:shd w:val="clear" w:color="auto" w:fill="FFFFFF"/>
            <w:tcMar>
              <w:top w:w="110" w:type="dxa"/>
            </w:tcMar>
          </w:tcPr>
          <w:p w:rsidR="00B070BF" w:rsidRPr="009577DE" w:rsidRDefault="00B070BF" w:rsidP="00C33D4A">
            <w:pPr>
              <w:widowControl w:val="0"/>
              <w:rPr>
                <w:sz w:val="16"/>
                <w:szCs w:val="16"/>
                <w:lang w:val="es-ES_tradnl"/>
              </w:rPr>
            </w:pPr>
            <w:r w:rsidRPr="009577DE">
              <w:rPr>
                <w:sz w:val="16"/>
                <w:szCs w:val="16"/>
                <w:lang w:val="es-ES_tradnl" w:bidi="th-TH"/>
              </w:rPr>
              <w:t>No disponible.</w:t>
            </w:r>
          </w:p>
          <w:p w:rsidR="00B070BF" w:rsidRPr="009577DE" w:rsidRDefault="00B070BF" w:rsidP="00C33D4A">
            <w:pPr>
              <w:widowControl w:val="0"/>
              <w:rPr>
                <w:sz w:val="16"/>
                <w:szCs w:val="16"/>
                <w:lang w:val="es-ES_tradnl"/>
              </w:rPr>
            </w:pPr>
          </w:p>
          <w:p w:rsidR="00B070BF" w:rsidRPr="009577DE" w:rsidRDefault="00B070BF" w:rsidP="00C33D4A">
            <w:pPr>
              <w:widowControl w:val="0"/>
              <w:rPr>
                <w:sz w:val="16"/>
                <w:szCs w:val="16"/>
                <w:lang w:val="es-ES_tradnl"/>
              </w:rPr>
            </w:pPr>
          </w:p>
          <w:p w:rsidR="00B070BF" w:rsidRPr="009577DE" w:rsidRDefault="00B070BF" w:rsidP="00C33D4A">
            <w:pPr>
              <w:widowControl w:val="0"/>
              <w:rPr>
                <w:sz w:val="16"/>
                <w:szCs w:val="16"/>
                <w:lang w:val="es-ES_tradnl"/>
              </w:rPr>
            </w:pPr>
          </w:p>
          <w:p w:rsidR="00B070BF" w:rsidRPr="009577DE" w:rsidRDefault="00B070BF" w:rsidP="00C33D4A">
            <w:pPr>
              <w:widowControl w:val="0"/>
              <w:rPr>
                <w:sz w:val="16"/>
                <w:szCs w:val="16"/>
                <w:lang w:val="es-ES_tradnl"/>
              </w:rPr>
            </w:pPr>
          </w:p>
          <w:p w:rsidR="00B070BF" w:rsidRPr="009577DE" w:rsidRDefault="00B070BF" w:rsidP="00C33D4A">
            <w:pPr>
              <w:widowControl w:val="0"/>
              <w:rPr>
                <w:sz w:val="16"/>
                <w:szCs w:val="16"/>
                <w:lang w:val="es-ES_tradnl"/>
              </w:rPr>
            </w:pPr>
          </w:p>
        </w:tc>
        <w:tc>
          <w:tcPr>
            <w:tcW w:w="557" w:type="pct"/>
            <w:tcBorders>
              <w:top w:val="single" w:sz="4" w:space="0" w:color="auto"/>
              <w:bottom w:val="single" w:sz="4" w:space="0" w:color="auto"/>
              <w:right w:val="single" w:sz="4" w:space="0" w:color="auto"/>
            </w:tcBorders>
            <w:shd w:val="clear" w:color="auto" w:fill="auto"/>
            <w:tcMar>
              <w:top w:w="110" w:type="dxa"/>
            </w:tcMar>
          </w:tcPr>
          <w:p w:rsidR="00B070BF" w:rsidRPr="009577DE" w:rsidRDefault="00B070BF" w:rsidP="00C33D4A">
            <w:pPr>
              <w:widowControl w:val="0"/>
              <w:jc w:val="center"/>
              <w:rPr>
                <w:b/>
                <w:bCs/>
                <w:sz w:val="16"/>
                <w:szCs w:val="16"/>
                <w:lang w:val="es-ES_tradnl"/>
              </w:rPr>
            </w:pPr>
            <w:r w:rsidRPr="009577DE">
              <w:rPr>
                <w:b/>
                <w:bCs/>
                <w:sz w:val="16"/>
                <w:szCs w:val="16"/>
                <w:lang w:val="es-ES_tradnl"/>
              </w:rPr>
              <w:t>No disponible para 2012</w:t>
            </w:r>
          </w:p>
          <w:p w:rsidR="00B070BF" w:rsidRPr="009577DE" w:rsidRDefault="00B070BF" w:rsidP="00C33D4A">
            <w:pPr>
              <w:widowControl w:val="0"/>
              <w:jc w:val="center"/>
              <w:rPr>
                <w:bCs/>
                <w:sz w:val="16"/>
                <w:szCs w:val="16"/>
                <w:lang w:val="es-ES_tradnl"/>
              </w:rPr>
            </w:pPr>
            <w:r w:rsidRPr="009577DE" w:rsidDel="003815C9">
              <w:rPr>
                <w:bCs/>
                <w:sz w:val="16"/>
                <w:szCs w:val="16"/>
                <w:lang w:val="es-ES_tradnl"/>
              </w:rPr>
              <w:t xml:space="preserve"> </w:t>
            </w:r>
          </w:p>
        </w:tc>
      </w:tr>
    </w:tbl>
    <w:p w:rsidR="00B070BF" w:rsidRPr="009577DE" w:rsidRDefault="00B070BF" w:rsidP="00B070BF">
      <w:pPr>
        <w:widowControl w:val="0"/>
        <w:rPr>
          <w:b/>
          <w:sz w:val="20"/>
          <w:lang w:val="es-ES_tradnl"/>
        </w:rPr>
      </w:pPr>
    </w:p>
    <w:p w:rsidR="00B070BF" w:rsidRPr="009577DE" w:rsidRDefault="00B070BF" w:rsidP="00B070BF">
      <w:pPr>
        <w:widowControl w:val="0"/>
        <w:rPr>
          <w:szCs w:val="22"/>
          <w:lang w:val="es-ES_tradnl"/>
        </w:rPr>
      </w:pPr>
    </w:p>
    <w:p w:rsidR="00B070BF" w:rsidRPr="009577DE" w:rsidRDefault="00B070BF" w:rsidP="00B070BF">
      <w:pPr>
        <w:widowControl w:val="0"/>
        <w:rPr>
          <w:sz w:val="20"/>
          <w:lang w:val="es-ES_tradnl"/>
        </w:rPr>
      </w:pPr>
      <w:r w:rsidRPr="009577DE">
        <w:rPr>
          <w:sz w:val="20"/>
          <w:lang w:val="es-ES_tradnl"/>
        </w:rPr>
        <w:t>PRESUPUESTO Y GASTOS REALES</w:t>
      </w:r>
    </w:p>
    <w:p w:rsidR="00B070BF" w:rsidRPr="006964C6" w:rsidRDefault="00B070BF" w:rsidP="00B070BF">
      <w:pPr>
        <w:widowControl w:val="0"/>
        <w:rPr>
          <w:sz w:val="20"/>
          <w:lang w:val="es-ES_tradnl"/>
        </w:rPr>
      </w:pPr>
    </w:p>
    <w:p w:rsidR="00B070BF" w:rsidRPr="006964C6" w:rsidRDefault="00B070BF" w:rsidP="00B070BF">
      <w:pPr>
        <w:widowControl w:val="0"/>
        <w:jc w:val="center"/>
        <w:rPr>
          <w:sz w:val="20"/>
          <w:lang w:val="es-ES_tradnl"/>
        </w:rPr>
      </w:pPr>
      <w:r w:rsidRPr="006964C6">
        <w:rPr>
          <w:sz w:val="20"/>
          <w:lang w:val="es-ES_tradnl"/>
        </w:rPr>
        <w:t>Presupuesto y gastos reales (por resultado)</w:t>
      </w:r>
    </w:p>
    <w:p w:rsidR="00B070BF" w:rsidRPr="009577DE" w:rsidRDefault="00B070BF" w:rsidP="00B070BF">
      <w:pPr>
        <w:widowControl w:val="0"/>
        <w:jc w:val="center"/>
        <w:rPr>
          <w:sz w:val="20"/>
          <w:lang w:val="es-ES_tradnl"/>
        </w:rPr>
      </w:pPr>
      <w:r w:rsidRPr="006964C6">
        <w:rPr>
          <w:i/>
          <w:iCs/>
          <w:sz w:val="20"/>
          <w:lang w:val="es-ES_tradnl"/>
        </w:rPr>
        <w:t>(en miles de francos suizos)</w:t>
      </w:r>
      <w:r w:rsidRPr="006964C6">
        <w:rPr>
          <w:i/>
          <w:iCs/>
          <w:sz w:val="20"/>
          <w:lang w:val="es-ES_tradnl"/>
        </w:rPr>
        <w:br/>
      </w:r>
      <w:r w:rsidRPr="006964C6">
        <w:rPr>
          <w:i/>
          <w:iCs/>
          <w:sz w:val="20"/>
          <w:lang w:val="es-ES_tradnl"/>
        </w:rPr>
        <w:br/>
      </w:r>
      <w:r w:rsidRPr="009577DE">
        <w:rPr>
          <w:noProof/>
          <w:lang w:val="en-US" w:eastAsia="en-US"/>
        </w:rPr>
        <w:drawing>
          <wp:inline distT="0" distB="0" distL="0" distR="0" wp14:anchorId="4CD4B3E8" wp14:editId="1706A5DF">
            <wp:extent cx="5902325" cy="2280285"/>
            <wp:effectExtent l="0" t="0" r="3175" b="5715"/>
            <wp:docPr id="210"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902325" cy="2280285"/>
                    </a:xfrm>
                    <a:prstGeom prst="rect">
                      <a:avLst/>
                    </a:prstGeom>
                    <a:noFill/>
                    <a:ln>
                      <a:noFill/>
                    </a:ln>
                  </pic:spPr>
                </pic:pic>
              </a:graphicData>
            </a:graphic>
          </wp:inline>
        </w:drawing>
      </w:r>
    </w:p>
    <w:p w:rsidR="00B070BF" w:rsidRPr="006964C6" w:rsidRDefault="00B070BF" w:rsidP="00B070BF">
      <w:pPr>
        <w:widowControl w:val="0"/>
        <w:jc w:val="center"/>
        <w:rPr>
          <w:sz w:val="20"/>
          <w:lang w:val="es-ES_tradnl"/>
        </w:rPr>
      </w:pPr>
    </w:p>
    <w:p w:rsidR="00B070BF" w:rsidRPr="006964C6" w:rsidRDefault="00B070BF" w:rsidP="00B070BF">
      <w:pPr>
        <w:widowControl w:val="0"/>
        <w:jc w:val="center"/>
        <w:rPr>
          <w:sz w:val="20"/>
          <w:lang w:val="es-ES_tradnl"/>
        </w:rPr>
      </w:pPr>
    </w:p>
    <w:p w:rsidR="00B070BF" w:rsidRPr="009577DE" w:rsidRDefault="00B070BF" w:rsidP="00B070BF">
      <w:pPr>
        <w:widowControl w:val="0"/>
        <w:jc w:val="center"/>
        <w:rPr>
          <w:sz w:val="20"/>
          <w:lang w:val="es-ES_tradnl"/>
        </w:rPr>
      </w:pPr>
      <w:r w:rsidRPr="006964C6">
        <w:rPr>
          <w:sz w:val="20"/>
          <w:lang w:val="es-ES_tradnl"/>
        </w:rPr>
        <w:t>Presupuesto y gastos reales (de personal y no relativos al personal)</w:t>
      </w:r>
      <w:r w:rsidRPr="006964C6">
        <w:rPr>
          <w:sz w:val="20"/>
          <w:lang w:val="es-ES_tradnl"/>
        </w:rPr>
        <w:br/>
      </w:r>
      <w:r w:rsidRPr="006964C6">
        <w:rPr>
          <w:i/>
          <w:sz w:val="20"/>
          <w:lang w:val="es-ES_tradnl"/>
        </w:rPr>
        <w:t>(en miles de francos suizos)</w:t>
      </w:r>
      <w:r w:rsidRPr="006964C6">
        <w:rPr>
          <w:sz w:val="20"/>
          <w:lang w:val="es-ES_tradnl"/>
        </w:rPr>
        <w:br/>
      </w:r>
      <w:r w:rsidRPr="006964C6">
        <w:rPr>
          <w:sz w:val="20"/>
          <w:lang w:val="es-ES_tradnl"/>
        </w:rPr>
        <w:br/>
      </w:r>
      <w:r w:rsidRPr="009577DE">
        <w:rPr>
          <w:noProof/>
          <w:lang w:val="en-US" w:eastAsia="en-US"/>
        </w:rPr>
        <w:drawing>
          <wp:inline distT="0" distB="0" distL="0" distR="0" wp14:anchorId="751626A3" wp14:editId="6DD5381E">
            <wp:extent cx="5902325" cy="1247140"/>
            <wp:effectExtent l="0" t="0" r="3175" b="0"/>
            <wp:docPr id="209"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902325" cy="1247140"/>
                    </a:xfrm>
                    <a:prstGeom prst="rect">
                      <a:avLst/>
                    </a:prstGeom>
                    <a:noFill/>
                    <a:ln>
                      <a:noFill/>
                    </a:ln>
                  </pic:spPr>
                </pic:pic>
              </a:graphicData>
            </a:graphic>
          </wp:inline>
        </w:drawing>
      </w:r>
    </w:p>
    <w:p w:rsidR="00B070BF" w:rsidRPr="009577DE" w:rsidRDefault="00B070BF" w:rsidP="00B070BF">
      <w:pPr>
        <w:widowControl w:val="0"/>
        <w:rPr>
          <w:sz w:val="20"/>
          <w:lang w:val="es-ES_tradnl"/>
        </w:rPr>
      </w:pPr>
    </w:p>
    <w:p w:rsidR="00B070BF" w:rsidRPr="009577DE" w:rsidRDefault="00B070BF" w:rsidP="00B070BF">
      <w:pPr>
        <w:widowControl w:val="0"/>
        <w:autoSpaceDE w:val="0"/>
        <w:autoSpaceDN w:val="0"/>
        <w:adjustRightInd w:val="0"/>
        <w:rPr>
          <w:sz w:val="16"/>
          <w:szCs w:val="16"/>
          <w:lang w:val="es-ES_tradnl"/>
        </w:rPr>
      </w:pPr>
      <w:r w:rsidRPr="007C3E0F">
        <w:rPr>
          <w:sz w:val="16"/>
          <w:szCs w:val="16"/>
          <w:lang w:val="es-ES_tradnl"/>
        </w:rPr>
        <w:t>NOTAS:</w:t>
      </w:r>
    </w:p>
    <w:p w:rsidR="00B070BF" w:rsidRPr="009577DE" w:rsidRDefault="00B070BF" w:rsidP="00B070BF">
      <w:pPr>
        <w:widowControl w:val="0"/>
        <w:autoSpaceDE w:val="0"/>
        <w:autoSpaceDN w:val="0"/>
        <w:adjustRightInd w:val="0"/>
        <w:rPr>
          <w:sz w:val="16"/>
          <w:szCs w:val="16"/>
          <w:lang w:val="es-ES_tradnl"/>
        </w:rPr>
      </w:pPr>
    </w:p>
    <w:p w:rsidR="00B070BF" w:rsidRPr="009577DE" w:rsidRDefault="00B070BF" w:rsidP="00B070BF">
      <w:pPr>
        <w:widowControl w:val="0"/>
        <w:autoSpaceDE w:val="0"/>
        <w:autoSpaceDN w:val="0"/>
        <w:adjustRightInd w:val="0"/>
        <w:rPr>
          <w:sz w:val="16"/>
          <w:szCs w:val="16"/>
          <w:lang w:val="es-ES_tradnl"/>
        </w:rPr>
      </w:pPr>
      <w:r w:rsidRPr="009577DE">
        <w:rPr>
          <w:sz w:val="16"/>
          <w:szCs w:val="16"/>
          <w:lang w:val="es-ES_tradnl"/>
        </w:rPr>
        <w:t>1) El presupuesto después de las transferencias refleja el presupuesto de los programas ajustado después de las transferencias efectuadas en 2012/13 en virtud del artículo 5.5 del Reglamento Financiero.</w:t>
      </w:r>
    </w:p>
    <w:p w:rsidR="00B070BF" w:rsidRPr="009577DE" w:rsidRDefault="00B070BF" w:rsidP="00B070BF">
      <w:pPr>
        <w:widowControl w:val="0"/>
        <w:autoSpaceDE w:val="0"/>
        <w:autoSpaceDN w:val="0"/>
        <w:adjustRightInd w:val="0"/>
        <w:rPr>
          <w:sz w:val="16"/>
          <w:szCs w:val="16"/>
          <w:lang w:val="es-ES_tradnl"/>
        </w:rPr>
      </w:pPr>
    </w:p>
    <w:p w:rsidR="00B070BF" w:rsidRPr="009577DE" w:rsidRDefault="00B070BF" w:rsidP="00B070BF">
      <w:pPr>
        <w:widowControl w:val="0"/>
        <w:autoSpaceDE w:val="0"/>
        <w:autoSpaceDN w:val="0"/>
        <w:adjustRightInd w:val="0"/>
        <w:rPr>
          <w:sz w:val="16"/>
          <w:szCs w:val="16"/>
          <w:lang w:val="es-ES_tradnl"/>
        </w:rPr>
      </w:pPr>
      <w:r w:rsidRPr="009577DE">
        <w:rPr>
          <w:sz w:val="16"/>
          <w:szCs w:val="16"/>
          <w:lang w:val="es-ES_tradnl"/>
        </w:rPr>
        <w:t xml:space="preserve">2) La asignación para el personal del presupuesto de 2012/13 después de las transferencias representa los gastos reales efectuados hasta el 31 de marzo de 2013 y los importes presupuestados para los nueve meses restantes de 2013, sobre la base de costos estándar. </w:t>
      </w:r>
    </w:p>
    <w:p w:rsidR="00B070BF" w:rsidRPr="009577DE" w:rsidRDefault="00B070BF" w:rsidP="00B070BF">
      <w:pPr>
        <w:widowControl w:val="0"/>
        <w:autoSpaceDE w:val="0"/>
        <w:autoSpaceDN w:val="0"/>
        <w:adjustRightInd w:val="0"/>
        <w:rPr>
          <w:sz w:val="16"/>
          <w:szCs w:val="16"/>
          <w:lang w:val="es-ES_tradnl"/>
        </w:rPr>
      </w:pPr>
    </w:p>
    <w:p w:rsidR="00B070BF" w:rsidRPr="009577DE" w:rsidRDefault="00B070BF" w:rsidP="00B070BF">
      <w:pPr>
        <w:widowControl w:val="0"/>
        <w:autoSpaceDE w:val="0"/>
        <w:autoSpaceDN w:val="0"/>
        <w:adjustRightInd w:val="0"/>
        <w:rPr>
          <w:sz w:val="16"/>
          <w:szCs w:val="16"/>
          <w:lang w:val="es-ES_tradnl"/>
        </w:rPr>
      </w:pPr>
      <w:r w:rsidRPr="009577DE">
        <w:rPr>
          <w:sz w:val="16"/>
          <w:szCs w:val="16"/>
          <w:lang w:val="es-ES_tradnl"/>
        </w:rPr>
        <w:t>3) La asignación no relativa al personal del presupuesto de 2012/13 después de las transferencias refleja los ajustes a la baja efectuados para aumentar la eficacia en función de los costos, de conformidad con el compromiso de la Organización de reducir gastos por un importe de 10,2 millones de francos suizos en el bienio 2012/13.</w:t>
      </w:r>
    </w:p>
    <w:p w:rsidR="00B070BF" w:rsidRDefault="00B070BF" w:rsidP="00B070BF">
      <w:pPr>
        <w:widowControl w:val="0"/>
        <w:rPr>
          <w:sz w:val="20"/>
          <w:lang w:val="es-ES_tradnl"/>
        </w:rPr>
      </w:pPr>
    </w:p>
    <w:p w:rsidR="00B070BF" w:rsidRPr="009577DE" w:rsidRDefault="00B070BF" w:rsidP="00B070BF">
      <w:pPr>
        <w:widowControl w:val="0"/>
        <w:rPr>
          <w:sz w:val="20"/>
          <w:lang w:val="es-ES_tradnl"/>
        </w:rPr>
      </w:pPr>
    </w:p>
    <w:p w:rsidR="00B070BF" w:rsidRPr="009577DE" w:rsidRDefault="00B070BF" w:rsidP="00B070BF">
      <w:pPr>
        <w:widowControl w:val="0"/>
        <w:rPr>
          <w:sz w:val="20"/>
          <w:u w:val="single"/>
          <w:lang w:val="es-ES_tradnl"/>
        </w:rPr>
      </w:pPr>
      <w:r>
        <w:rPr>
          <w:sz w:val="20"/>
          <w:lang w:val="es-ES_tradnl"/>
        </w:rPr>
        <w:t xml:space="preserve">A.  </w:t>
      </w:r>
      <w:r w:rsidRPr="009577DE">
        <w:rPr>
          <w:sz w:val="20"/>
          <w:u w:val="single"/>
          <w:lang w:val="es-ES_tradnl"/>
        </w:rPr>
        <w:t xml:space="preserve">Presupuesto </w:t>
      </w:r>
      <w:r>
        <w:rPr>
          <w:sz w:val="20"/>
          <w:u w:val="single"/>
          <w:lang w:val="es-ES_tradnl"/>
        </w:rPr>
        <w:t>2012/13</w:t>
      </w:r>
      <w:r w:rsidRPr="009577DE">
        <w:rPr>
          <w:sz w:val="20"/>
          <w:u w:val="single"/>
          <w:lang w:val="es-ES_tradnl"/>
        </w:rPr>
        <w:t xml:space="preserve"> después de las transferencias</w:t>
      </w:r>
    </w:p>
    <w:p w:rsidR="00B070BF" w:rsidRPr="009577DE" w:rsidRDefault="00B070BF" w:rsidP="00B070BF">
      <w:pPr>
        <w:widowControl w:val="0"/>
        <w:rPr>
          <w:sz w:val="20"/>
          <w:lang w:val="es-ES_tradnl"/>
        </w:rPr>
      </w:pPr>
    </w:p>
    <w:p w:rsidR="00B070BF" w:rsidRPr="009577DE" w:rsidRDefault="00B070BF" w:rsidP="00B070BF">
      <w:pPr>
        <w:widowControl w:val="0"/>
        <w:numPr>
          <w:ilvl w:val="0"/>
          <w:numId w:val="28"/>
        </w:numPr>
        <w:autoSpaceDE w:val="0"/>
        <w:autoSpaceDN w:val="0"/>
        <w:adjustRightInd w:val="0"/>
        <w:jc w:val="both"/>
        <w:rPr>
          <w:sz w:val="20"/>
          <w:lang w:val="es-ES_tradnl"/>
        </w:rPr>
      </w:pPr>
      <w:r w:rsidRPr="009577DE">
        <w:rPr>
          <w:rFonts w:eastAsia="Batang"/>
          <w:sz w:val="20"/>
          <w:lang w:val="es-ES_tradnl" w:eastAsia="ko-KR"/>
        </w:rPr>
        <w:t xml:space="preserve">Se continuó fortaleciendo este programa en 2012/13 por medio de la asignación de recursos de personal adicionales, comprendida la creación, a comienzos de 2013, de una sección dedicada a la coordinación de las actividades con los países desarrollados. </w:t>
      </w:r>
    </w:p>
    <w:p w:rsidR="00B070BF" w:rsidRPr="009577DE" w:rsidRDefault="00B070BF" w:rsidP="00B070BF">
      <w:pPr>
        <w:widowControl w:val="0"/>
        <w:jc w:val="both"/>
        <w:rPr>
          <w:sz w:val="20"/>
          <w:lang w:val="es-ES_tradnl"/>
        </w:rPr>
      </w:pPr>
    </w:p>
    <w:p w:rsidR="00B070BF" w:rsidRPr="009577DE" w:rsidRDefault="00B070BF" w:rsidP="00B070BF">
      <w:pPr>
        <w:widowControl w:val="0"/>
        <w:numPr>
          <w:ilvl w:val="0"/>
          <w:numId w:val="28"/>
        </w:numPr>
        <w:autoSpaceDE w:val="0"/>
        <w:autoSpaceDN w:val="0"/>
        <w:adjustRightInd w:val="0"/>
        <w:jc w:val="both"/>
        <w:rPr>
          <w:rFonts w:eastAsia="Batang"/>
          <w:sz w:val="20"/>
          <w:lang w:val="es-ES_tradnl" w:eastAsia="ko-KR"/>
        </w:rPr>
      </w:pPr>
      <w:r w:rsidRPr="009577DE">
        <w:rPr>
          <w:rFonts w:eastAsia="Batang"/>
          <w:sz w:val="20"/>
          <w:lang w:val="es-ES_tradnl" w:eastAsia="ko-KR"/>
        </w:rPr>
        <w:t>El aumento de los recursos relativos a los resultados I.4 (Asesoramiento en materia legislativa) y III.2 (Mejora de las capacidades en el ámbito de los recursos humanos) refleja el mayor hincapié que se hace en las actividades que tienen por objeto mejorar las capacidades en la esfera de los recursos humanos en el plano nacional para utilizar la P.I. en aras del desarrollo y la formulación de marcos legislativos y reguladores pertinentes y acordes con la aplicación de las estrategias nacionales de P.I.</w:t>
      </w:r>
    </w:p>
    <w:p w:rsidR="00B070BF" w:rsidRDefault="00B070BF" w:rsidP="00B070BF">
      <w:pPr>
        <w:widowControl w:val="0"/>
        <w:jc w:val="both"/>
        <w:rPr>
          <w:rFonts w:eastAsia="Batang"/>
          <w:sz w:val="20"/>
          <w:lang w:val="es-ES_tradnl" w:eastAsia="ko-KR"/>
        </w:rPr>
      </w:pPr>
    </w:p>
    <w:p w:rsidR="00B070BF" w:rsidRPr="009577DE" w:rsidRDefault="00B070BF" w:rsidP="00B070BF">
      <w:pPr>
        <w:widowControl w:val="0"/>
        <w:jc w:val="both"/>
        <w:rPr>
          <w:rFonts w:eastAsia="Batang"/>
          <w:sz w:val="20"/>
          <w:lang w:val="es-ES_tradnl" w:eastAsia="ko-KR"/>
        </w:rPr>
      </w:pPr>
    </w:p>
    <w:p w:rsidR="00B070BF" w:rsidRPr="009577DE" w:rsidRDefault="00B070BF" w:rsidP="00B070BF">
      <w:pPr>
        <w:widowControl w:val="0"/>
        <w:jc w:val="both"/>
        <w:rPr>
          <w:rFonts w:eastAsia="Batang"/>
          <w:sz w:val="20"/>
          <w:u w:val="single"/>
          <w:lang w:val="es-ES_tradnl" w:eastAsia="ko-KR"/>
        </w:rPr>
      </w:pPr>
      <w:r w:rsidRPr="009577DE">
        <w:rPr>
          <w:rFonts w:eastAsia="Batang"/>
          <w:sz w:val="20"/>
          <w:lang w:val="es-ES_tradnl" w:eastAsia="ko-KR"/>
        </w:rPr>
        <w:t xml:space="preserve">B. </w:t>
      </w:r>
      <w:r>
        <w:rPr>
          <w:rFonts w:eastAsia="Batang"/>
          <w:sz w:val="20"/>
          <w:lang w:val="es-ES_tradnl" w:eastAsia="ko-KR"/>
        </w:rPr>
        <w:t xml:space="preserve"> </w:t>
      </w:r>
      <w:r w:rsidRPr="009577DE">
        <w:rPr>
          <w:rFonts w:eastAsia="Batang"/>
          <w:sz w:val="20"/>
          <w:u w:val="single"/>
          <w:lang w:val="es-ES_tradnl" w:eastAsia="ko-KR"/>
        </w:rPr>
        <w:t>Utilización del presupuesto 2012</w:t>
      </w:r>
    </w:p>
    <w:p w:rsidR="00B070BF" w:rsidRPr="009577DE" w:rsidRDefault="00B070BF" w:rsidP="00B070BF">
      <w:pPr>
        <w:widowControl w:val="0"/>
        <w:jc w:val="both"/>
        <w:rPr>
          <w:rFonts w:eastAsia="Batang"/>
          <w:sz w:val="20"/>
          <w:lang w:val="es-ES_tradnl" w:eastAsia="ko-KR"/>
        </w:rPr>
      </w:pPr>
    </w:p>
    <w:p w:rsidR="00B070BF" w:rsidRPr="00F2661C" w:rsidRDefault="00B070BF" w:rsidP="00B070BF">
      <w:pPr>
        <w:widowControl w:val="0"/>
        <w:numPr>
          <w:ilvl w:val="0"/>
          <w:numId w:val="28"/>
        </w:numPr>
        <w:autoSpaceDE w:val="0"/>
        <w:autoSpaceDN w:val="0"/>
        <w:adjustRightInd w:val="0"/>
        <w:jc w:val="both"/>
        <w:rPr>
          <w:sz w:val="20"/>
          <w:lang w:val="es-ES_tradnl"/>
        </w:rPr>
      </w:pPr>
      <w:r w:rsidRPr="00F2661C">
        <w:rPr>
          <w:rFonts w:eastAsia="Batang"/>
          <w:sz w:val="20"/>
          <w:lang w:val="es-ES_tradnl" w:eastAsia="ko-KR"/>
        </w:rPr>
        <w:t>La utilización del presupuesto (39%) está ligeramente por debajo de la variación prevista de entre el 40% y el 60% en el primer año del bienio a causa de la finalización en curso de varias actividades iniciadas en 2012.</w:t>
      </w:r>
    </w:p>
    <w:p w:rsidR="00B070BF" w:rsidRPr="009577DE" w:rsidRDefault="00B070BF" w:rsidP="00B070BF">
      <w:pPr>
        <w:pStyle w:val="Heading2"/>
        <w:tabs>
          <w:tab w:val="left" w:pos="2835"/>
        </w:tabs>
        <w:rPr>
          <w:b/>
          <w:lang w:val="es-ES_tradnl"/>
        </w:rPr>
      </w:pPr>
      <w:r w:rsidRPr="009577DE">
        <w:rPr>
          <w:sz w:val="20"/>
          <w:lang w:val="es-ES_tradnl"/>
        </w:rPr>
        <w:br w:type="page"/>
      </w:r>
      <w:bookmarkStart w:id="32" w:name="_Toc359846796"/>
      <w:bookmarkStart w:id="33" w:name="_Toc359949320"/>
      <w:r w:rsidRPr="009577DE">
        <w:rPr>
          <w:b/>
          <w:lang w:val="es-ES_tradnl"/>
        </w:rPr>
        <w:lastRenderedPageBreak/>
        <w:t>PROGRAMA 11</w:t>
      </w:r>
      <w:r w:rsidRPr="009577DE">
        <w:rPr>
          <w:b/>
          <w:lang w:val="es-ES_tradnl"/>
        </w:rPr>
        <w:tab/>
        <w:t>ACADEMIA DE LA OMPI</w:t>
      </w:r>
      <w:bookmarkEnd w:id="32"/>
      <w:bookmarkEnd w:id="33"/>
    </w:p>
    <w:p w:rsidR="00B070BF" w:rsidRPr="009577DE" w:rsidRDefault="00B070BF" w:rsidP="00B070BF">
      <w:pPr>
        <w:widowControl w:val="0"/>
        <w:rPr>
          <w:bCs/>
          <w:sz w:val="20"/>
        </w:rPr>
      </w:pPr>
    </w:p>
    <w:p w:rsidR="00B070BF" w:rsidRPr="009577DE" w:rsidRDefault="00B070BF" w:rsidP="00B070BF">
      <w:pPr>
        <w:widowControl w:val="0"/>
        <w:rPr>
          <w:bCs/>
          <w:sz w:val="20"/>
        </w:rPr>
      </w:pPr>
    </w:p>
    <w:p w:rsidR="00B070BF" w:rsidRPr="009577DE" w:rsidRDefault="00B070BF" w:rsidP="00B070BF">
      <w:pPr>
        <w:widowControl w:val="0"/>
        <w:tabs>
          <w:tab w:val="left" w:pos="2268"/>
        </w:tabs>
        <w:rPr>
          <w:b/>
          <w:bCs/>
          <w:szCs w:val="22"/>
        </w:rPr>
      </w:pPr>
      <w:r w:rsidRPr="009577DE">
        <w:rPr>
          <w:b/>
          <w:szCs w:val="22"/>
        </w:rPr>
        <w:t>Director del Programa</w:t>
      </w:r>
      <w:r w:rsidRPr="009577DE">
        <w:rPr>
          <w:b/>
          <w:szCs w:val="22"/>
        </w:rPr>
        <w:tab/>
        <w:t>Sr. G. Onyeama</w:t>
      </w:r>
    </w:p>
    <w:p w:rsidR="00B070BF" w:rsidRPr="009577DE" w:rsidRDefault="00B070BF" w:rsidP="00B070BF">
      <w:pPr>
        <w:widowControl w:val="0"/>
        <w:rPr>
          <w:sz w:val="20"/>
        </w:rPr>
      </w:pPr>
    </w:p>
    <w:p w:rsidR="00B070BF" w:rsidRPr="009577DE" w:rsidRDefault="00B070BF" w:rsidP="00B070BF">
      <w:pPr>
        <w:widowControl w:val="0"/>
        <w:rPr>
          <w:bCs/>
          <w:sz w:val="20"/>
        </w:rPr>
      </w:pPr>
    </w:p>
    <w:p w:rsidR="00B070BF" w:rsidRPr="009577DE" w:rsidRDefault="00B070BF" w:rsidP="00B070BF">
      <w:pPr>
        <w:widowControl w:val="0"/>
        <w:spacing w:line="260" w:lineRule="atLeast"/>
        <w:rPr>
          <w:bCs/>
          <w:sz w:val="20"/>
          <w:lang w:val="es-ES_tradnl"/>
        </w:rPr>
      </w:pPr>
      <w:r w:rsidRPr="009577DE">
        <w:rPr>
          <w:bCs/>
          <w:sz w:val="20"/>
          <w:lang w:val="es-ES_tradnl"/>
        </w:rPr>
        <w:t>RESEÑA DE LOS AVANCES LOGRADOS EN 2012</w:t>
      </w:r>
    </w:p>
    <w:p w:rsidR="00B070BF" w:rsidRPr="009577DE" w:rsidRDefault="00B070BF" w:rsidP="00B070BF">
      <w:pPr>
        <w:widowControl w:val="0"/>
        <w:jc w:val="both"/>
        <w:rPr>
          <w:sz w:val="20"/>
          <w:lang w:val="es-ES_tradnl"/>
        </w:rPr>
      </w:pPr>
    </w:p>
    <w:p w:rsidR="00B070BF" w:rsidRPr="009577DE" w:rsidRDefault="00B070BF" w:rsidP="00B070BF">
      <w:pPr>
        <w:widowControl w:val="0"/>
        <w:numPr>
          <w:ilvl w:val="0"/>
          <w:numId w:val="26"/>
        </w:numPr>
        <w:autoSpaceDE w:val="0"/>
        <w:autoSpaceDN w:val="0"/>
        <w:adjustRightInd w:val="0"/>
        <w:jc w:val="both"/>
        <w:rPr>
          <w:bCs/>
          <w:sz w:val="20"/>
        </w:rPr>
      </w:pPr>
      <w:r w:rsidRPr="009577DE">
        <w:rPr>
          <w:bCs/>
          <w:sz w:val="20"/>
        </w:rPr>
        <w:t>En 2012, la Academia siguió organizando una gran variedad de actividades de formación y de enseñanza para satisfacer las necesidades de fortalecimiento de capacidades de los países en desarrollo, los PMA y los países con economías en transición mediante una combinación de:  i) actividades de formación presencial para funcionarios gubernamentales de oficinas de propiedad industrial o de derecho de autor y otras instituciones del sector público que participan directamente o indirectamente en la gestión o las negociaciones internacionales relativas a la P.I. (Programa de Desarrollo Profesional);  ii)  una cartera de 14 cursos de enseñanza a distancia en 11 idiomas (Programa de Enseñanza a Distancia);  iii) una serie de programas de máster conjuntos en Derecho de la propiedad intelectual y otras actividades diseñadas para la promoción de los estudios superiores en P.I. (Programa para instituciones académicas), así como actividades especiales para estudiantes, jóvenes profesionales de la P.I. (Programa de cursos de verano de la OMPI) y directivos que participan en la gestión de la P.I. (Programa para directivos).</w:t>
      </w:r>
    </w:p>
    <w:p w:rsidR="00B070BF" w:rsidRPr="009577DE" w:rsidRDefault="00B070BF" w:rsidP="00B070BF">
      <w:pPr>
        <w:widowControl w:val="0"/>
        <w:autoSpaceDE w:val="0"/>
        <w:autoSpaceDN w:val="0"/>
        <w:adjustRightInd w:val="0"/>
        <w:jc w:val="both"/>
        <w:rPr>
          <w:bCs/>
          <w:sz w:val="20"/>
        </w:rPr>
      </w:pPr>
    </w:p>
    <w:p w:rsidR="00B070BF" w:rsidRPr="009577DE" w:rsidRDefault="00B070BF" w:rsidP="00B070BF">
      <w:pPr>
        <w:widowControl w:val="0"/>
        <w:numPr>
          <w:ilvl w:val="0"/>
          <w:numId w:val="26"/>
        </w:numPr>
        <w:autoSpaceDE w:val="0"/>
        <w:autoSpaceDN w:val="0"/>
        <w:adjustRightInd w:val="0"/>
        <w:jc w:val="both"/>
        <w:rPr>
          <w:bCs/>
          <w:sz w:val="20"/>
        </w:rPr>
      </w:pPr>
      <w:r w:rsidRPr="009577DE">
        <w:rPr>
          <w:bCs/>
          <w:sz w:val="20"/>
        </w:rPr>
        <w:t>Con respecto al Programa de Desarrollo Profesional, en 2012, la Academia organizó 22 cursos de formación en asociación con las autoridades encargadas de la propiedad industrial y/o de los derechos de autor de Argelia, Austria, Canadá, España, Egipto, Estados Unidos de América, Filipinas, Finlandia, Francia, Honduras, Israel, México, Marruecos, Noruega, Portugal, Reino Unido, República Checa, Suecia y Suiza, así como la Organización Mundial del Comercio (OMC) y el Centro de Estudios Internacionales de la Propiedad Intelectual (CEIPI), en Estrasburgo.  Un total de 233 participantes procedentes de países en desarrollo, PMA y países con economías en transición se beneficiaron de estas actividades.  Los cursos trataron los siguientes temas principales:  la propiedad industrial en la economía mundial, los aspectos jurídicos, administrativos y económicos de la P.I., los procedimientos de búsqueda y examen de patentes, las marcas y aspectos comunes de la propiedad industrial, el Derecho de autor y los derechos conexos.</w:t>
      </w:r>
    </w:p>
    <w:p w:rsidR="00B070BF" w:rsidRPr="009577DE" w:rsidRDefault="00B070BF" w:rsidP="00B070BF">
      <w:pPr>
        <w:widowControl w:val="0"/>
        <w:autoSpaceDE w:val="0"/>
        <w:autoSpaceDN w:val="0"/>
        <w:adjustRightInd w:val="0"/>
        <w:jc w:val="both"/>
        <w:rPr>
          <w:bCs/>
          <w:sz w:val="20"/>
        </w:rPr>
      </w:pPr>
    </w:p>
    <w:p w:rsidR="00B070BF" w:rsidRPr="009577DE" w:rsidRDefault="00B070BF" w:rsidP="00B070BF">
      <w:pPr>
        <w:widowControl w:val="0"/>
        <w:autoSpaceDE w:val="0"/>
        <w:autoSpaceDN w:val="0"/>
        <w:adjustRightInd w:val="0"/>
        <w:rPr>
          <w:i/>
          <w:sz w:val="20"/>
        </w:rPr>
      </w:pPr>
    </w:p>
    <w:p w:rsidR="00B070BF" w:rsidRDefault="00B070BF" w:rsidP="00B070BF">
      <w:pPr>
        <w:widowControl w:val="0"/>
        <w:autoSpaceDE w:val="0"/>
        <w:autoSpaceDN w:val="0"/>
        <w:adjustRightInd w:val="0"/>
        <w:jc w:val="center"/>
        <w:rPr>
          <w:bCs/>
          <w:i/>
          <w:sz w:val="20"/>
        </w:rPr>
      </w:pPr>
      <w:r w:rsidRPr="009577DE">
        <w:rPr>
          <w:bCs/>
          <w:i/>
          <w:sz w:val="20"/>
        </w:rPr>
        <w:t>Distribución geográfica de los participantes en el Programa de Perfeccionamiento Profesional 2012</w:t>
      </w:r>
    </w:p>
    <w:p w:rsidR="00B070BF" w:rsidRDefault="00B070BF" w:rsidP="00B070BF">
      <w:pPr>
        <w:widowControl w:val="0"/>
        <w:autoSpaceDE w:val="0"/>
        <w:autoSpaceDN w:val="0"/>
        <w:adjustRightInd w:val="0"/>
        <w:jc w:val="center"/>
        <w:rPr>
          <w:bCs/>
          <w:i/>
          <w:sz w:val="20"/>
        </w:rPr>
      </w:pPr>
    </w:p>
    <w:p w:rsidR="00B070BF" w:rsidRDefault="00B070BF" w:rsidP="00B070BF">
      <w:pPr>
        <w:widowControl w:val="0"/>
        <w:autoSpaceDE w:val="0"/>
        <w:autoSpaceDN w:val="0"/>
        <w:adjustRightInd w:val="0"/>
        <w:jc w:val="center"/>
        <w:rPr>
          <w:bCs/>
          <w:i/>
          <w:sz w:val="20"/>
        </w:rPr>
      </w:pPr>
    </w:p>
    <w:p w:rsidR="00B070BF" w:rsidRDefault="00B070BF" w:rsidP="00B070BF">
      <w:pPr>
        <w:widowControl w:val="0"/>
        <w:autoSpaceDE w:val="0"/>
        <w:autoSpaceDN w:val="0"/>
        <w:adjustRightInd w:val="0"/>
        <w:jc w:val="center"/>
        <w:rPr>
          <w:bCs/>
          <w:i/>
          <w:sz w:val="20"/>
        </w:rPr>
      </w:pPr>
      <w:r>
        <w:rPr>
          <w:bCs/>
          <w:i/>
          <w:noProof/>
          <w:sz w:val="20"/>
          <w:lang w:val="en-US" w:eastAsia="en-US"/>
        </w:rPr>
        <w:drawing>
          <wp:inline distT="0" distB="0" distL="0" distR="0" wp14:anchorId="27D6CF4F" wp14:editId="76DBDFA4">
            <wp:extent cx="3243071" cy="1945843"/>
            <wp:effectExtent l="0" t="0" r="0" b="0"/>
            <wp:docPr id="259" name="Picture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254368" cy="1952621"/>
                    </a:xfrm>
                    <a:prstGeom prst="rect">
                      <a:avLst/>
                    </a:prstGeom>
                    <a:noFill/>
                    <a:ln>
                      <a:noFill/>
                    </a:ln>
                  </pic:spPr>
                </pic:pic>
              </a:graphicData>
            </a:graphic>
          </wp:inline>
        </w:drawing>
      </w:r>
    </w:p>
    <w:p w:rsidR="00B070BF" w:rsidRDefault="00B070BF" w:rsidP="00B070BF">
      <w:pPr>
        <w:widowControl w:val="0"/>
        <w:autoSpaceDE w:val="0"/>
        <w:autoSpaceDN w:val="0"/>
        <w:adjustRightInd w:val="0"/>
        <w:jc w:val="center"/>
        <w:rPr>
          <w:bCs/>
          <w:i/>
          <w:sz w:val="20"/>
        </w:rPr>
      </w:pPr>
    </w:p>
    <w:p w:rsidR="00B070BF" w:rsidRPr="009577DE" w:rsidRDefault="00B070BF" w:rsidP="00B070BF">
      <w:pPr>
        <w:widowControl w:val="0"/>
        <w:numPr>
          <w:ilvl w:val="0"/>
          <w:numId w:val="26"/>
        </w:numPr>
        <w:autoSpaceDE w:val="0"/>
        <w:autoSpaceDN w:val="0"/>
        <w:adjustRightInd w:val="0"/>
        <w:jc w:val="both"/>
        <w:rPr>
          <w:sz w:val="20"/>
        </w:rPr>
      </w:pPr>
      <w:r w:rsidRPr="009577DE">
        <w:rPr>
          <w:sz w:val="20"/>
        </w:rPr>
        <w:t xml:space="preserve">A finales de 2011 se estableció una nueva y más eficiente plataforma de enseñanza a distancia.  En 2012, un total de 40.844 personas procedentes de 186 países se beneficiaron de las actividades plurilingües (once idiomas) del programa de enseñanza a distancia, en comparación con un total 33.019 personas en 2011.  Las actividades incluyeron tres cursos generales de enseñanza a distancia (36.236 personas inscritas), ocho cursos avanzados de enseñanza a distancia (1.624 personas inscritas) y 22 sesiones especiales adaptadas a las necesidades específicas de instituciones nacionales (en Brasil, China, Croacia, Honduras, México, República de Corea, Serbia, así como la ARIPO), de tres CATI a la tecnología y la innovación (CATI) (en Etiopía, Federación de Rusia y Uruguay) y de ocho universidades.  Además, se organizó una sesión especial para Colombia en el marco del proyecto de creación de </w:t>
      </w:r>
      <w:r w:rsidRPr="009577DE">
        <w:rPr>
          <w:sz w:val="20"/>
        </w:rPr>
        <w:lastRenderedPageBreak/>
        <w:t>academias nacionales de P.I.  Más de 2.500 personas se beneficiaron de dichas sesiones especiales.  Por último, la Academia de la OMPI siguió examinando regularmente el contenido de sus cursos de enseñanza a distancia (principalmente a través de los comentarios de los participantes y del intercambio de información entre los tutores de enseñanza a distancia) con el fin de actualizarlo y adaptarlo a los objetivos de la Agenda para el Desarrollo.</w:t>
      </w:r>
    </w:p>
    <w:p w:rsidR="00B070BF" w:rsidRDefault="00B070BF" w:rsidP="00B070BF">
      <w:pPr>
        <w:widowControl w:val="0"/>
        <w:autoSpaceDE w:val="0"/>
        <w:autoSpaceDN w:val="0"/>
        <w:adjustRightInd w:val="0"/>
        <w:jc w:val="both"/>
        <w:rPr>
          <w:sz w:val="20"/>
        </w:rPr>
      </w:pPr>
    </w:p>
    <w:p w:rsidR="00B070BF" w:rsidRPr="009577DE" w:rsidRDefault="00B070BF" w:rsidP="00B070BF">
      <w:pPr>
        <w:widowControl w:val="0"/>
        <w:autoSpaceDE w:val="0"/>
        <w:autoSpaceDN w:val="0"/>
        <w:adjustRightInd w:val="0"/>
        <w:jc w:val="both"/>
        <w:rPr>
          <w:sz w:val="20"/>
        </w:rPr>
      </w:pPr>
    </w:p>
    <w:p w:rsidR="00B070BF" w:rsidRDefault="00B070BF" w:rsidP="00B070BF">
      <w:pPr>
        <w:widowControl w:val="0"/>
        <w:ind w:left="720"/>
        <w:rPr>
          <w:rFonts w:eastAsia="Times New Roman"/>
          <w:i/>
          <w:sz w:val="20"/>
          <w:lang w:eastAsia="en-US"/>
        </w:rPr>
      </w:pPr>
      <w:r w:rsidRPr="009577DE">
        <w:rPr>
          <w:rFonts w:eastAsia="Times New Roman"/>
          <w:i/>
          <w:sz w:val="20"/>
          <w:lang w:eastAsia="en-US"/>
        </w:rPr>
        <w:t>Distribución geográfica de los participantes en el Programa de Enseñanza a Distancia 2012</w:t>
      </w:r>
    </w:p>
    <w:p w:rsidR="00B070BF" w:rsidRDefault="00B070BF" w:rsidP="00B070BF">
      <w:pPr>
        <w:widowControl w:val="0"/>
        <w:ind w:left="720"/>
        <w:rPr>
          <w:rFonts w:eastAsia="Times New Roman"/>
          <w:i/>
          <w:sz w:val="20"/>
          <w:lang w:eastAsia="en-US"/>
        </w:rPr>
      </w:pPr>
    </w:p>
    <w:p w:rsidR="00B070BF" w:rsidRDefault="00B070BF" w:rsidP="00B070BF">
      <w:pPr>
        <w:widowControl w:val="0"/>
        <w:ind w:left="720"/>
        <w:jc w:val="center"/>
        <w:rPr>
          <w:sz w:val="20"/>
        </w:rPr>
      </w:pPr>
      <w:r>
        <w:rPr>
          <w:rFonts w:eastAsia="Times New Roman"/>
          <w:i/>
          <w:noProof/>
          <w:sz w:val="20"/>
          <w:lang w:val="en-US" w:eastAsia="en-US"/>
        </w:rPr>
        <w:drawing>
          <wp:inline distT="0" distB="0" distL="0" distR="0" wp14:anchorId="6C1F7D87" wp14:editId="0F1F93EA">
            <wp:extent cx="3018086" cy="1909267"/>
            <wp:effectExtent l="0" t="0" r="0" b="0"/>
            <wp:docPr id="263" name="Picture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3023783" cy="1912871"/>
                    </a:xfrm>
                    <a:prstGeom prst="rect">
                      <a:avLst/>
                    </a:prstGeom>
                    <a:noFill/>
                    <a:ln>
                      <a:noFill/>
                    </a:ln>
                  </pic:spPr>
                </pic:pic>
              </a:graphicData>
            </a:graphic>
          </wp:inline>
        </w:drawing>
      </w:r>
    </w:p>
    <w:p w:rsidR="00B070BF" w:rsidRPr="009577DE" w:rsidRDefault="00B070BF" w:rsidP="00B070BF">
      <w:pPr>
        <w:widowControl w:val="0"/>
        <w:ind w:left="720"/>
        <w:jc w:val="center"/>
        <w:rPr>
          <w:sz w:val="20"/>
        </w:rPr>
      </w:pPr>
    </w:p>
    <w:p w:rsidR="00B070BF" w:rsidRPr="009577DE" w:rsidRDefault="00B070BF" w:rsidP="00B070BF">
      <w:pPr>
        <w:widowControl w:val="0"/>
        <w:numPr>
          <w:ilvl w:val="0"/>
          <w:numId w:val="26"/>
        </w:numPr>
        <w:autoSpaceDE w:val="0"/>
        <w:autoSpaceDN w:val="0"/>
        <w:adjustRightInd w:val="0"/>
        <w:jc w:val="both"/>
        <w:rPr>
          <w:sz w:val="20"/>
        </w:rPr>
      </w:pPr>
      <w:r w:rsidRPr="009577DE">
        <w:rPr>
          <w:sz w:val="20"/>
        </w:rPr>
        <w:t xml:space="preserve">El Programa de instituciones académicas siguió ofreciendo cursos de máster </w:t>
      </w:r>
      <w:r w:rsidRPr="009577DE">
        <w:rPr>
          <w:bCs/>
          <w:sz w:val="20"/>
        </w:rPr>
        <w:t xml:space="preserve">conjuntos en Derecho de la propiedad intelectual para beneficiar a los nacionales de países en desarrollo y países con economías en transición, en cooperación con una serie de universidades.  En 2012, un total de 140 estudiantes procedentes de 86 países, de los cuales 72 recibieron el financiamiento íntegro de sus estudios de parte la OMPI, se graduaron en el marco de los programas de maestría que ofreció la Academia de la OMPI en colaboración con la Universidad de Turín (Italia); la </w:t>
      </w:r>
      <w:proofErr w:type="spellStart"/>
      <w:r w:rsidRPr="009577DE">
        <w:rPr>
          <w:bCs/>
          <w:sz w:val="20"/>
        </w:rPr>
        <w:t>Africa</w:t>
      </w:r>
      <w:proofErr w:type="spellEnd"/>
      <w:r w:rsidRPr="009577DE">
        <w:rPr>
          <w:bCs/>
          <w:sz w:val="20"/>
        </w:rPr>
        <w:t xml:space="preserve"> </w:t>
      </w:r>
      <w:proofErr w:type="spellStart"/>
      <w:r w:rsidRPr="009577DE">
        <w:rPr>
          <w:bCs/>
          <w:sz w:val="20"/>
        </w:rPr>
        <w:t>University</w:t>
      </w:r>
      <w:proofErr w:type="spellEnd"/>
      <w:r w:rsidRPr="009577DE">
        <w:rPr>
          <w:bCs/>
          <w:sz w:val="20"/>
        </w:rPr>
        <w:t xml:space="preserve"> y la ARIPO (</w:t>
      </w:r>
      <w:proofErr w:type="spellStart"/>
      <w:r w:rsidRPr="009577DE">
        <w:rPr>
          <w:bCs/>
          <w:sz w:val="20"/>
        </w:rPr>
        <w:t>Zimbabwe</w:t>
      </w:r>
      <w:proofErr w:type="spellEnd"/>
      <w:r w:rsidRPr="009577DE">
        <w:rPr>
          <w:bCs/>
          <w:sz w:val="20"/>
        </w:rPr>
        <w:t xml:space="preserve">), la Queensland </w:t>
      </w:r>
      <w:proofErr w:type="spellStart"/>
      <w:r w:rsidRPr="009577DE">
        <w:rPr>
          <w:bCs/>
          <w:sz w:val="20"/>
        </w:rPr>
        <w:t>University</w:t>
      </w:r>
      <w:proofErr w:type="spellEnd"/>
      <w:r w:rsidRPr="009577DE">
        <w:rPr>
          <w:bCs/>
          <w:sz w:val="20"/>
        </w:rPr>
        <w:t xml:space="preserve"> of </w:t>
      </w:r>
      <w:proofErr w:type="spellStart"/>
      <w:r w:rsidRPr="009577DE">
        <w:rPr>
          <w:bCs/>
          <w:sz w:val="20"/>
        </w:rPr>
        <w:t>Technology</w:t>
      </w:r>
      <w:proofErr w:type="spellEnd"/>
      <w:r w:rsidRPr="009577DE">
        <w:rPr>
          <w:bCs/>
          <w:sz w:val="20"/>
        </w:rPr>
        <w:t xml:space="preserve"> (QUT) (Australia); la Universidad de Yaundé II y la Organización Africana de la Propiedad Intelectual (OAPI) (Camerún); la Universidad Nacional de Seúl (SNU) y la Oficina Surcoreana de la Propiedad Intelectual (KIPO) (República de Corea).  Además, la OMPI firmó en 2012 un nuevo acuerdo con la Universidad Austral y el Instituto Nacional de Propiedad Industrial (INPI) (Argentina) con el fin organizar un nuevo máster conjunto en P.I. para los países de América Latina (en español) en 2013.  Asimismo, la Academia prestó asistencia a cinco instituciones académicas de países en desarrollo para el establecimiento de nuevos planes de estudio o la revisión de los existentes en el ámbito de los estudios superiores en P.I.  La Academia conjuntamente con la OMC organizó un coloquio para profesores de propiedad intelectual en Ginebra que benefició a 22 académicos procedentes de países en desarrollo y de países con economías en transición.  Estas actividades han sido complementadas con la financiación otorgada a cinco académicos de países en desarrollo para su participación en la Reunión Anual de la Asociación Internacional para el Progreso de la Enseñanza y la Investigación de la Propiedad Intelectual (ATRIP), así como con la organización, en Ginebra, de siete actividades de formación ad hoc sobre P.I. para un total de 228 personas, incluidos 31 diplomáticos residentes en Ginebra.</w:t>
      </w:r>
    </w:p>
    <w:p w:rsidR="00B070BF" w:rsidRPr="009577DE" w:rsidRDefault="00B070BF" w:rsidP="00B070BF">
      <w:pPr>
        <w:widowControl w:val="0"/>
        <w:autoSpaceDE w:val="0"/>
        <w:autoSpaceDN w:val="0"/>
        <w:adjustRightInd w:val="0"/>
        <w:jc w:val="both"/>
        <w:rPr>
          <w:sz w:val="20"/>
        </w:rPr>
      </w:pPr>
    </w:p>
    <w:p w:rsidR="00B070BF" w:rsidRPr="009577DE" w:rsidRDefault="00B070BF" w:rsidP="00B070BF">
      <w:pPr>
        <w:widowControl w:val="0"/>
        <w:numPr>
          <w:ilvl w:val="0"/>
          <w:numId w:val="26"/>
        </w:numPr>
        <w:autoSpaceDE w:val="0"/>
        <w:autoSpaceDN w:val="0"/>
        <w:adjustRightInd w:val="0"/>
        <w:jc w:val="both"/>
        <w:rPr>
          <w:sz w:val="20"/>
        </w:rPr>
      </w:pPr>
      <w:r w:rsidRPr="009577DE">
        <w:rPr>
          <w:sz w:val="20"/>
        </w:rPr>
        <w:t>En 2012, la Academia organizó dos sesiones de formación de tres días en el marco del Programa para Directivos que fueron dirigidas a 48 directivos procedentes de 18 países.  Las sesiones se celebraron respectivamente en Santiago de Chile en marzo y en Ciudad del Cabo (Sudáfrica) en diciembre.  La participación de especialistas con mucha experiencia y altamente cualificados, así como una pedagogía diseñada especialmente para la ocasión contribuyeron al éxito de estas actividades.</w:t>
      </w:r>
    </w:p>
    <w:p w:rsidR="00B070BF" w:rsidRPr="009577DE" w:rsidRDefault="00B070BF" w:rsidP="00B070BF">
      <w:pPr>
        <w:widowControl w:val="0"/>
        <w:autoSpaceDE w:val="0"/>
        <w:autoSpaceDN w:val="0"/>
        <w:adjustRightInd w:val="0"/>
        <w:jc w:val="both"/>
        <w:rPr>
          <w:sz w:val="20"/>
        </w:rPr>
      </w:pPr>
    </w:p>
    <w:p w:rsidR="00B070BF" w:rsidRPr="009577DE" w:rsidRDefault="00B070BF" w:rsidP="00B070BF">
      <w:pPr>
        <w:widowControl w:val="0"/>
        <w:numPr>
          <w:ilvl w:val="0"/>
          <w:numId w:val="26"/>
        </w:numPr>
        <w:autoSpaceDE w:val="0"/>
        <w:autoSpaceDN w:val="0"/>
        <w:adjustRightInd w:val="0"/>
        <w:jc w:val="both"/>
        <w:rPr>
          <w:sz w:val="20"/>
        </w:rPr>
      </w:pPr>
      <w:r w:rsidRPr="009577DE">
        <w:rPr>
          <w:sz w:val="20"/>
        </w:rPr>
        <w:t>Asimismo, en 2012 la Academia de la OMPI organizó ocho sesiones en el marco del programa de cursos de verano en cooperación con siete gobiernos anfitriones (Croacia, Estados Unidos de América, Federación de Rusia, México, República de Corea, Sudáfrica y Ucrania) y una universidad (Universidad de Ginebra).  Las sesiones brindaron la oportunidad a un total de 301 estudiantes y jóvenes profesionales de apreciar la importancia de la P.I. para el desarrollo, así como la función que desempeña la OMPI en la cooperación multilateral en materia de P.I.  De estas ocho sesiones, una (en Washington D.C.) se centró en las marcas y otra (en Ciudad del Cabo) en la transferencia de tecnología.</w:t>
      </w:r>
    </w:p>
    <w:p w:rsidR="00B070BF" w:rsidRPr="009577DE" w:rsidRDefault="00B070BF" w:rsidP="00B070BF">
      <w:pPr>
        <w:widowControl w:val="0"/>
        <w:autoSpaceDE w:val="0"/>
        <w:autoSpaceDN w:val="0"/>
        <w:adjustRightInd w:val="0"/>
        <w:jc w:val="both"/>
        <w:rPr>
          <w:sz w:val="20"/>
        </w:rPr>
      </w:pPr>
    </w:p>
    <w:p w:rsidR="00B070BF" w:rsidRPr="009577DE" w:rsidRDefault="00B070BF" w:rsidP="00B070BF">
      <w:pPr>
        <w:widowControl w:val="0"/>
        <w:numPr>
          <w:ilvl w:val="0"/>
          <w:numId w:val="26"/>
        </w:numPr>
        <w:autoSpaceDE w:val="0"/>
        <w:autoSpaceDN w:val="0"/>
        <w:adjustRightInd w:val="0"/>
        <w:jc w:val="both"/>
        <w:rPr>
          <w:bCs/>
          <w:sz w:val="20"/>
        </w:rPr>
      </w:pPr>
      <w:r w:rsidRPr="009577DE">
        <w:rPr>
          <w:bCs/>
          <w:sz w:val="20"/>
        </w:rPr>
        <w:t xml:space="preserve">En mayo de 2012, el CDIP aprobó la segunda fase del </w:t>
      </w:r>
      <w:r w:rsidRPr="009577DE">
        <w:rPr>
          <w:sz w:val="20"/>
        </w:rPr>
        <w:t xml:space="preserve">proyecto de creación de academias nacionales de P.I. que abarcó seis países.  Por consiguiente, la Academia comenzó y/o siguió ejecutando actividades del proyecto en cuatro países en los que las actividades ya habían comenzado </w:t>
      </w:r>
      <w:r w:rsidRPr="009577DE">
        <w:rPr>
          <w:sz w:val="20"/>
        </w:rPr>
        <w:lastRenderedPageBreak/>
        <w:t>durante la primera fase (Colombia, Ecuador, República Dominicana y Perú) y dos nuevos países (Egipto y Túnez).  Las actividades se centraron en la formación de los formadores mediante talleres locales y la participación de ciertos formadores nacionales en el programa de máster conjunto en P.I.</w:t>
      </w:r>
    </w:p>
    <w:p w:rsidR="00B070BF" w:rsidRPr="009577DE" w:rsidRDefault="00B070BF" w:rsidP="00B070BF">
      <w:pPr>
        <w:widowControl w:val="0"/>
        <w:jc w:val="both"/>
        <w:rPr>
          <w:bCs/>
          <w:sz w:val="20"/>
        </w:rPr>
      </w:pPr>
    </w:p>
    <w:p w:rsidR="00B070BF" w:rsidRPr="009577DE" w:rsidRDefault="00B070BF" w:rsidP="00B070BF">
      <w:pPr>
        <w:widowControl w:val="0"/>
        <w:jc w:val="both"/>
        <w:rPr>
          <w:bCs/>
          <w:sz w:val="20"/>
        </w:rPr>
      </w:pPr>
    </w:p>
    <w:p w:rsidR="00B070BF" w:rsidRPr="009577DE" w:rsidRDefault="00B070BF" w:rsidP="00B070BF">
      <w:pPr>
        <w:widowControl w:val="0"/>
        <w:jc w:val="both"/>
        <w:rPr>
          <w:bCs/>
          <w:sz w:val="20"/>
          <w:lang w:val="pt-BR"/>
        </w:rPr>
      </w:pPr>
      <w:r w:rsidRPr="009577DE">
        <w:rPr>
          <w:bCs/>
          <w:sz w:val="20"/>
          <w:lang w:val="es-ES_tradnl"/>
        </w:rPr>
        <w:t>APLICACIÓN DE LA AGENDA PARA EL DESARROLLO</w:t>
      </w:r>
      <w:r w:rsidRPr="009577DE">
        <w:rPr>
          <w:bCs/>
          <w:sz w:val="20"/>
          <w:lang w:val="pt-BR"/>
        </w:rPr>
        <w:t xml:space="preserve"> </w:t>
      </w:r>
    </w:p>
    <w:p w:rsidR="00B070BF" w:rsidRPr="009577DE" w:rsidRDefault="00B070BF" w:rsidP="00B070BF">
      <w:pPr>
        <w:widowControl w:val="0"/>
        <w:autoSpaceDE w:val="0"/>
        <w:autoSpaceDN w:val="0"/>
        <w:adjustRightInd w:val="0"/>
        <w:rPr>
          <w:bCs/>
          <w:sz w:val="20"/>
          <w:lang w:val="es-ES_tradnl"/>
        </w:rPr>
      </w:pPr>
    </w:p>
    <w:p w:rsidR="00B070BF" w:rsidRPr="009577DE" w:rsidRDefault="00B070BF" w:rsidP="00B070BF">
      <w:pPr>
        <w:widowControl w:val="0"/>
        <w:numPr>
          <w:ilvl w:val="0"/>
          <w:numId w:val="26"/>
        </w:numPr>
        <w:jc w:val="both"/>
        <w:rPr>
          <w:rFonts w:eastAsia="MS Mincho"/>
          <w:sz w:val="20"/>
          <w:lang w:val="es-ES_tradnl" w:eastAsia="ja-JP" w:bidi="th-TH"/>
        </w:rPr>
      </w:pPr>
      <w:r w:rsidRPr="009577DE">
        <w:rPr>
          <w:rFonts w:eastAsia="MS Mincho"/>
          <w:sz w:val="20"/>
          <w:lang w:val="es-ES_tradnl" w:eastAsia="ja-JP" w:bidi="th-TH"/>
        </w:rPr>
        <w:t>El diseño, la planificación y la ejecución de las actividades del programa 11 se guiaron por las recomendaciones de la Agenda para el Desarrollo. Los programas de la Academia se orientaron al desarrollo y atendieron las exigencias de las partes interesadas (recomendación 1) y procuraron presentar la P.I. a diferentes niveles académicos y generar un mayor nivel de sensibilización pública hacia la P.I (recomendación 3).  En concordancia con la recomendación 5, se publicaron a finales de 2012 los primeros Programas de Enseñanza y Formación de la Academia de la OMPI, en los que se exponían, de forma clara y transparente, el contenido y los asociados de todos los programas de formación de la Academia de la OMPI, demostrando la oferta variada y creciente del Programa de Desarrollo Profesional, el Programa de Aprendizaje a Distancia, el Programa para instituciones académicas, el Programa de formación para directivos y los Cursos de Verano de la OMPI.  Además, en el marco del Programa de Aprendizaje a Distancia se elaboraron módulos de la Agenda para el Desarrollo específicos para sus cursos, en consulta con expertos de la Organización, la comunidad académica y las autoridades nacionales.  Asimismo, se inició un proceso de revisión de la actual cartera con el fin de integrar en ésta nuevas actividades de formación.</w:t>
      </w:r>
    </w:p>
    <w:p w:rsidR="00B070BF" w:rsidRPr="009577DE" w:rsidRDefault="00B070BF" w:rsidP="00B070BF">
      <w:pPr>
        <w:widowControl w:val="0"/>
        <w:jc w:val="both"/>
        <w:rPr>
          <w:rFonts w:eastAsia="MS Mincho"/>
          <w:bCs/>
          <w:sz w:val="20"/>
          <w:lang w:eastAsia="ja-JP" w:bidi="th-TH"/>
        </w:rPr>
      </w:pPr>
    </w:p>
    <w:p w:rsidR="00B070BF" w:rsidRPr="009577DE" w:rsidRDefault="00B070BF" w:rsidP="00B070BF">
      <w:pPr>
        <w:widowControl w:val="0"/>
        <w:numPr>
          <w:ilvl w:val="0"/>
          <w:numId w:val="26"/>
        </w:numPr>
        <w:jc w:val="both"/>
        <w:rPr>
          <w:rFonts w:eastAsia="MS Mincho"/>
          <w:sz w:val="20"/>
          <w:lang w:eastAsia="ja-JP" w:bidi="th-TH"/>
        </w:rPr>
      </w:pPr>
      <w:r w:rsidRPr="009577DE">
        <w:rPr>
          <w:rFonts w:eastAsia="MS Mincho"/>
          <w:sz w:val="20"/>
          <w:lang w:eastAsia="ja-JP" w:bidi="th-TH"/>
        </w:rPr>
        <w:t>La Fase I del proyecto piloto para la creación de academias nacionales de P.I. finalizó y se evaluó.  El informe de evaluación fue presentado al Comité.  El Comité aprobó la Fase II del proyecto para un total de seis países de los cuales dos han iniciado el proyecto de nuevo (Egipto y Túnez) y cuatro (Colombia, Ecuador y República Dominica</w:t>
      </w:r>
      <w:r>
        <w:rPr>
          <w:rFonts w:eastAsia="MS Mincho"/>
          <w:sz w:val="20"/>
          <w:lang w:eastAsia="ja-JP" w:bidi="th-TH"/>
        </w:rPr>
        <w:t>na</w:t>
      </w:r>
      <w:r w:rsidRPr="009577DE">
        <w:rPr>
          <w:rFonts w:eastAsia="MS Mincho"/>
          <w:sz w:val="20"/>
          <w:lang w:eastAsia="ja-JP" w:bidi="th-TH"/>
        </w:rPr>
        <w:t>) concluirán las actividades de la Fase I.</w:t>
      </w:r>
    </w:p>
    <w:p w:rsidR="00B070BF" w:rsidRPr="009577DE" w:rsidRDefault="00B070BF" w:rsidP="00B070BF">
      <w:pPr>
        <w:widowControl w:val="0"/>
        <w:rPr>
          <w:rFonts w:eastAsia="MS Mincho"/>
          <w:sz w:val="20"/>
          <w:lang w:eastAsia="ja-JP" w:bidi="th-TH"/>
        </w:rPr>
      </w:pPr>
    </w:p>
    <w:p w:rsidR="00B070BF" w:rsidRPr="009577DE" w:rsidRDefault="00B070BF" w:rsidP="00B070BF">
      <w:pPr>
        <w:widowControl w:val="0"/>
        <w:jc w:val="both"/>
        <w:rPr>
          <w:sz w:val="20"/>
        </w:rPr>
      </w:pPr>
    </w:p>
    <w:p w:rsidR="00B070BF" w:rsidRPr="00BF0B56" w:rsidRDefault="00B070BF" w:rsidP="00B070BF">
      <w:pPr>
        <w:widowControl w:val="0"/>
        <w:jc w:val="both"/>
        <w:rPr>
          <w:sz w:val="20"/>
        </w:rPr>
      </w:pPr>
      <w:r w:rsidRPr="00BF0B56">
        <w:rPr>
          <w:sz w:val="20"/>
        </w:rPr>
        <w:t>DATOS SOBRE EL RENDIMIENTO</w:t>
      </w:r>
    </w:p>
    <w:p w:rsidR="00B070BF" w:rsidRPr="009577DE" w:rsidRDefault="00B070BF" w:rsidP="00B070BF">
      <w:pPr>
        <w:widowControl w:val="0"/>
        <w:jc w:val="both"/>
        <w:rPr>
          <w:sz w:val="20"/>
          <w:lang w:val="es-ES_tradnl"/>
        </w:rPr>
      </w:pPr>
    </w:p>
    <w:tbl>
      <w:tblPr>
        <w:tblW w:w="5000" w:type="pct"/>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631"/>
        <w:gridCol w:w="1499"/>
        <w:gridCol w:w="1709"/>
        <w:gridCol w:w="3493"/>
        <w:gridCol w:w="1239"/>
      </w:tblGrid>
      <w:tr w:rsidR="00B070BF" w:rsidRPr="009577DE" w:rsidTr="00C33D4A">
        <w:trPr>
          <w:cantSplit/>
        </w:trPr>
        <w:tc>
          <w:tcPr>
            <w:tcW w:w="5000" w:type="pct"/>
            <w:gridSpan w:val="5"/>
            <w:tcBorders>
              <w:top w:val="single" w:sz="4" w:space="0" w:color="auto"/>
              <w:left w:val="single" w:sz="4" w:space="0" w:color="auto"/>
              <w:bottom w:val="nil"/>
              <w:right w:val="single" w:sz="4" w:space="0" w:color="auto"/>
            </w:tcBorders>
            <w:shd w:val="clear" w:color="auto" w:fill="CCFFFF"/>
            <w:vAlign w:val="center"/>
          </w:tcPr>
          <w:p w:rsidR="00B070BF" w:rsidRPr="009577DE" w:rsidRDefault="00B070BF" w:rsidP="00C33D4A">
            <w:pPr>
              <w:widowControl w:val="0"/>
              <w:spacing w:before="120" w:after="120"/>
              <w:ind w:left="1735" w:hanging="1735"/>
              <w:rPr>
                <w:b/>
                <w:bCs/>
                <w:sz w:val="16"/>
                <w:szCs w:val="16"/>
                <w:lang w:val="es-ES_tradnl"/>
              </w:rPr>
            </w:pPr>
            <w:bookmarkStart w:id="34" w:name="_Toc359846797"/>
            <w:r w:rsidRPr="009577DE">
              <w:rPr>
                <w:b/>
                <w:bCs/>
                <w:sz w:val="16"/>
                <w:szCs w:val="16"/>
                <w:lang w:val="es-ES_tradnl"/>
              </w:rPr>
              <w:t>Resultado previsto:</w:t>
            </w:r>
            <w:r w:rsidRPr="009577DE">
              <w:rPr>
                <w:b/>
                <w:bCs/>
                <w:sz w:val="16"/>
                <w:szCs w:val="16"/>
                <w:lang w:val="es-ES_tradnl"/>
              </w:rPr>
              <w:tab/>
            </w:r>
            <w:r w:rsidRPr="009577DE">
              <w:rPr>
                <w:bCs/>
                <w:sz w:val="16"/>
                <w:szCs w:val="16"/>
                <w:lang w:val="es-ES_tradnl"/>
              </w:rPr>
              <w:t>Mejora de las capacidades en el ámbito de los recursos humanos para hacer frente al amplio espectro de exigencias que supone la utilización eficaz de la P.I. en aras del desarrollo en los países en desarrollo, PMA y países con economías en transición.</w:t>
            </w:r>
          </w:p>
        </w:tc>
      </w:tr>
      <w:tr w:rsidR="00B070BF" w:rsidRPr="009577DE" w:rsidTr="00C33D4A">
        <w:trPr>
          <w:cantSplit/>
        </w:trPr>
        <w:tc>
          <w:tcPr>
            <w:tcW w:w="852" w:type="pct"/>
            <w:tcBorders>
              <w:top w:val="single" w:sz="4" w:space="0" w:color="auto"/>
              <w:left w:val="single" w:sz="4" w:space="0" w:color="auto"/>
              <w:bottom w:val="single" w:sz="4" w:space="0" w:color="auto"/>
            </w:tcBorders>
            <w:shd w:val="clear" w:color="auto" w:fill="auto"/>
            <w:vAlign w:val="center"/>
          </w:tcPr>
          <w:p w:rsidR="00B070BF" w:rsidRPr="009577DE" w:rsidRDefault="00B070BF" w:rsidP="00C33D4A">
            <w:pPr>
              <w:widowControl w:val="0"/>
              <w:spacing w:after="120"/>
              <w:rPr>
                <w:sz w:val="16"/>
                <w:szCs w:val="16"/>
                <w:lang w:val="es-ES_tradnl"/>
              </w:rPr>
            </w:pPr>
            <w:r w:rsidRPr="009577DE">
              <w:rPr>
                <w:b/>
                <w:bCs/>
                <w:sz w:val="16"/>
                <w:szCs w:val="16"/>
                <w:lang w:val="es-ES_tradnl"/>
              </w:rPr>
              <w:t>Indicadores de rendimiento</w:t>
            </w:r>
          </w:p>
        </w:tc>
        <w:tc>
          <w:tcPr>
            <w:tcW w:w="783" w:type="pct"/>
            <w:tcBorders>
              <w:top w:val="single" w:sz="4" w:space="0" w:color="auto"/>
              <w:bottom w:val="single" w:sz="4" w:space="0" w:color="auto"/>
            </w:tcBorders>
            <w:shd w:val="clear" w:color="auto" w:fill="C0C0C0"/>
          </w:tcPr>
          <w:p w:rsidR="00B070BF" w:rsidRPr="009577DE" w:rsidRDefault="00B070BF" w:rsidP="00C33D4A">
            <w:pPr>
              <w:widowControl w:val="0"/>
              <w:spacing w:after="120"/>
              <w:rPr>
                <w:b/>
                <w:bCs/>
                <w:sz w:val="16"/>
                <w:szCs w:val="16"/>
                <w:lang w:val="es-ES_tradnl"/>
              </w:rPr>
            </w:pPr>
            <w:r w:rsidRPr="009577DE">
              <w:rPr>
                <w:b/>
                <w:bCs/>
                <w:sz w:val="16"/>
                <w:szCs w:val="16"/>
                <w:lang w:val="es-ES_tradnl"/>
              </w:rPr>
              <w:t>Referencia (</w:t>
            </w:r>
            <w:proofErr w:type="spellStart"/>
            <w:r w:rsidRPr="009577DE">
              <w:rPr>
                <w:b/>
                <w:bCs/>
                <w:sz w:val="16"/>
                <w:szCs w:val="16"/>
                <w:lang w:val="es-ES_tradnl"/>
              </w:rPr>
              <w:t>Presup</w:t>
            </w:r>
            <w:proofErr w:type="spellEnd"/>
            <w:r w:rsidRPr="009577DE">
              <w:rPr>
                <w:b/>
                <w:bCs/>
                <w:sz w:val="16"/>
                <w:szCs w:val="16"/>
                <w:lang w:val="es-ES_tradnl"/>
              </w:rPr>
              <w:t xml:space="preserve">. por </w:t>
            </w:r>
            <w:proofErr w:type="spellStart"/>
            <w:r w:rsidRPr="009577DE">
              <w:rPr>
                <w:b/>
                <w:bCs/>
                <w:sz w:val="16"/>
                <w:szCs w:val="16"/>
                <w:lang w:val="es-ES_tradnl"/>
              </w:rPr>
              <w:t>prog</w:t>
            </w:r>
            <w:proofErr w:type="spellEnd"/>
            <w:r w:rsidRPr="009577DE">
              <w:rPr>
                <w:b/>
                <w:bCs/>
                <w:sz w:val="16"/>
                <w:szCs w:val="16"/>
                <w:lang w:val="es-ES_tradnl"/>
              </w:rPr>
              <w:t>. 2012/13)</w:t>
            </w:r>
          </w:p>
        </w:tc>
        <w:tc>
          <w:tcPr>
            <w:tcW w:w="893" w:type="pct"/>
            <w:tcBorders>
              <w:top w:val="single" w:sz="4" w:space="0" w:color="auto"/>
              <w:bottom w:val="single" w:sz="4" w:space="0" w:color="auto"/>
            </w:tcBorders>
            <w:shd w:val="clear" w:color="auto" w:fill="auto"/>
            <w:tcMar>
              <w:top w:w="110" w:type="dxa"/>
            </w:tcMar>
            <w:vAlign w:val="center"/>
          </w:tcPr>
          <w:p w:rsidR="00B070BF" w:rsidRPr="009577DE" w:rsidRDefault="00B070BF" w:rsidP="00C33D4A">
            <w:pPr>
              <w:widowControl w:val="0"/>
              <w:spacing w:after="120"/>
              <w:rPr>
                <w:b/>
                <w:sz w:val="16"/>
                <w:szCs w:val="16"/>
                <w:lang w:val="es-ES_tradnl"/>
              </w:rPr>
            </w:pPr>
            <w:r w:rsidRPr="00BF138D">
              <w:rPr>
                <w:b/>
                <w:color w:val="993300"/>
                <w:sz w:val="16"/>
                <w:szCs w:val="16"/>
                <w:lang w:val="es-ES_tradnl"/>
              </w:rPr>
              <w:t>Referencia actualizada a finales de 2011</w:t>
            </w:r>
            <w:r w:rsidRPr="009577DE">
              <w:rPr>
                <w:b/>
                <w:sz w:val="16"/>
                <w:szCs w:val="16"/>
                <w:lang w:val="es-ES_tradnl"/>
              </w:rPr>
              <w:t xml:space="preserve"> </w:t>
            </w:r>
          </w:p>
        </w:tc>
        <w:tc>
          <w:tcPr>
            <w:tcW w:w="1825" w:type="pct"/>
            <w:tcBorders>
              <w:top w:val="single" w:sz="4" w:space="0" w:color="auto"/>
              <w:bottom w:val="single" w:sz="4" w:space="0" w:color="auto"/>
            </w:tcBorders>
            <w:shd w:val="clear" w:color="auto" w:fill="FFFFFF"/>
            <w:tcMar>
              <w:top w:w="110" w:type="dxa"/>
            </w:tcMar>
            <w:vAlign w:val="center"/>
          </w:tcPr>
          <w:p w:rsidR="00B070BF" w:rsidRPr="009577DE" w:rsidRDefault="00B070BF" w:rsidP="00C33D4A">
            <w:pPr>
              <w:widowControl w:val="0"/>
              <w:spacing w:after="120"/>
              <w:rPr>
                <w:sz w:val="16"/>
                <w:szCs w:val="16"/>
                <w:lang w:val="es-ES_tradnl"/>
              </w:rPr>
            </w:pPr>
            <w:r w:rsidRPr="009577DE">
              <w:rPr>
                <w:b/>
                <w:bCs/>
                <w:sz w:val="16"/>
                <w:szCs w:val="16"/>
                <w:lang w:val="es-ES_tradnl"/>
              </w:rPr>
              <w:t>Datos sobre el rendimiento</w:t>
            </w:r>
          </w:p>
        </w:tc>
        <w:tc>
          <w:tcPr>
            <w:tcW w:w="647" w:type="pct"/>
            <w:tcBorders>
              <w:top w:val="single" w:sz="4" w:space="0" w:color="auto"/>
              <w:bottom w:val="single" w:sz="4" w:space="0" w:color="auto"/>
              <w:right w:val="single" w:sz="4" w:space="0" w:color="auto"/>
            </w:tcBorders>
            <w:shd w:val="clear" w:color="auto" w:fill="auto"/>
            <w:tcMar>
              <w:top w:w="110" w:type="dxa"/>
            </w:tcMar>
            <w:vAlign w:val="center"/>
          </w:tcPr>
          <w:p w:rsidR="00B070BF" w:rsidRPr="009577DE" w:rsidRDefault="00B070BF" w:rsidP="00C33D4A">
            <w:pPr>
              <w:widowControl w:val="0"/>
              <w:spacing w:after="120"/>
              <w:jc w:val="center"/>
              <w:rPr>
                <w:b/>
                <w:bCs/>
                <w:sz w:val="16"/>
                <w:szCs w:val="16"/>
                <w:lang w:val="es-ES_tradnl"/>
              </w:rPr>
            </w:pPr>
            <w:r w:rsidRPr="009577DE">
              <w:rPr>
                <w:b/>
                <w:bCs/>
                <w:sz w:val="16"/>
                <w:szCs w:val="16"/>
                <w:lang w:val="es-ES_tradnl"/>
              </w:rPr>
              <w:t>Clave de colores</w:t>
            </w:r>
          </w:p>
        </w:tc>
      </w:tr>
      <w:tr w:rsidR="00B070BF" w:rsidRPr="009577DE" w:rsidTr="00C33D4A">
        <w:trPr>
          <w:cantSplit/>
        </w:trPr>
        <w:tc>
          <w:tcPr>
            <w:tcW w:w="852" w:type="pct"/>
            <w:tcBorders>
              <w:top w:val="single" w:sz="4" w:space="0" w:color="auto"/>
              <w:left w:val="single" w:sz="4" w:space="0" w:color="auto"/>
              <w:bottom w:val="nil"/>
            </w:tcBorders>
            <w:shd w:val="clear" w:color="auto" w:fill="auto"/>
          </w:tcPr>
          <w:p w:rsidR="00B070BF" w:rsidRPr="009577DE" w:rsidRDefault="00B070BF" w:rsidP="00C33D4A">
            <w:pPr>
              <w:widowControl w:val="0"/>
              <w:rPr>
                <w:sz w:val="16"/>
                <w:szCs w:val="16"/>
                <w:lang w:val="es-ES_tradnl"/>
              </w:rPr>
            </w:pPr>
            <w:r w:rsidRPr="009577DE">
              <w:rPr>
                <w:sz w:val="16"/>
                <w:szCs w:val="16"/>
                <w:lang w:val="es-ES_tradnl"/>
              </w:rPr>
              <w:t>Porcentaje de estudiantes procedentes de oficinas de P.I. que se muestran satisfechos con la formación proporcionada.</w:t>
            </w:r>
          </w:p>
        </w:tc>
        <w:tc>
          <w:tcPr>
            <w:tcW w:w="783" w:type="pct"/>
            <w:tcBorders>
              <w:top w:val="single" w:sz="4" w:space="0" w:color="auto"/>
              <w:bottom w:val="nil"/>
            </w:tcBorders>
            <w:shd w:val="clear" w:color="auto" w:fill="C0C0C0"/>
          </w:tcPr>
          <w:p w:rsidR="00B070BF" w:rsidRPr="009577DE" w:rsidRDefault="00B070BF" w:rsidP="00C33D4A">
            <w:pPr>
              <w:widowControl w:val="0"/>
              <w:jc w:val="center"/>
              <w:rPr>
                <w:sz w:val="16"/>
                <w:szCs w:val="16"/>
                <w:lang w:val="es-ES_tradnl"/>
              </w:rPr>
            </w:pPr>
            <w:r w:rsidRPr="009577DE">
              <w:rPr>
                <w:sz w:val="16"/>
                <w:szCs w:val="16"/>
                <w:lang w:val="es-ES_tradnl"/>
              </w:rPr>
              <w:t>80%</w:t>
            </w:r>
          </w:p>
        </w:tc>
        <w:tc>
          <w:tcPr>
            <w:tcW w:w="893" w:type="pct"/>
            <w:tcBorders>
              <w:top w:val="single" w:sz="4" w:space="0" w:color="auto"/>
              <w:bottom w:val="nil"/>
            </w:tcBorders>
            <w:shd w:val="clear" w:color="auto" w:fill="auto"/>
            <w:tcMar>
              <w:top w:w="110" w:type="dxa"/>
            </w:tcMar>
          </w:tcPr>
          <w:p w:rsidR="00B070BF" w:rsidRPr="00F2661C" w:rsidRDefault="00B070BF" w:rsidP="00C33D4A">
            <w:pPr>
              <w:widowControl w:val="0"/>
              <w:jc w:val="center"/>
              <w:rPr>
                <w:color w:val="993300"/>
                <w:sz w:val="16"/>
                <w:szCs w:val="16"/>
                <w:lang w:val="es-ES_tradnl"/>
              </w:rPr>
            </w:pPr>
            <w:r w:rsidRPr="00F2661C">
              <w:rPr>
                <w:color w:val="993300"/>
                <w:sz w:val="16"/>
                <w:szCs w:val="16"/>
                <w:lang w:val="es-ES_tradnl"/>
              </w:rPr>
              <w:t>95%</w:t>
            </w:r>
          </w:p>
        </w:tc>
        <w:tc>
          <w:tcPr>
            <w:tcW w:w="1825" w:type="pct"/>
            <w:tcBorders>
              <w:top w:val="single" w:sz="4" w:space="0" w:color="auto"/>
              <w:bottom w:val="nil"/>
            </w:tcBorders>
            <w:shd w:val="clear" w:color="auto" w:fill="FFFFFF"/>
            <w:tcMar>
              <w:top w:w="110" w:type="dxa"/>
            </w:tcMar>
          </w:tcPr>
          <w:p w:rsidR="00B070BF" w:rsidRPr="009577DE" w:rsidRDefault="00B070BF" w:rsidP="00C33D4A">
            <w:pPr>
              <w:widowControl w:val="0"/>
              <w:rPr>
                <w:sz w:val="16"/>
                <w:szCs w:val="16"/>
                <w:lang w:val="es-ES_tradnl" w:bidi="th-TH"/>
              </w:rPr>
            </w:pPr>
            <w:r w:rsidRPr="009577DE">
              <w:rPr>
                <w:sz w:val="16"/>
                <w:szCs w:val="16"/>
                <w:lang w:val="es-ES_tradnl" w:bidi="th-TH"/>
              </w:rPr>
              <w:t xml:space="preserve">95% </w:t>
            </w:r>
          </w:p>
          <w:p w:rsidR="00B070BF" w:rsidRPr="009577DE" w:rsidRDefault="00B070BF" w:rsidP="00C33D4A">
            <w:pPr>
              <w:widowControl w:val="0"/>
              <w:rPr>
                <w:sz w:val="16"/>
                <w:szCs w:val="16"/>
                <w:lang w:val="es-ES_tradnl" w:bidi="th-TH"/>
              </w:rPr>
            </w:pPr>
          </w:p>
          <w:p w:rsidR="00B070BF" w:rsidRPr="009577DE" w:rsidRDefault="00B070BF" w:rsidP="00C33D4A">
            <w:pPr>
              <w:widowControl w:val="0"/>
              <w:rPr>
                <w:sz w:val="16"/>
                <w:szCs w:val="16"/>
                <w:lang w:val="es-ES_tradnl" w:bidi="th-TH"/>
              </w:rPr>
            </w:pPr>
          </w:p>
          <w:p w:rsidR="00B070BF" w:rsidRPr="009577DE" w:rsidRDefault="00B070BF" w:rsidP="00C33D4A">
            <w:pPr>
              <w:widowControl w:val="0"/>
              <w:rPr>
                <w:sz w:val="16"/>
                <w:szCs w:val="16"/>
                <w:lang w:val="es-ES_tradnl"/>
              </w:rPr>
            </w:pPr>
          </w:p>
        </w:tc>
        <w:tc>
          <w:tcPr>
            <w:tcW w:w="647" w:type="pct"/>
            <w:tcBorders>
              <w:top w:val="single" w:sz="4" w:space="0" w:color="auto"/>
              <w:bottom w:val="nil"/>
              <w:right w:val="single" w:sz="4" w:space="0" w:color="auto"/>
            </w:tcBorders>
            <w:shd w:val="clear" w:color="auto" w:fill="auto"/>
            <w:tcMar>
              <w:top w:w="110" w:type="dxa"/>
            </w:tcMar>
          </w:tcPr>
          <w:p w:rsidR="00B070BF" w:rsidRPr="009577DE" w:rsidRDefault="00B070BF" w:rsidP="00C33D4A">
            <w:pPr>
              <w:widowControl w:val="0"/>
              <w:jc w:val="center"/>
              <w:rPr>
                <w:b/>
                <w:sz w:val="16"/>
                <w:szCs w:val="16"/>
                <w:lang w:val="es-ES_tradnl"/>
              </w:rPr>
            </w:pPr>
            <w:r w:rsidRPr="009577DE">
              <w:rPr>
                <w:b/>
                <w:color w:val="008000"/>
                <w:sz w:val="16"/>
                <w:szCs w:val="16"/>
                <w:lang w:val="es-ES_tradnl"/>
              </w:rPr>
              <w:t>Progresa con normalidad</w:t>
            </w:r>
          </w:p>
          <w:p w:rsidR="00B070BF" w:rsidRPr="009577DE" w:rsidRDefault="00B070BF" w:rsidP="00C33D4A">
            <w:pPr>
              <w:widowControl w:val="0"/>
              <w:jc w:val="center"/>
              <w:rPr>
                <w:bCs/>
                <w:sz w:val="16"/>
                <w:szCs w:val="16"/>
                <w:lang w:val="es-ES_tradnl"/>
              </w:rPr>
            </w:pPr>
          </w:p>
          <w:p w:rsidR="00B070BF" w:rsidRPr="009577DE" w:rsidRDefault="00B070BF" w:rsidP="00C33D4A">
            <w:pPr>
              <w:widowControl w:val="0"/>
              <w:jc w:val="center"/>
              <w:rPr>
                <w:bCs/>
                <w:sz w:val="16"/>
                <w:szCs w:val="16"/>
                <w:lang w:val="es-ES_tradnl"/>
              </w:rPr>
            </w:pPr>
          </w:p>
        </w:tc>
      </w:tr>
      <w:tr w:rsidR="00B070BF" w:rsidRPr="009577DE" w:rsidTr="00C33D4A">
        <w:trPr>
          <w:cantSplit/>
        </w:trPr>
        <w:tc>
          <w:tcPr>
            <w:tcW w:w="852" w:type="pct"/>
            <w:tcBorders>
              <w:top w:val="nil"/>
              <w:left w:val="single" w:sz="4" w:space="0" w:color="auto"/>
              <w:bottom w:val="single" w:sz="4" w:space="0" w:color="auto"/>
            </w:tcBorders>
            <w:shd w:val="clear" w:color="auto" w:fill="auto"/>
          </w:tcPr>
          <w:p w:rsidR="00B070BF" w:rsidRPr="009577DE" w:rsidRDefault="00B070BF" w:rsidP="00C33D4A">
            <w:pPr>
              <w:widowControl w:val="0"/>
              <w:ind w:firstLineChars="3" w:firstLine="5"/>
              <w:rPr>
                <w:sz w:val="16"/>
                <w:szCs w:val="16"/>
                <w:lang w:val="es-ES_tradnl"/>
              </w:rPr>
            </w:pPr>
            <w:r w:rsidRPr="009577DE">
              <w:rPr>
                <w:sz w:val="16"/>
                <w:szCs w:val="16"/>
                <w:lang w:val="es-ES_tradnl"/>
              </w:rPr>
              <w:t>Porcentaje de estudiantes que utilizan en la práctica las capacidades adquiridas en la formación.</w:t>
            </w:r>
          </w:p>
        </w:tc>
        <w:tc>
          <w:tcPr>
            <w:tcW w:w="783" w:type="pct"/>
            <w:tcBorders>
              <w:top w:val="nil"/>
              <w:bottom w:val="single" w:sz="4" w:space="0" w:color="auto"/>
            </w:tcBorders>
            <w:shd w:val="clear" w:color="auto" w:fill="C0C0C0"/>
          </w:tcPr>
          <w:p w:rsidR="00B070BF" w:rsidRPr="009577DE" w:rsidRDefault="00B070BF" w:rsidP="00C33D4A">
            <w:pPr>
              <w:widowControl w:val="0"/>
              <w:jc w:val="center"/>
              <w:rPr>
                <w:sz w:val="16"/>
                <w:szCs w:val="16"/>
                <w:lang w:val="es-ES_tradnl"/>
              </w:rPr>
            </w:pPr>
            <w:r w:rsidRPr="009577DE">
              <w:rPr>
                <w:sz w:val="16"/>
                <w:szCs w:val="16"/>
                <w:lang w:val="es-ES_tradnl"/>
              </w:rPr>
              <w:t>60%</w:t>
            </w:r>
          </w:p>
        </w:tc>
        <w:tc>
          <w:tcPr>
            <w:tcW w:w="893" w:type="pct"/>
            <w:tcBorders>
              <w:top w:val="nil"/>
              <w:bottom w:val="single" w:sz="4" w:space="0" w:color="auto"/>
            </w:tcBorders>
            <w:shd w:val="clear" w:color="auto" w:fill="auto"/>
            <w:tcMar>
              <w:top w:w="110" w:type="dxa"/>
            </w:tcMar>
          </w:tcPr>
          <w:p w:rsidR="00B070BF" w:rsidRPr="00F2661C" w:rsidRDefault="00B070BF" w:rsidP="00C33D4A">
            <w:pPr>
              <w:widowControl w:val="0"/>
              <w:jc w:val="center"/>
              <w:rPr>
                <w:color w:val="993300"/>
                <w:sz w:val="16"/>
                <w:szCs w:val="16"/>
                <w:lang w:val="es-ES_tradnl"/>
              </w:rPr>
            </w:pPr>
            <w:r w:rsidRPr="00F2661C">
              <w:rPr>
                <w:color w:val="993300"/>
                <w:sz w:val="16"/>
                <w:szCs w:val="16"/>
                <w:lang w:val="es-ES_tradnl"/>
              </w:rPr>
              <w:t>75%</w:t>
            </w:r>
          </w:p>
        </w:tc>
        <w:tc>
          <w:tcPr>
            <w:tcW w:w="1825" w:type="pct"/>
            <w:tcBorders>
              <w:top w:val="nil"/>
              <w:bottom w:val="single" w:sz="4" w:space="0" w:color="auto"/>
            </w:tcBorders>
            <w:shd w:val="clear" w:color="auto" w:fill="FFFFFF"/>
            <w:tcMar>
              <w:top w:w="110" w:type="dxa"/>
            </w:tcMar>
          </w:tcPr>
          <w:p w:rsidR="00B070BF" w:rsidRPr="009577DE" w:rsidRDefault="00B070BF" w:rsidP="00C33D4A">
            <w:pPr>
              <w:widowControl w:val="0"/>
              <w:rPr>
                <w:sz w:val="16"/>
                <w:szCs w:val="16"/>
                <w:lang w:val="es-ES_tradnl" w:bidi="th-TH"/>
              </w:rPr>
            </w:pPr>
            <w:r w:rsidRPr="009577DE">
              <w:rPr>
                <w:sz w:val="16"/>
                <w:szCs w:val="16"/>
                <w:lang w:val="es-ES_tradnl" w:bidi="th-TH"/>
              </w:rPr>
              <w:t>75%</w:t>
            </w:r>
          </w:p>
          <w:p w:rsidR="00B070BF" w:rsidRPr="009577DE" w:rsidRDefault="00B070BF" w:rsidP="00C33D4A">
            <w:pPr>
              <w:widowControl w:val="0"/>
              <w:rPr>
                <w:sz w:val="16"/>
                <w:szCs w:val="16"/>
                <w:lang w:val="es-ES_tradnl" w:bidi="th-TH"/>
              </w:rPr>
            </w:pPr>
          </w:p>
          <w:p w:rsidR="00B070BF" w:rsidRPr="009577DE" w:rsidRDefault="00B070BF" w:rsidP="00C33D4A">
            <w:pPr>
              <w:widowControl w:val="0"/>
              <w:rPr>
                <w:sz w:val="16"/>
                <w:szCs w:val="16"/>
                <w:lang w:val="es-ES_tradnl" w:bidi="th-TH"/>
              </w:rPr>
            </w:pPr>
          </w:p>
          <w:p w:rsidR="00B070BF" w:rsidRPr="009577DE" w:rsidRDefault="00B070BF" w:rsidP="00C33D4A">
            <w:pPr>
              <w:widowControl w:val="0"/>
              <w:rPr>
                <w:sz w:val="16"/>
                <w:szCs w:val="16"/>
                <w:lang w:val="es-ES_tradnl" w:bidi="th-TH"/>
              </w:rPr>
            </w:pPr>
          </w:p>
          <w:p w:rsidR="00B070BF" w:rsidRPr="009577DE" w:rsidRDefault="00B070BF" w:rsidP="00C33D4A">
            <w:pPr>
              <w:widowControl w:val="0"/>
              <w:rPr>
                <w:sz w:val="16"/>
                <w:szCs w:val="16"/>
                <w:lang w:val="es-ES_tradnl"/>
              </w:rPr>
            </w:pPr>
          </w:p>
        </w:tc>
        <w:tc>
          <w:tcPr>
            <w:tcW w:w="647" w:type="pct"/>
            <w:tcBorders>
              <w:top w:val="nil"/>
              <w:bottom w:val="single" w:sz="4" w:space="0" w:color="auto"/>
              <w:right w:val="single" w:sz="4" w:space="0" w:color="auto"/>
            </w:tcBorders>
            <w:shd w:val="clear" w:color="auto" w:fill="auto"/>
            <w:tcMar>
              <w:top w:w="110" w:type="dxa"/>
            </w:tcMar>
          </w:tcPr>
          <w:p w:rsidR="00B070BF" w:rsidRPr="009577DE" w:rsidRDefault="00B070BF" w:rsidP="00C33D4A">
            <w:pPr>
              <w:widowControl w:val="0"/>
              <w:jc w:val="center"/>
              <w:rPr>
                <w:b/>
                <w:sz w:val="16"/>
                <w:szCs w:val="16"/>
                <w:lang w:val="es-ES_tradnl"/>
              </w:rPr>
            </w:pPr>
            <w:r w:rsidRPr="009577DE">
              <w:rPr>
                <w:b/>
                <w:color w:val="008000"/>
                <w:sz w:val="16"/>
                <w:szCs w:val="16"/>
                <w:lang w:val="es-ES_tradnl"/>
              </w:rPr>
              <w:t>Progresa con normalidad</w:t>
            </w:r>
          </w:p>
          <w:p w:rsidR="00B070BF" w:rsidRPr="009577DE" w:rsidRDefault="00B070BF" w:rsidP="00C33D4A">
            <w:pPr>
              <w:widowControl w:val="0"/>
              <w:jc w:val="center"/>
              <w:rPr>
                <w:b/>
                <w:sz w:val="16"/>
                <w:szCs w:val="16"/>
                <w:lang w:val="es-ES_tradnl"/>
              </w:rPr>
            </w:pPr>
          </w:p>
        </w:tc>
      </w:tr>
      <w:tr w:rsidR="00B070BF" w:rsidRPr="009577DE" w:rsidTr="00C33D4A">
        <w:trPr>
          <w:cantSplit/>
        </w:trPr>
        <w:tc>
          <w:tcPr>
            <w:tcW w:w="852" w:type="pct"/>
            <w:tcBorders>
              <w:top w:val="single" w:sz="4" w:space="0" w:color="auto"/>
              <w:left w:val="single" w:sz="4" w:space="0" w:color="auto"/>
              <w:bottom w:val="single" w:sz="4" w:space="0" w:color="auto"/>
            </w:tcBorders>
            <w:shd w:val="clear" w:color="auto" w:fill="auto"/>
          </w:tcPr>
          <w:p w:rsidR="00B070BF" w:rsidRPr="009577DE" w:rsidRDefault="00B070BF" w:rsidP="00C33D4A">
            <w:pPr>
              <w:widowControl w:val="0"/>
              <w:ind w:firstLineChars="3" w:firstLine="5"/>
              <w:rPr>
                <w:sz w:val="16"/>
                <w:szCs w:val="16"/>
                <w:lang w:val="es-ES_tradnl"/>
              </w:rPr>
            </w:pPr>
            <w:r w:rsidRPr="009577DE">
              <w:rPr>
                <w:sz w:val="16"/>
                <w:szCs w:val="16"/>
                <w:lang w:val="es-ES_tradnl"/>
              </w:rPr>
              <w:t>Porcentaje de supervisores que aplican satisfactoriamente las capacidades adquiridas un año después de la formación.</w:t>
            </w:r>
          </w:p>
        </w:tc>
        <w:tc>
          <w:tcPr>
            <w:tcW w:w="783" w:type="pct"/>
            <w:tcBorders>
              <w:top w:val="single" w:sz="4" w:space="0" w:color="auto"/>
              <w:bottom w:val="single" w:sz="4" w:space="0" w:color="auto"/>
            </w:tcBorders>
            <w:shd w:val="clear" w:color="auto" w:fill="C0C0C0"/>
          </w:tcPr>
          <w:p w:rsidR="00B070BF" w:rsidRPr="009577DE" w:rsidRDefault="00B070BF" w:rsidP="00C33D4A">
            <w:pPr>
              <w:widowControl w:val="0"/>
              <w:jc w:val="center"/>
              <w:rPr>
                <w:sz w:val="16"/>
                <w:szCs w:val="16"/>
                <w:lang w:val="es-ES_tradnl"/>
              </w:rPr>
            </w:pPr>
            <w:r w:rsidRPr="009577DE">
              <w:rPr>
                <w:sz w:val="16"/>
                <w:szCs w:val="16"/>
                <w:lang w:val="es-ES_tradnl"/>
              </w:rPr>
              <w:t>60%</w:t>
            </w:r>
          </w:p>
        </w:tc>
        <w:tc>
          <w:tcPr>
            <w:tcW w:w="893" w:type="pct"/>
            <w:tcBorders>
              <w:top w:val="single" w:sz="4" w:space="0" w:color="auto"/>
              <w:bottom w:val="single" w:sz="4" w:space="0" w:color="auto"/>
            </w:tcBorders>
            <w:shd w:val="clear" w:color="auto" w:fill="auto"/>
            <w:tcMar>
              <w:top w:w="110" w:type="dxa"/>
            </w:tcMar>
          </w:tcPr>
          <w:p w:rsidR="00B070BF" w:rsidRPr="00F2661C" w:rsidRDefault="00B070BF" w:rsidP="00C33D4A">
            <w:pPr>
              <w:widowControl w:val="0"/>
              <w:jc w:val="center"/>
              <w:rPr>
                <w:color w:val="993300"/>
                <w:sz w:val="16"/>
                <w:szCs w:val="16"/>
                <w:lang w:val="es-ES_tradnl"/>
              </w:rPr>
            </w:pPr>
            <w:r w:rsidRPr="00F2661C">
              <w:rPr>
                <w:color w:val="993300"/>
                <w:sz w:val="16"/>
                <w:szCs w:val="16"/>
                <w:lang w:val="es-ES_tradnl"/>
              </w:rPr>
              <w:t>70%</w:t>
            </w:r>
          </w:p>
        </w:tc>
        <w:tc>
          <w:tcPr>
            <w:tcW w:w="1825" w:type="pct"/>
            <w:tcBorders>
              <w:top w:val="single" w:sz="4" w:space="0" w:color="auto"/>
              <w:bottom w:val="single" w:sz="4" w:space="0" w:color="auto"/>
            </w:tcBorders>
            <w:shd w:val="clear" w:color="auto" w:fill="FFFFFF"/>
            <w:tcMar>
              <w:top w:w="110" w:type="dxa"/>
            </w:tcMar>
          </w:tcPr>
          <w:p w:rsidR="00B070BF" w:rsidRPr="009577DE" w:rsidRDefault="00B070BF" w:rsidP="00C33D4A">
            <w:pPr>
              <w:widowControl w:val="0"/>
              <w:rPr>
                <w:sz w:val="16"/>
                <w:szCs w:val="16"/>
                <w:lang w:val="es-ES_tradnl" w:bidi="th-TH"/>
              </w:rPr>
            </w:pPr>
            <w:r w:rsidRPr="009577DE">
              <w:rPr>
                <w:sz w:val="16"/>
                <w:szCs w:val="16"/>
                <w:lang w:val="es-ES_tradnl" w:bidi="th-TH"/>
              </w:rPr>
              <w:t>70%</w:t>
            </w:r>
          </w:p>
          <w:p w:rsidR="00B070BF" w:rsidRPr="009577DE" w:rsidRDefault="00B070BF" w:rsidP="00C33D4A">
            <w:pPr>
              <w:widowControl w:val="0"/>
              <w:rPr>
                <w:sz w:val="16"/>
                <w:szCs w:val="16"/>
                <w:lang w:val="es-ES_tradnl" w:bidi="th-TH"/>
              </w:rPr>
            </w:pPr>
          </w:p>
          <w:p w:rsidR="00B070BF" w:rsidRPr="009577DE" w:rsidRDefault="00B070BF" w:rsidP="00C33D4A">
            <w:pPr>
              <w:widowControl w:val="0"/>
              <w:rPr>
                <w:sz w:val="16"/>
                <w:szCs w:val="16"/>
                <w:lang w:val="es-ES_tradnl" w:bidi="th-TH"/>
              </w:rPr>
            </w:pPr>
          </w:p>
          <w:p w:rsidR="00B070BF" w:rsidRPr="009577DE" w:rsidRDefault="00B070BF" w:rsidP="00C33D4A">
            <w:pPr>
              <w:widowControl w:val="0"/>
              <w:rPr>
                <w:sz w:val="16"/>
                <w:szCs w:val="16"/>
                <w:lang w:val="es-ES_tradnl" w:bidi="th-TH"/>
              </w:rPr>
            </w:pPr>
          </w:p>
          <w:p w:rsidR="00B070BF" w:rsidRPr="009577DE" w:rsidRDefault="00B070BF" w:rsidP="00C33D4A">
            <w:pPr>
              <w:widowControl w:val="0"/>
              <w:rPr>
                <w:sz w:val="16"/>
                <w:szCs w:val="16"/>
                <w:lang w:val="es-ES_tradnl" w:bidi="th-TH"/>
              </w:rPr>
            </w:pPr>
          </w:p>
          <w:p w:rsidR="00B070BF" w:rsidRPr="009577DE" w:rsidRDefault="00B070BF" w:rsidP="00C33D4A">
            <w:pPr>
              <w:widowControl w:val="0"/>
              <w:rPr>
                <w:sz w:val="16"/>
                <w:szCs w:val="16"/>
                <w:lang w:val="es-ES_tradnl"/>
              </w:rPr>
            </w:pPr>
          </w:p>
        </w:tc>
        <w:tc>
          <w:tcPr>
            <w:tcW w:w="647" w:type="pct"/>
            <w:tcBorders>
              <w:top w:val="single" w:sz="4" w:space="0" w:color="auto"/>
              <w:bottom w:val="single" w:sz="4" w:space="0" w:color="auto"/>
              <w:right w:val="single" w:sz="4" w:space="0" w:color="auto"/>
            </w:tcBorders>
            <w:shd w:val="clear" w:color="auto" w:fill="auto"/>
            <w:tcMar>
              <w:top w:w="110" w:type="dxa"/>
            </w:tcMar>
          </w:tcPr>
          <w:p w:rsidR="00B070BF" w:rsidRPr="009577DE" w:rsidRDefault="00B070BF" w:rsidP="00C33D4A">
            <w:pPr>
              <w:widowControl w:val="0"/>
              <w:jc w:val="center"/>
              <w:rPr>
                <w:b/>
                <w:sz w:val="16"/>
                <w:szCs w:val="16"/>
                <w:lang w:val="es-ES_tradnl"/>
              </w:rPr>
            </w:pPr>
            <w:r w:rsidRPr="009577DE">
              <w:rPr>
                <w:b/>
                <w:color w:val="008000"/>
                <w:sz w:val="16"/>
                <w:szCs w:val="16"/>
                <w:lang w:val="es-ES_tradnl"/>
              </w:rPr>
              <w:t>Progresa con normalidad</w:t>
            </w:r>
          </w:p>
          <w:p w:rsidR="00B070BF" w:rsidRPr="009577DE" w:rsidRDefault="00B070BF" w:rsidP="00C33D4A">
            <w:pPr>
              <w:widowControl w:val="0"/>
              <w:jc w:val="center"/>
              <w:rPr>
                <w:b/>
                <w:sz w:val="16"/>
                <w:szCs w:val="16"/>
                <w:lang w:val="es-ES_tradnl"/>
              </w:rPr>
            </w:pPr>
          </w:p>
        </w:tc>
      </w:tr>
      <w:tr w:rsidR="00B070BF" w:rsidRPr="009577DE" w:rsidTr="00C33D4A">
        <w:trPr>
          <w:cantSplit/>
        </w:trPr>
        <w:tc>
          <w:tcPr>
            <w:tcW w:w="852" w:type="pct"/>
            <w:tcBorders>
              <w:top w:val="single" w:sz="4" w:space="0" w:color="auto"/>
              <w:left w:val="single" w:sz="4" w:space="0" w:color="auto"/>
              <w:bottom w:val="nil"/>
            </w:tcBorders>
            <w:shd w:val="clear" w:color="auto" w:fill="auto"/>
          </w:tcPr>
          <w:p w:rsidR="00B070BF" w:rsidRPr="009577DE" w:rsidRDefault="00B070BF" w:rsidP="00C33D4A">
            <w:pPr>
              <w:widowControl w:val="0"/>
              <w:ind w:firstLineChars="3" w:firstLine="5"/>
              <w:rPr>
                <w:sz w:val="16"/>
                <w:szCs w:val="16"/>
                <w:lang w:val="es-ES_tradnl"/>
              </w:rPr>
            </w:pPr>
            <w:r w:rsidRPr="009577DE">
              <w:rPr>
                <w:sz w:val="16"/>
                <w:szCs w:val="16"/>
                <w:lang w:val="es-ES_tradnl"/>
              </w:rPr>
              <w:lastRenderedPageBreak/>
              <w:t>Número de graduados de la Academia de la OMPI y de instituciones académicas asociadas (oferta conjunta).</w:t>
            </w:r>
          </w:p>
        </w:tc>
        <w:tc>
          <w:tcPr>
            <w:tcW w:w="783" w:type="pct"/>
            <w:tcBorders>
              <w:top w:val="single" w:sz="4" w:space="0" w:color="auto"/>
              <w:bottom w:val="nil"/>
            </w:tcBorders>
            <w:shd w:val="clear" w:color="auto" w:fill="C0C0C0"/>
          </w:tcPr>
          <w:p w:rsidR="00B070BF" w:rsidRPr="009577DE" w:rsidRDefault="00B070BF" w:rsidP="00C33D4A">
            <w:pPr>
              <w:widowControl w:val="0"/>
              <w:jc w:val="center"/>
              <w:rPr>
                <w:sz w:val="16"/>
                <w:szCs w:val="16"/>
                <w:lang w:val="es-ES_tradnl"/>
              </w:rPr>
            </w:pPr>
          </w:p>
          <w:p w:rsidR="00B070BF" w:rsidRPr="009577DE" w:rsidRDefault="00B070BF" w:rsidP="00C33D4A">
            <w:pPr>
              <w:widowControl w:val="0"/>
              <w:jc w:val="center"/>
              <w:rPr>
                <w:sz w:val="16"/>
                <w:szCs w:val="16"/>
                <w:lang w:val="es-ES_tradnl"/>
              </w:rPr>
            </w:pPr>
            <w:r w:rsidRPr="009577DE">
              <w:rPr>
                <w:sz w:val="16"/>
                <w:szCs w:val="16"/>
                <w:lang w:val="es-ES_tradnl"/>
              </w:rPr>
              <w:t>60</w:t>
            </w:r>
          </w:p>
        </w:tc>
        <w:tc>
          <w:tcPr>
            <w:tcW w:w="893" w:type="pct"/>
            <w:tcBorders>
              <w:top w:val="single" w:sz="4" w:space="0" w:color="auto"/>
              <w:bottom w:val="nil"/>
            </w:tcBorders>
            <w:shd w:val="clear" w:color="auto" w:fill="auto"/>
            <w:tcMar>
              <w:top w:w="110" w:type="dxa"/>
            </w:tcMar>
          </w:tcPr>
          <w:p w:rsidR="00B070BF" w:rsidRPr="00F2661C" w:rsidRDefault="00B070BF" w:rsidP="00C33D4A">
            <w:pPr>
              <w:widowControl w:val="0"/>
              <w:jc w:val="center"/>
              <w:rPr>
                <w:color w:val="993300"/>
                <w:sz w:val="16"/>
                <w:szCs w:val="16"/>
                <w:lang w:val="es-ES_tradnl"/>
              </w:rPr>
            </w:pPr>
          </w:p>
          <w:p w:rsidR="00B070BF" w:rsidRPr="00F2661C" w:rsidRDefault="00B070BF" w:rsidP="00C33D4A">
            <w:pPr>
              <w:widowControl w:val="0"/>
              <w:jc w:val="center"/>
              <w:rPr>
                <w:color w:val="993300"/>
                <w:sz w:val="16"/>
                <w:szCs w:val="16"/>
                <w:lang w:val="es-ES_tradnl"/>
              </w:rPr>
            </w:pPr>
            <w:r w:rsidRPr="00F2661C">
              <w:rPr>
                <w:color w:val="993300"/>
                <w:sz w:val="16"/>
                <w:szCs w:val="16"/>
                <w:lang w:val="es-ES_tradnl"/>
              </w:rPr>
              <w:t>68</w:t>
            </w:r>
          </w:p>
        </w:tc>
        <w:tc>
          <w:tcPr>
            <w:tcW w:w="1825" w:type="pct"/>
            <w:tcBorders>
              <w:top w:val="single" w:sz="4" w:space="0" w:color="auto"/>
              <w:bottom w:val="nil"/>
            </w:tcBorders>
            <w:shd w:val="clear" w:color="auto" w:fill="FFFFFF"/>
            <w:tcMar>
              <w:top w:w="110" w:type="dxa"/>
            </w:tcMar>
          </w:tcPr>
          <w:p w:rsidR="00B070BF" w:rsidRPr="009577DE" w:rsidRDefault="00B070BF" w:rsidP="00C33D4A">
            <w:pPr>
              <w:widowControl w:val="0"/>
              <w:rPr>
                <w:sz w:val="16"/>
                <w:szCs w:val="16"/>
                <w:lang w:val="es-ES_tradnl" w:bidi="th-TH"/>
              </w:rPr>
            </w:pPr>
          </w:p>
          <w:p w:rsidR="00B070BF" w:rsidRPr="009577DE" w:rsidRDefault="00B070BF" w:rsidP="00C33D4A">
            <w:pPr>
              <w:widowControl w:val="0"/>
              <w:rPr>
                <w:sz w:val="16"/>
                <w:szCs w:val="16"/>
                <w:lang w:val="es-ES_tradnl" w:bidi="th-TH"/>
              </w:rPr>
            </w:pPr>
            <w:r w:rsidRPr="009577DE">
              <w:rPr>
                <w:sz w:val="16"/>
                <w:szCs w:val="16"/>
                <w:lang w:val="es-ES_tradnl" w:bidi="th-TH"/>
              </w:rPr>
              <w:t xml:space="preserve">72 </w:t>
            </w:r>
          </w:p>
          <w:p w:rsidR="00B070BF" w:rsidRPr="009577DE" w:rsidRDefault="00B070BF" w:rsidP="00C33D4A">
            <w:pPr>
              <w:widowControl w:val="0"/>
              <w:rPr>
                <w:sz w:val="16"/>
                <w:szCs w:val="16"/>
                <w:lang w:val="es-ES_tradnl" w:bidi="th-TH"/>
              </w:rPr>
            </w:pPr>
          </w:p>
          <w:p w:rsidR="00B070BF" w:rsidRPr="009577DE" w:rsidRDefault="00B070BF" w:rsidP="00C33D4A">
            <w:pPr>
              <w:widowControl w:val="0"/>
              <w:rPr>
                <w:sz w:val="16"/>
                <w:szCs w:val="16"/>
                <w:lang w:val="es-ES_tradnl" w:bidi="th-TH"/>
              </w:rPr>
            </w:pPr>
          </w:p>
          <w:p w:rsidR="00B070BF" w:rsidRPr="009577DE" w:rsidRDefault="00B070BF" w:rsidP="00C33D4A">
            <w:pPr>
              <w:widowControl w:val="0"/>
              <w:rPr>
                <w:sz w:val="16"/>
                <w:szCs w:val="16"/>
                <w:lang w:val="es-ES_tradnl" w:bidi="th-TH"/>
              </w:rPr>
            </w:pPr>
          </w:p>
          <w:p w:rsidR="00B070BF" w:rsidRPr="009577DE" w:rsidRDefault="00B070BF" w:rsidP="00C33D4A">
            <w:pPr>
              <w:widowControl w:val="0"/>
              <w:rPr>
                <w:sz w:val="16"/>
                <w:szCs w:val="16"/>
                <w:lang w:val="es-ES_tradnl"/>
              </w:rPr>
            </w:pPr>
          </w:p>
        </w:tc>
        <w:tc>
          <w:tcPr>
            <w:tcW w:w="647" w:type="pct"/>
            <w:tcBorders>
              <w:top w:val="single" w:sz="4" w:space="0" w:color="auto"/>
              <w:bottom w:val="nil"/>
              <w:right w:val="single" w:sz="4" w:space="0" w:color="auto"/>
            </w:tcBorders>
            <w:shd w:val="clear" w:color="auto" w:fill="auto"/>
            <w:tcMar>
              <w:top w:w="110" w:type="dxa"/>
            </w:tcMar>
          </w:tcPr>
          <w:p w:rsidR="00B070BF" w:rsidRPr="009577DE" w:rsidRDefault="00B070BF" w:rsidP="00C33D4A">
            <w:pPr>
              <w:widowControl w:val="0"/>
              <w:jc w:val="center"/>
              <w:rPr>
                <w:b/>
                <w:sz w:val="16"/>
                <w:szCs w:val="16"/>
                <w:lang w:val="es-ES_tradnl"/>
              </w:rPr>
            </w:pPr>
          </w:p>
          <w:p w:rsidR="00B070BF" w:rsidRPr="009577DE" w:rsidRDefault="00B070BF" w:rsidP="00C33D4A">
            <w:pPr>
              <w:widowControl w:val="0"/>
              <w:jc w:val="center"/>
              <w:rPr>
                <w:b/>
                <w:sz w:val="16"/>
                <w:szCs w:val="16"/>
                <w:lang w:val="es-ES_tradnl"/>
              </w:rPr>
            </w:pPr>
            <w:r w:rsidRPr="009577DE">
              <w:rPr>
                <w:b/>
                <w:color w:val="008000"/>
                <w:sz w:val="16"/>
                <w:szCs w:val="16"/>
                <w:lang w:val="es-ES_tradnl"/>
              </w:rPr>
              <w:t>Progresa con normalidad</w:t>
            </w:r>
          </w:p>
          <w:p w:rsidR="00B070BF" w:rsidRPr="009577DE" w:rsidRDefault="00B070BF" w:rsidP="00C33D4A">
            <w:pPr>
              <w:widowControl w:val="0"/>
              <w:jc w:val="center"/>
              <w:rPr>
                <w:b/>
                <w:sz w:val="16"/>
                <w:szCs w:val="16"/>
                <w:lang w:val="es-ES_tradnl"/>
              </w:rPr>
            </w:pPr>
          </w:p>
        </w:tc>
      </w:tr>
      <w:tr w:rsidR="00B070BF" w:rsidRPr="009577DE" w:rsidTr="00C33D4A">
        <w:trPr>
          <w:cantSplit/>
        </w:trPr>
        <w:tc>
          <w:tcPr>
            <w:tcW w:w="852" w:type="pct"/>
            <w:tcBorders>
              <w:top w:val="nil"/>
              <w:left w:val="single" w:sz="4" w:space="0" w:color="auto"/>
              <w:bottom w:val="nil"/>
            </w:tcBorders>
            <w:shd w:val="clear" w:color="auto" w:fill="auto"/>
          </w:tcPr>
          <w:p w:rsidR="00B070BF" w:rsidRPr="009577DE" w:rsidRDefault="00B070BF" w:rsidP="00C33D4A">
            <w:pPr>
              <w:widowControl w:val="0"/>
              <w:ind w:firstLineChars="3" w:firstLine="5"/>
              <w:rPr>
                <w:sz w:val="16"/>
                <w:szCs w:val="16"/>
                <w:lang w:val="es-ES_tradnl"/>
              </w:rPr>
            </w:pPr>
            <w:r w:rsidRPr="009577DE">
              <w:rPr>
                <w:sz w:val="16"/>
                <w:szCs w:val="16"/>
                <w:lang w:val="es-ES_tradnl"/>
              </w:rPr>
              <w:t>Número de participantes formados anualmente en los cursos de verano de la OMPI.</w:t>
            </w:r>
          </w:p>
        </w:tc>
        <w:tc>
          <w:tcPr>
            <w:tcW w:w="783" w:type="pct"/>
            <w:tcBorders>
              <w:top w:val="nil"/>
              <w:bottom w:val="nil"/>
            </w:tcBorders>
            <w:shd w:val="clear" w:color="auto" w:fill="C0C0C0"/>
          </w:tcPr>
          <w:p w:rsidR="00B070BF" w:rsidRPr="009577DE" w:rsidRDefault="00B070BF" w:rsidP="00C33D4A">
            <w:pPr>
              <w:widowControl w:val="0"/>
              <w:jc w:val="center"/>
              <w:rPr>
                <w:sz w:val="16"/>
                <w:szCs w:val="16"/>
                <w:lang w:val="es-ES_tradnl"/>
              </w:rPr>
            </w:pPr>
            <w:r w:rsidRPr="009577DE">
              <w:rPr>
                <w:sz w:val="16"/>
                <w:szCs w:val="16"/>
                <w:lang w:val="es-ES_tradnl"/>
              </w:rPr>
              <w:t>600</w:t>
            </w:r>
          </w:p>
        </w:tc>
        <w:tc>
          <w:tcPr>
            <w:tcW w:w="893" w:type="pct"/>
            <w:tcBorders>
              <w:top w:val="nil"/>
              <w:bottom w:val="nil"/>
            </w:tcBorders>
            <w:shd w:val="clear" w:color="auto" w:fill="auto"/>
            <w:tcMar>
              <w:top w:w="110" w:type="dxa"/>
            </w:tcMar>
          </w:tcPr>
          <w:p w:rsidR="00B070BF" w:rsidRPr="00F2661C" w:rsidRDefault="00B070BF" w:rsidP="00C33D4A">
            <w:pPr>
              <w:widowControl w:val="0"/>
              <w:jc w:val="center"/>
              <w:rPr>
                <w:color w:val="993300"/>
                <w:sz w:val="16"/>
                <w:szCs w:val="16"/>
                <w:lang w:val="es-ES_tradnl"/>
              </w:rPr>
            </w:pPr>
            <w:r w:rsidRPr="00F2661C">
              <w:rPr>
                <w:color w:val="993300"/>
                <w:sz w:val="16"/>
                <w:szCs w:val="16"/>
                <w:lang w:val="es-ES_tradnl"/>
              </w:rPr>
              <w:t>640</w:t>
            </w:r>
          </w:p>
        </w:tc>
        <w:tc>
          <w:tcPr>
            <w:tcW w:w="1825" w:type="pct"/>
            <w:tcBorders>
              <w:top w:val="nil"/>
              <w:bottom w:val="nil"/>
            </w:tcBorders>
            <w:shd w:val="clear" w:color="auto" w:fill="FFFFFF"/>
            <w:tcMar>
              <w:top w:w="110" w:type="dxa"/>
            </w:tcMar>
          </w:tcPr>
          <w:p w:rsidR="00B070BF" w:rsidRPr="009577DE" w:rsidRDefault="00B070BF" w:rsidP="00C33D4A">
            <w:pPr>
              <w:widowControl w:val="0"/>
              <w:rPr>
                <w:sz w:val="16"/>
                <w:szCs w:val="16"/>
                <w:lang w:val="es-ES_tradnl" w:bidi="th-TH"/>
              </w:rPr>
            </w:pPr>
            <w:r w:rsidRPr="009577DE">
              <w:rPr>
                <w:sz w:val="16"/>
                <w:szCs w:val="16"/>
                <w:lang w:val="es-ES_tradnl" w:bidi="th-TH"/>
              </w:rPr>
              <w:t>301 participantes en 2012.</w:t>
            </w:r>
          </w:p>
          <w:p w:rsidR="00B070BF" w:rsidRPr="009577DE" w:rsidRDefault="00B070BF" w:rsidP="00C33D4A">
            <w:pPr>
              <w:widowControl w:val="0"/>
              <w:rPr>
                <w:sz w:val="16"/>
                <w:szCs w:val="16"/>
                <w:lang w:val="es-ES_tradnl" w:bidi="th-TH"/>
              </w:rPr>
            </w:pPr>
          </w:p>
          <w:p w:rsidR="00B070BF" w:rsidRPr="009577DE" w:rsidRDefault="00B070BF" w:rsidP="00C33D4A">
            <w:pPr>
              <w:widowControl w:val="0"/>
              <w:rPr>
                <w:sz w:val="16"/>
                <w:szCs w:val="16"/>
                <w:lang w:val="es-ES_tradnl" w:bidi="th-TH"/>
              </w:rPr>
            </w:pPr>
          </w:p>
          <w:p w:rsidR="00B070BF" w:rsidRPr="009577DE" w:rsidRDefault="00B070BF" w:rsidP="00C33D4A">
            <w:pPr>
              <w:widowControl w:val="0"/>
              <w:rPr>
                <w:sz w:val="16"/>
                <w:szCs w:val="16"/>
                <w:lang w:val="es-ES_tradnl" w:bidi="th-TH"/>
              </w:rPr>
            </w:pPr>
          </w:p>
          <w:p w:rsidR="00B070BF" w:rsidRPr="009577DE" w:rsidRDefault="00B070BF" w:rsidP="00C33D4A">
            <w:pPr>
              <w:widowControl w:val="0"/>
              <w:rPr>
                <w:sz w:val="16"/>
                <w:szCs w:val="16"/>
                <w:lang w:val="es-ES_tradnl"/>
              </w:rPr>
            </w:pPr>
          </w:p>
        </w:tc>
        <w:tc>
          <w:tcPr>
            <w:tcW w:w="647" w:type="pct"/>
            <w:tcBorders>
              <w:top w:val="nil"/>
              <w:bottom w:val="nil"/>
              <w:right w:val="single" w:sz="4" w:space="0" w:color="auto"/>
            </w:tcBorders>
            <w:shd w:val="clear" w:color="auto" w:fill="auto"/>
            <w:tcMar>
              <w:top w:w="110" w:type="dxa"/>
            </w:tcMar>
          </w:tcPr>
          <w:p w:rsidR="00B070BF" w:rsidRPr="009577DE" w:rsidRDefault="00B070BF" w:rsidP="00C33D4A">
            <w:pPr>
              <w:widowControl w:val="0"/>
              <w:jc w:val="center"/>
              <w:rPr>
                <w:b/>
                <w:sz w:val="16"/>
                <w:szCs w:val="16"/>
                <w:lang w:val="es-ES_tradnl"/>
              </w:rPr>
            </w:pPr>
            <w:r w:rsidRPr="009577DE">
              <w:rPr>
                <w:b/>
                <w:color w:val="008000"/>
                <w:sz w:val="16"/>
                <w:szCs w:val="16"/>
                <w:lang w:val="es-ES_tradnl"/>
              </w:rPr>
              <w:t>Progresa con normalidad</w:t>
            </w:r>
          </w:p>
          <w:p w:rsidR="00B070BF" w:rsidRPr="009577DE" w:rsidRDefault="00B070BF" w:rsidP="00C33D4A">
            <w:pPr>
              <w:widowControl w:val="0"/>
              <w:jc w:val="center"/>
              <w:rPr>
                <w:b/>
                <w:sz w:val="16"/>
                <w:szCs w:val="16"/>
                <w:lang w:val="es-ES_tradnl"/>
              </w:rPr>
            </w:pPr>
          </w:p>
          <w:p w:rsidR="00B070BF" w:rsidRPr="009577DE" w:rsidRDefault="00B070BF" w:rsidP="00C33D4A">
            <w:pPr>
              <w:widowControl w:val="0"/>
              <w:jc w:val="center"/>
              <w:rPr>
                <w:b/>
                <w:sz w:val="16"/>
                <w:szCs w:val="16"/>
                <w:lang w:val="es-ES_tradnl"/>
              </w:rPr>
            </w:pPr>
          </w:p>
        </w:tc>
      </w:tr>
      <w:tr w:rsidR="00B070BF" w:rsidRPr="009577DE" w:rsidTr="00C33D4A">
        <w:trPr>
          <w:cantSplit/>
          <w:trHeight w:val="650"/>
        </w:trPr>
        <w:tc>
          <w:tcPr>
            <w:tcW w:w="852" w:type="pct"/>
            <w:tcBorders>
              <w:top w:val="nil"/>
              <w:left w:val="single" w:sz="4" w:space="0" w:color="auto"/>
              <w:bottom w:val="nil"/>
            </w:tcBorders>
            <w:shd w:val="clear" w:color="auto" w:fill="auto"/>
          </w:tcPr>
          <w:p w:rsidR="00B070BF" w:rsidRPr="009577DE" w:rsidRDefault="00B070BF" w:rsidP="00C33D4A">
            <w:pPr>
              <w:widowControl w:val="0"/>
              <w:rPr>
                <w:sz w:val="16"/>
                <w:szCs w:val="16"/>
                <w:lang w:val="es-ES_tradnl"/>
              </w:rPr>
            </w:pPr>
            <w:r w:rsidRPr="009577DE">
              <w:rPr>
                <w:sz w:val="16"/>
                <w:szCs w:val="16"/>
                <w:lang w:val="es-ES_tradnl"/>
              </w:rPr>
              <w:t xml:space="preserve">Número de profesores de P.I. que recibieron formación </w:t>
            </w:r>
          </w:p>
        </w:tc>
        <w:tc>
          <w:tcPr>
            <w:tcW w:w="783" w:type="pct"/>
            <w:tcBorders>
              <w:top w:val="nil"/>
              <w:bottom w:val="nil"/>
            </w:tcBorders>
            <w:shd w:val="clear" w:color="auto" w:fill="C0C0C0"/>
          </w:tcPr>
          <w:p w:rsidR="00B070BF" w:rsidRPr="009577DE" w:rsidRDefault="00B070BF" w:rsidP="00C33D4A">
            <w:pPr>
              <w:widowControl w:val="0"/>
              <w:jc w:val="center"/>
              <w:rPr>
                <w:sz w:val="16"/>
                <w:szCs w:val="16"/>
                <w:lang w:val="es-ES_tradnl"/>
              </w:rPr>
            </w:pPr>
            <w:r w:rsidRPr="009577DE">
              <w:rPr>
                <w:sz w:val="16"/>
                <w:szCs w:val="16"/>
                <w:lang w:val="es-ES_tradnl"/>
              </w:rPr>
              <w:t>30</w:t>
            </w:r>
          </w:p>
        </w:tc>
        <w:tc>
          <w:tcPr>
            <w:tcW w:w="893" w:type="pct"/>
            <w:tcBorders>
              <w:top w:val="nil"/>
              <w:bottom w:val="nil"/>
            </w:tcBorders>
            <w:shd w:val="clear" w:color="auto" w:fill="auto"/>
            <w:tcMar>
              <w:top w:w="110" w:type="dxa"/>
            </w:tcMar>
          </w:tcPr>
          <w:p w:rsidR="00B070BF" w:rsidRPr="00F2661C" w:rsidRDefault="00B070BF" w:rsidP="00C33D4A">
            <w:pPr>
              <w:widowControl w:val="0"/>
              <w:jc w:val="center"/>
              <w:rPr>
                <w:color w:val="993300"/>
                <w:sz w:val="16"/>
                <w:szCs w:val="16"/>
                <w:lang w:val="es-ES_tradnl"/>
              </w:rPr>
            </w:pPr>
            <w:r w:rsidRPr="00F2661C">
              <w:rPr>
                <w:color w:val="993300"/>
                <w:sz w:val="16"/>
                <w:szCs w:val="16"/>
                <w:lang w:val="es-ES_tradnl"/>
              </w:rPr>
              <w:t>30</w:t>
            </w:r>
          </w:p>
        </w:tc>
        <w:tc>
          <w:tcPr>
            <w:tcW w:w="1825" w:type="pct"/>
            <w:tcBorders>
              <w:top w:val="nil"/>
              <w:bottom w:val="nil"/>
            </w:tcBorders>
            <w:shd w:val="clear" w:color="auto" w:fill="FFFFFF"/>
            <w:tcMar>
              <w:top w:w="110" w:type="dxa"/>
            </w:tcMar>
          </w:tcPr>
          <w:p w:rsidR="00B070BF" w:rsidRPr="009577DE" w:rsidRDefault="00B070BF" w:rsidP="00C33D4A">
            <w:pPr>
              <w:widowControl w:val="0"/>
              <w:rPr>
                <w:sz w:val="16"/>
                <w:szCs w:val="16"/>
                <w:lang w:val="es-ES_tradnl" w:bidi="th-TH"/>
              </w:rPr>
            </w:pPr>
            <w:r w:rsidRPr="009577DE">
              <w:rPr>
                <w:sz w:val="16"/>
                <w:szCs w:val="16"/>
                <w:lang w:val="es-ES_tradnl" w:bidi="th-TH"/>
              </w:rPr>
              <w:t>27  profesores de P.I. recibieron formación en 2012 en el Coloquio OMPI-OMC para enseñantes de propiedad intelectual y el Congreso de la Asociación Internacional para el Progreso de la Enseñanza y de la Investigación de la Propiedad Intelectual (ATRIP), que se celebra anualmente.</w:t>
            </w:r>
          </w:p>
          <w:p w:rsidR="00B070BF" w:rsidRPr="009577DE" w:rsidRDefault="00B070BF" w:rsidP="00C33D4A">
            <w:pPr>
              <w:widowControl w:val="0"/>
              <w:rPr>
                <w:sz w:val="16"/>
                <w:szCs w:val="16"/>
                <w:lang w:val="es-ES_tradnl"/>
              </w:rPr>
            </w:pPr>
          </w:p>
        </w:tc>
        <w:tc>
          <w:tcPr>
            <w:tcW w:w="647" w:type="pct"/>
            <w:tcBorders>
              <w:top w:val="nil"/>
              <w:bottom w:val="nil"/>
              <w:right w:val="single" w:sz="4" w:space="0" w:color="auto"/>
            </w:tcBorders>
            <w:shd w:val="clear" w:color="auto" w:fill="auto"/>
            <w:tcMar>
              <w:top w:w="110" w:type="dxa"/>
            </w:tcMar>
          </w:tcPr>
          <w:p w:rsidR="00B070BF" w:rsidRPr="009577DE" w:rsidRDefault="00B070BF" w:rsidP="00C33D4A">
            <w:pPr>
              <w:widowControl w:val="0"/>
              <w:jc w:val="center"/>
              <w:rPr>
                <w:b/>
                <w:sz w:val="16"/>
                <w:szCs w:val="16"/>
                <w:lang w:val="es-ES_tradnl"/>
              </w:rPr>
            </w:pPr>
            <w:r w:rsidRPr="009577DE">
              <w:rPr>
                <w:b/>
                <w:color w:val="008000"/>
                <w:sz w:val="16"/>
                <w:szCs w:val="16"/>
                <w:lang w:val="es-ES_tradnl"/>
              </w:rPr>
              <w:t>Progresa con normalidad</w:t>
            </w:r>
          </w:p>
          <w:p w:rsidR="00B070BF" w:rsidRPr="009577DE" w:rsidRDefault="00B070BF" w:rsidP="00C33D4A">
            <w:pPr>
              <w:widowControl w:val="0"/>
              <w:rPr>
                <w:b/>
                <w:sz w:val="16"/>
                <w:szCs w:val="16"/>
                <w:lang w:val="es-ES_tradnl"/>
              </w:rPr>
            </w:pPr>
          </w:p>
        </w:tc>
      </w:tr>
      <w:tr w:rsidR="00B070BF" w:rsidRPr="009577DE" w:rsidTr="00C33D4A">
        <w:trPr>
          <w:cantSplit/>
        </w:trPr>
        <w:tc>
          <w:tcPr>
            <w:tcW w:w="852" w:type="pct"/>
            <w:tcBorders>
              <w:top w:val="nil"/>
              <w:left w:val="single" w:sz="4" w:space="0" w:color="auto"/>
              <w:bottom w:val="nil"/>
            </w:tcBorders>
            <w:shd w:val="clear" w:color="auto" w:fill="auto"/>
          </w:tcPr>
          <w:p w:rsidR="00B070BF" w:rsidRPr="009577DE" w:rsidRDefault="00B070BF" w:rsidP="00C33D4A">
            <w:pPr>
              <w:widowControl w:val="0"/>
              <w:rPr>
                <w:sz w:val="16"/>
                <w:szCs w:val="16"/>
                <w:lang w:val="es-ES_tradnl"/>
              </w:rPr>
            </w:pPr>
            <w:r w:rsidRPr="009577DE">
              <w:rPr>
                <w:sz w:val="16"/>
                <w:szCs w:val="16"/>
                <w:lang w:val="es-ES_tradnl"/>
              </w:rPr>
              <w:t xml:space="preserve">Número de academias nacionales de P.I. establecidas. (Proyecto de la Agenda para el Desarrollo) </w:t>
            </w:r>
          </w:p>
        </w:tc>
        <w:tc>
          <w:tcPr>
            <w:tcW w:w="783" w:type="pct"/>
            <w:tcBorders>
              <w:top w:val="nil"/>
              <w:bottom w:val="nil"/>
            </w:tcBorders>
            <w:shd w:val="clear" w:color="auto" w:fill="C0C0C0"/>
          </w:tcPr>
          <w:p w:rsidR="00B070BF" w:rsidRPr="009577DE" w:rsidRDefault="00B070BF" w:rsidP="00C33D4A">
            <w:pPr>
              <w:widowControl w:val="0"/>
              <w:jc w:val="center"/>
              <w:rPr>
                <w:sz w:val="16"/>
                <w:szCs w:val="16"/>
                <w:lang w:val="es-ES_tradnl"/>
              </w:rPr>
            </w:pPr>
            <w:r w:rsidRPr="009577DE">
              <w:rPr>
                <w:sz w:val="16"/>
                <w:szCs w:val="16"/>
                <w:lang w:val="es-ES_tradnl"/>
              </w:rPr>
              <w:t>2</w:t>
            </w:r>
          </w:p>
        </w:tc>
        <w:tc>
          <w:tcPr>
            <w:tcW w:w="893" w:type="pct"/>
            <w:tcBorders>
              <w:top w:val="nil"/>
              <w:bottom w:val="nil"/>
            </w:tcBorders>
            <w:shd w:val="clear" w:color="auto" w:fill="auto"/>
            <w:tcMar>
              <w:top w:w="110" w:type="dxa"/>
            </w:tcMar>
          </w:tcPr>
          <w:p w:rsidR="00B070BF" w:rsidRPr="00F2661C" w:rsidRDefault="00B070BF" w:rsidP="00C33D4A">
            <w:pPr>
              <w:widowControl w:val="0"/>
              <w:jc w:val="center"/>
              <w:rPr>
                <w:color w:val="993300"/>
                <w:sz w:val="16"/>
                <w:szCs w:val="16"/>
                <w:lang w:val="es-ES_tradnl"/>
              </w:rPr>
            </w:pPr>
            <w:r w:rsidRPr="00F2661C">
              <w:rPr>
                <w:color w:val="993300"/>
                <w:sz w:val="16"/>
                <w:szCs w:val="16"/>
                <w:lang w:val="es-ES_tradnl"/>
              </w:rPr>
              <w:t>4</w:t>
            </w:r>
          </w:p>
        </w:tc>
        <w:tc>
          <w:tcPr>
            <w:tcW w:w="1825" w:type="pct"/>
            <w:tcBorders>
              <w:top w:val="nil"/>
              <w:bottom w:val="nil"/>
            </w:tcBorders>
            <w:shd w:val="clear" w:color="auto" w:fill="FFFFFF"/>
            <w:tcMar>
              <w:top w:w="110" w:type="dxa"/>
            </w:tcMar>
          </w:tcPr>
          <w:p w:rsidR="00B070BF" w:rsidRPr="009577DE" w:rsidRDefault="00B070BF" w:rsidP="00C33D4A">
            <w:pPr>
              <w:widowControl w:val="0"/>
              <w:rPr>
                <w:sz w:val="16"/>
                <w:szCs w:val="16"/>
                <w:lang w:val="es-ES_tradnl" w:bidi="th-TH"/>
              </w:rPr>
            </w:pPr>
            <w:r w:rsidRPr="009577DE">
              <w:rPr>
                <w:sz w:val="16"/>
                <w:szCs w:val="16"/>
                <w:lang w:val="es-ES_tradnl" w:bidi="th-TH"/>
              </w:rPr>
              <w:t xml:space="preserve">La referencia “2” es el número de academias nacionales de P.I. que se habían establecido a la fecha de la preparación del proyecto de presupuesto por programas para 2012/13.  A finales de 2011, se habían iniciado 4 de esos proyectos, aunque no se habían completado. </w:t>
            </w:r>
          </w:p>
          <w:p w:rsidR="00B070BF" w:rsidRPr="009577DE" w:rsidRDefault="00B070BF" w:rsidP="00C33D4A">
            <w:pPr>
              <w:widowControl w:val="0"/>
              <w:rPr>
                <w:sz w:val="16"/>
                <w:szCs w:val="16"/>
                <w:lang w:val="es-ES_tradnl"/>
              </w:rPr>
            </w:pPr>
          </w:p>
        </w:tc>
        <w:tc>
          <w:tcPr>
            <w:tcW w:w="647" w:type="pct"/>
            <w:tcBorders>
              <w:top w:val="nil"/>
              <w:bottom w:val="nil"/>
              <w:right w:val="single" w:sz="4" w:space="0" w:color="auto"/>
            </w:tcBorders>
            <w:shd w:val="clear" w:color="auto" w:fill="auto"/>
            <w:tcMar>
              <w:top w:w="110" w:type="dxa"/>
            </w:tcMar>
          </w:tcPr>
          <w:p w:rsidR="00B070BF" w:rsidRPr="009577DE" w:rsidRDefault="00B070BF" w:rsidP="00C33D4A">
            <w:pPr>
              <w:widowControl w:val="0"/>
              <w:jc w:val="center"/>
              <w:rPr>
                <w:b/>
                <w:sz w:val="16"/>
                <w:szCs w:val="16"/>
                <w:lang w:val="es-ES_tradnl"/>
              </w:rPr>
            </w:pPr>
            <w:r w:rsidRPr="009577DE">
              <w:rPr>
                <w:b/>
                <w:color w:val="FF0000"/>
                <w:sz w:val="16"/>
                <w:szCs w:val="16"/>
                <w:lang w:val="es-ES_tradnl"/>
              </w:rPr>
              <w:t>Sin avances significativos</w:t>
            </w:r>
          </w:p>
          <w:p w:rsidR="00B070BF" w:rsidRPr="009577DE" w:rsidRDefault="00B070BF" w:rsidP="00C33D4A">
            <w:pPr>
              <w:widowControl w:val="0"/>
              <w:jc w:val="center"/>
              <w:rPr>
                <w:b/>
                <w:sz w:val="16"/>
                <w:szCs w:val="16"/>
                <w:lang w:val="es-ES_tradnl"/>
              </w:rPr>
            </w:pPr>
          </w:p>
          <w:p w:rsidR="00B070BF" w:rsidRPr="009577DE" w:rsidRDefault="00B070BF" w:rsidP="00C33D4A">
            <w:pPr>
              <w:widowControl w:val="0"/>
              <w:jc w:val="center"/>
              <w:rPr>
                <w:b/>
                <w:sz w:val="16"/>
                <w:szCs w:val="16"/>
                <w:lang w:val="es-ES_tradnl"/>
              </w:rPr>
            </w:pPr>
          </w:p>
        </w:tc>
      </w:tr>
      <w:tr w:rsidR="00B070BF" w:rsidRPr="009577DE" w:rsidTr="00C33D4A">
        <w:trPr>
          <w:cantSplit/>
        </w:trPr>
        <w:tc>
          <w:tcPr>
            <w:tcW w:w="852" w:type="pct"/>
            <w:tcBorders>
              <w:top w:val="nil"/>
              <w:left w:val="single" w:sz="4" w:space="0" w:color="auto"/>
              <w:bottom w:val="single" w:sz="4" w:space="0" w:color="auto"/>
            </w:tcBorders>
            <w:shd w:val="clear" w:color="auto" w:fill="auto"/>
          </w:tcPr>
          <w:p w:rsidR="00B070BF" w:rsidRPr="009577DE" w:rsidRDefault="00B070BF" w:rsidP="00C33D4A">
            <w:pPr>
              <w:widowControl w:val="0"/>
              <w:ind w:firstLineChars="3" w:firstLine="5"/>
              <w:rPr>
                <w:sz w:val="16"/>
                <w:szCs w:val="16"/>
                <w:lang w:val="es-ES_tradnl"/>
              </w:rPr>
            </w:pPr>
            <w:r w:rsidRPr="009577DE">
              <w:rPr>
                <w:sz w:val="16"/>
                <w:szCs w:val="16"/>
                <w:lang w:val="es-ES_tradnl"/>
              </w:rPr>
              <w:t>Número de nuevos acuerdos de cooperación interinstitucional.</w:t>
            </w:r>
          </w:p>
        </w:tc>
        <w:tc>
          <w:tcPr>
            <w:tcW w:w="783" w:type="pct"/>
            <w:tcBorders>
              <w:top w:val="nil"/>
              <w:bottom w:val="single" w:sz="4" w:space="0" w:color="auto"/>
            </w:tcBorders>
            <w:shd w:val="clear" w:color="auto" w:fill="C0C0C0"/>
          </w:tcPr>
          <w:p w:rsidR="00B070BF" w:rsidRPr="009577DE" w:rsidRDefault="00B070BF" w:rsidP="00C33D4A">
            <w:pPr>
              <w:widowControl w:val="0"/>
              <w:jc w:val="center"/>
              <w:rPr>
                <w:sz w:val="16"/>
                <w:szCs w:val="16"/>
                <w:lang w:val="es-ES_tradnl"/>
              </w:rPr>
            </w:pPr>
            <w:r w:rsidRPr="009577DE">
              <w:rPr>
                <w:sz w:val="16"/>
                <w:szCs w:val="16"/>
                <w:lang w:val="es-ES_tradnl"/>
              </w:rPr>
              <w:t>2</w:t>
            </w:r>
          </w:p>
        </w:tc>
        <w:tc>
          <w:tcPr>
            <w:tcW w:w="893" w:type="pct"/>
            <w:tcBorders>
              <w:top w:val="nil"/>
              <w:bottom w:val="single" w:sz="4" w:space="0" w:color="auto"/>
            </w:tcBorders>
            <w:shd w:val="clear" w:color="auto" w:fill="auto"/>
            <w:tcMar>
              <w:top w:w="110" w:type="dxa"/>
            </w:tcMar>
          </w:tcPr>
          <w:p w:rsidR="00B070BF" w:rsidRPr="00F2661C" w:rsidRDefault="00B070BF" w:rsidP="00C33D4A">
            <w:pPr>
              <w:widowControl w:val="0"/>
              <w:jc w:val="center"/>
              <w:rPr>
                <w:color w:val="993300"/>
                <w:sz w:val="16"/>
                <w:szCs w:val="16"/>
                <w:lang w:val="es-ES_tradnl"/>
              </w:rPr>
            </w:pPr>
            <w:r w:rsidRPr="00F2661C">
              <w:rPr>
                <w:color w:val="993300"/>
                <w:sz w:val="16"/>
                <w:szCs w:val="16"/>
                <w:lang w:val="es-ES_tradnl"/>
              </w:rPr>
              <w:t>3</w:t>
            </w:r>
          </w:p>
        </w:tc>
        <w:tc>
          <w:tcPr>
            <w:tcW w:w="1825" w:type="pct"/>
            <w:tcBorders>
              <w:top w:val="nil"/>
              <w:bottom w:val="single" w:sz="4" w:space="0" w:color="auto"/>
            </w:tcBorders>
            <w:shd w:val="clear" w:color="auto" w:fill="FFFFFF"/>
            <w:tcMar>
              <w:top w:w="110" w:type="dxa"/>
            </w:tcMar>
          </w:tcPr>
          <w:p w:rsidR="00B070BF" w:rsidRPr="009577DE" w:rsidRDefault="00B070BF" w:rsidP="00C33D4A">
            <w:pPr>
              <w:widowControl w:val="0"/>
              <w:rPr>
                <w:sz w:val="16"/>
                <w:szCs w:val="16"/>
                <w:lang w:val="es-ES_tradnl"/>
              </w:rPr>
            </w:pPr>
            <w:r w:rsidRPr="009577DE">
              <w:rPr>
                <w:sz w:val="16"/>
                <w:szCs w:val="16"/>
                <w:lang w:val="es-ES_tradnl"/>
              </w:rPr>
              <w:t xml:space="preserve">Tres acuerdos adicionales en 2012:  el Centro de Observancia de la Propiedad Intelectual </w:t>
            </w:r>
            <w:r w:rsidRPr="009577DE">
              <w:rPr>
                <w:sz w:val="16"/>
                <w:szCs w:val="16"/>
                <w:lang w:val="es-ES_tradnl" w:bidi="th-TH"/>
              </w:rPr>
              <w:t xml:space="preserve">de Azerbaiyán, la Academia Marroquí de Propiedad Intelectual y Comercial y el Instituto de Investigación sobre Propiedad Intelectual de </w:t>
            </w:r>
            <w:proofErr w:type="spellStart"/>
            <w:r w:rsidRPr="009577DE">
              <w:rPr>
                <w:sz w:val="16"/>
                <w:szCs w:val="16"/>
                <w:lang w:val="es-ES_tradnl" w:bidi="th-TH"/>
              </w:rPr>
              <w:t>Viet</w:t>
            </w:r>
            <w:proofErr w:type="spellEnd"/>
            <w:r w:rsidRPr="009577DE">
              <w:rPr>
                <w:sz w:val="16"/>
                <w:szCs w:val="16"/>
                <w:lang w:val="es-ES_tradnl" w:bidi="th-TH"/>
              </w:rPr>
              <w:t xml:space="preserve"> </w:t>
            </w:r>
            <w:proofErr w:type="spellStart"/>
            <w:r w:rsidRPr="009577DE">
              <w:rPr>
                <w:sz w:val="16"/>
                <w:szCs w:val="16"/>
                <w:lang w:val="es-ES_tradnl" w:bidi="th-TH"/>
              </w:rPr>
              <w:t>Nam</w:t>
            </w:r>
            <w:proofErr w:type="spellEnd"/>
            <w:r w:rsidRPr="009577DE">
              <w:rPr>
                <w:sz w:val="16"/>
                <w:szCs w:val="16"/>
                <w:lang w:val="es-ES_tradnl" w:bidi="th-TH"/>
              </w:rPr>
              <w:t xml:space="preserve"> se adhirieron a la Red Mundial de Academias de Propiedad Intelectual (GNIPA).</w:t>
            </w:r>
          </w:p>
        </w:tc>
        <w:tc>
          <w:tcPr>
            <w:tcW w:w="647" w:type="pct"/>
            <w:tcBorders>
              <w:top w:val="nil"/>
              <w:bottom w:val="single" w:sz="4" w:space="0" w:color="auto"/>
              <w:right w:val="single" w:sz="4" w:space="0" w:color="auto"/>
            </w:tcBorders>
            <w:shd w:val="clear" w:color="auto" w:fill="auto"/>
            <w:tcMar>
              <w:top w:w="110" w:type="dxa"/>
            </w:tcMar>
          </w:tcPr>
          <w:p w:rsidR="00B070BF" w:rsidRPr="009577DE" w:rsidRDefault="00B070BF" w:rsidP="00C33D4A">
            <w:pPr>
              <w:widowControl w:val="0"/>
              <w:jc w:val="center"/>
              <w:rPr>
                <w:b/>
                <w:sz w:val="16"/>
                <w:szCs w:val="16"/>
                <w:lang w:val="es-ES_tradnl"/>
              </w:rPr>
            </w:pPr>
            <w:r w:rsidRPr="009577DE">
              <w:rPr>
                <w:b/>
                <w:color w:val="008000"/>
                <w:sz w:val="16"/>
                <w:szCs w:val="16"/>
                <w:lang w:val="es-ES_tradnl"/>
              </w:rPr>
              <w:t>Progresa con normalidad</w:t>
            </w:r>
          </w:p>
          <w:p w:rsidR="00B070BF" w:rsidRPr="009577DE" w:rsidRDefault="00B070BF" w:rsidP="00C33D4A">
            <w:pPr>
              <w:widowControl w:val="0"/>
              <w:jc w:val="center"/>
              <w:rPr>
                <w:bCs/>
                <w:sz w:val="16"/>
                <w:szCs w:val="16"/>
                <w:lang w:val="es-ES_tradnl"/>
              </w:rPr>
            </w:pPr>
          </w:p>
          <w:p w:rsidR="00B070BF" w:rsidRPr="009577DE" w:rsidRDefault="00B070BF" w:rsidP="00C33D4A">
            <w:pPr>
              <w:widowControl w:val="0"/>
              <w:jc w:val="center"/>
              <w:rPr>
                <w:bCs/>
                <w:sz w:val="16"/>
                <w:szCs w:val="16"/>
                <w:lang w:val="es-ES_tradnl"/>
              </w:rPr>
            </w:pPr>
          </w:p>
        </w:tc>
      </w:tr>
      <w:tr w:rsidR="00B070BF" w:rsidRPr="009577DE" w:rsidTr="00C33D4A">
        <w:trPr>
          <w:cantSplit/>
        </w:trPr>
        <w:tc>
          <w:tcPr>
            <w:tcW w:w="5000" w:type="pct"/>
            <w:gridSpan w:val="5"/>
            <w:tcBorders>
              <w:top w:val="single" w:sz="4" w:space="0" w:color="auto"/>
              <w:left w:val="single" w:sz="4" w:space="0" w:color="auto"/>
              <w:bottom w:val="single" w:sz="4" w:space="0" w:color="auto"/>
              <w:right w:val="single" w:sz="4" w:space="0" w:color="auto"/>
            </w:tcBorders>
            <w:shd w:val="clear" w:color="auto" w:fill="CCFFFF"/>
            <w:vAlign w:val="center"/>
          </w:tcPr>
          <w:p w:rsidR="00B070BF" w:rsidRPr="009577DE" w:rsidRDefault="00B070BF" w:rsidP="00C33D4A">
            <w:pPr>
              <w:widowControl w:val="0"/>
              <w:tabs>
                <w:tab w:val="left" w:pos="1452"/>
              </w:tabs>
              <w:spacing w:before="120" w:after="120"/>
              <w:ind w:left="1452" w:hanging="1452"/>
              <w:rPr>
                <w:b/>
                <w:bCs/>
                <w:sz w:val="16"/>
                <w:szCs w:val="16"/>
                <w:lang w:val="es-ES_tradnl"/>
              </w:rPr>
            </w:pPr>
            <w:r w:rsidRPr="009577DE">
              <w:rPr>
                <w:b/>
                <w:bCs/>
                <w:sz w:val="16"/>
                <w:szCs w:val="16"/>
                <w:lang w:val="es-ES_tradnl"/>
              </w:rPr>
              <w:t>Resultado previsto:</w:t>
            </w:r>
            <w:r w:rsidRPr="009577DE">
              <w:rPr>
                <w:b/>
                <w:bCs/>
                <w:sz w:val="16"/>
                <w:szCs w:val="16"/>
                <w:lang w:val="es-ES_tradnl"/>
              </w:rPr>
              <w:tab/>
            </w:r>
            <w:r w:rsidRPr="009577DE">
              <w:rPr>
                <w:bCs/>
                <w:sz w:val="16"/>
                <w:szCs w:val="16"/>
                <w:lang w:val="es-ES_tradnl"/>
              </w:rPr>
              <w:t xml:space="preserve"> Mayor facilidad de acceso a la formación en P.I.</w:t>
            </w:r>
          </w:p>
        </w:tc>
      </w:tr>
      <w:tr w:rsidR="00B070BF" w:rsidRPr="009577DE" w:rsidTr="00C33D4A">
        <w:trPr>
          <w:cantSplit/>
        </w:trPr>
        <w:tc>
          <w:tcPr>
            <w:tcW w:w="852" w:type="pct"/>
            <w:tcBorders>
              <w:top w:val="single" w:sz="4" w:space="0" w:color="auto"/>
              <w:left w:val="single" w:sz="4" w:space="0" w:color="auto"/>
              <w:bottom w:val="single" w:sz="4" w:space="0" w:color="auto"/>
            </w:tcBorders>
            <w:shd w:val="clear" w:color="auto" w:fill="auto"/>
            <w:vAlign w:val="center"/>
          </w:tcPr>
          <w:p w:rsidR="00B070BF" w:rsidRPr="009577DE" w:rsidRDefault="00B070BF" w:rsidP="00C33D4A">
            <w:pPr>
              <w:widowControl w:val="0"/>
              <w:spacing w:after="120"/>
              <w:rPr>
                <w:sz w:val="16"/>
                <w:szCs w:val="16"/>
                <w:lang w:val="es-ES_tradnl"/>
              </w:rPr>
            </w:pPr>
            <w:r w:rsidRPr="009577DE">
              <w:rPr>
                <w:b/>
                <w:bCs/>
                <w:sz w:val="16"/>
                <w:szCs w:val="16"/>
                <w:lang w:val="es-ES_tradnl"/>
              </w:rPr>
              <w:t>Indicadores de rendimiento</w:t>
            </w:r>
          </w:p>
        </w:tc>
        <w:tc>
          <w:tcPr>
            <w:tcW w:w="783" w:type="pct"/>
            <w:tcBorders>
              <w:top w:val="single" w:sz="4" w:space="0" w:color="auto"/>
              <w:bottom w:val="single" w:sz="4" w:space="0" w:color="auto"/>
            </w:tcBorders>
            <w:shd w:val="clear" w:color="auto" w:fill="C0C0C0"/>
          </w:tcPr>
          <w:p w:rsidR="00B070BF" w:rsidRPr="009577DE" w:rsidRDefault="00B070BF" w:rsidP="00C33D4A">
            <w:pPr>
              <w:widowControl w:val="0"/>
              <w:spacing w:after="120"/>
              <w:rPr>
                <w:b/>
                <w:bCs/>
                <w:sz w:val="16"/>
                <w:szCs w:val="16"/>
                <w:lang w:val="es-ES_tradnl"/>
              </w:rPr>
            </w:pPr>
            <w:r w:rsidRPr="009577DE">
              <w:rPr>
                <w:b/>
                <w:bCs/>
                <w:sz w:val="16"/>
                <w:szCs w:val="16"/>
                <w:lang w:val="es-ES_tradnl"/>
              </w:rPr>
              <w:t>Referencia (</w:t>
            </w:r>
            <w:proofErr w:type="spellStart"/>
            <w:r w:rsidRPr="009577DE">
              <w:rPr>
                <w:b/>
                <w:bCs/>
                <w:sz w:val="16"/>
                <w:szCs w:val="16"/>
                <w:lang w:val="es-ES_tradnl"/>
              </w:rPr>
              <w:t>Presup</w:t>
            </w:r>
            <w:proofErr w:type="spellEnd"/>
            <w:r w:rsidRPr="009577DE">
              <w:rPr>
                <w:b/>
                <w:bCs/>
                <w:sz w:val="16"/>
                <w:szCs w:val="16"/>
                <w:lang w:val="es-ES_tradnl"/>
              </w:rPr>
              <w:t xml:space="preserve">. por </w:t>
            </w:r>
            <w:proofErr w:type="spellStart"/>
            <w:r w:rsidRPr="009577DE">
              <w:rPr>
                <w:b/>
                <w:bCs/>
                <w:sz w:val="16"/>
                <w:szCs w:val="16"/>
                <w:lang w:val="es-ES_tradnl"/>
              </w:rPr>
              <w:t>prog</w:t>
            </w:r>
            <w:proofErr w:type="spellEnd"/>
            <w:r w:rsidRPr="009577DE">
              <w:rPr>
                <w:b/>
                <w:bCs/>
                <w:sz w:val="16"/>
                <w:szCs w:val="16"/>
                <w:lang w:val="es-ES_tradnl"/>
              </w:rPr>
              <w:t>. 2012/13)</w:t>
            </w:r>
          </w:p>
        </w:tc>
        <w:tc>
          <w:tcPr>
            <w:tcW w:w="893" w:type="pct"/>
            <w:tcBorders>
              <w:top w:val="single" w:sz="4" w:space="0" w:color="auto"/>
              <w:bottom w:val="single" w:sz="4" w:space="0" w:color="auto"/>
            </w:tcBorders>
            <w:shd w:val="clear" w:color="auto" w:fill="auto"/>
            <w:tcMar>
              <w:top w:w="110" w:type="dxa"/>
            </w:tcMar>
            <w:vAlign w:val="center"/>
          </w:tcPr>
          <w:p w:rsidR="00B070BF" w:rsidRPr="009577DE" w:rsidRDefault="00B070BF" w:rsidP="00C33D4A">
            <w:pPr>
              <w:widowControl w:val="0"/>
              <w:spacing w:after="120"/>
              <w:rPr>
                <w:b/>
                <w:sz w:val="16"/>
                <w:szCs w:val="16"/>
                <w:lang w:val="es-ES_tradnl"/>
              </w:rPr>
            </w:pPr>
            <w:r w:rsidRPr="00BF138D">
              <w:rPr>
                <w:b/>
                <w:color w:val="993300"/>
                <w:sz w:val="16"/>
                <w:szCs w:val="16"/>
                <w:lang w:val="es-ES_tradnl"/>
              </w:rPr>
              <w:t>Referencia actualizada a finales de 2011</w:t>
            </w:r>
            <w:r w:rsidRPr="009577DE">
              <w:rPr>
                <w:b/>
                <w:sz w:val="16"/>
                <w:szCs w:val="16"/>
                <w:lang w:val="es-ES_tradnl"/>
              </w:rPr>
              <w:t xml:space="preserve"> </w:t>
            </w:r>
          </w:p>
        </w:tc>
        <w:tc>
          <w:tcPr>
            <w:tcW w:w="1825" w:type="pct"/>
            <w:tcBorders>
              <w:top w:val="single" w:sz="4" w:space="0" w:color="auto"/>
              <w:bottom w:val="single" w:sz="4" w:space="0" w:color="auto"/>
            </w:tcBorders>
            <w:shd w:val="clear" w:color="auto" w:fill="FFFFFF"/>
            <w:tcMar>
              <w:top w:w="110" w:type="dxa"/>
            </w:tcMar>
            <w:vAlign w:val="center"/>
          </w:tcPr>
          <w:p w:rsidR="00B070BF" w:rsidRPr="009577DE" w:rsidRDefault="00B070BF" w:rsidP="00C33D4A">
            <w:pPr>
              <w:widowControl w:val="0"/>
              <w:spacing w:after="120"/>
              <w:rPr>
                <w:sz w:val="16"/>
                <w:szCs w:val="16"/>
                <w:lang w:val="es-ES_tradnl"/>
              </w:rPr>
            </w:pPr>
            <w:r w:rsidRPr="009577DE">
              <w:rPr>
                <w:b/>
                <w:bCs/>
                <w:sz w:val="16"/>
                <w:szCs w:val="16"/>
                <w:lang w:val="es-ES_tradnl"/>
              </w:rPr>
              <w:t>Datos sobre el rendimiento</w:t>
            </w:r>
          </w:p>
        </w:tc>
        <w:tc>
          <w:tcPr>
            <w:tcW w:w="647" w:type="pct"/>
            <w:tcBorders>
              <w:top w:val="single" w:sz="4" w:space="0" w:color="auto"/>
              <w:bottom w:val="single" w:sz="4" w:space="0" w:color="auto"/>
              <w:right w:val="single" w:sz="4" w:space="0" w:color="auto"/>
            </w:tcBorders>
            <w:shd w:val="clear" w:color="auto" w:fill="auto"/>
            <w:tcMar>
              <w:top w:w="110" w:type="dxa"/>
            </w:tcMar>
            <w:vAlign w:val="center"/>
          </w:tcPr>
          <w:p w:rsidR="00B070BF" w:rsidRPr="009577DE" w:rsidRDefault="00B070BF" w:rsidP="00C33D4A">
            <w:pPr>
              <w:widowControl w:val="0"/>
              <w:spacing w:after="120"/>
              <w:jc w:val="center"/>
              <w:rPr>
                <w:b/>
                <w:bCs/>
                <w:sz w:val="16"/>
                <w:szCs w:val="16"/>
                <w:lang w:val="es-ES_tradnl"/>
              </w:rPr>
            </w:pPr>
            <w:r w:rsidRPr="009577DE">
              <w:rPr>
                <w:b/>
                <w:bCs/>
                <w:sz w:val="16"/>
                <w:szCs w:val="16"/>
                <w:lang w:val="es-ES_tradnl"/>
              </w:rPr>
              <w:t>Clave de colores</w:t>
            </w:r>
          </w:p>
        </w:tc>
      </w:tr>
      <w:tr w:rsidR="00B070BF" w:rsidRPr="009577DE" w:rsidTr="00C33D4A">
        <w:trPr>
          <w:cantSplit/>
        </w:trPr>
        <w:tc>
          <w:tcPr>
            <w:tcW w:w="852" w:type="pct"/>
            <w:tcBorders>
              <w:top w:val="single" w:sz="4" w:space="0" w:color="auto"/>
              <w:left w:val="single" w:sz="4" w:space="0" w:color="auto"/>
              <w:bottom w:val="nil"/>
            </w:tcBorders>
            <w:shd w:val="clear" w:color="auto" w:fill="FFFFFF"/>
          </w:tcPr>
          <w:p w:rsidR="00B070BF" w:rsidRPr="009577DE" w:rsidRDefault="00B070BF" w:rsidP="00C33D4A">
            <w:pPr>
              <w:widowControl w:val="0"/>
              <w:ind w:firstLineChars="3" w:firstLine="5"/>
              <w:rPr>
                <w:sz w:val="16"/>
                <w:szCs w:val="16"/>
                <w:lang w:val="es-ES_tradnl"/>
              </w:rPr>
            </w:pPr>
            <w:r w:rsidRPr="009577DE">
              <w:rPr>
                <w:sz w:val="16"/>
                <w:szCs w:val="16"/>
                <w:lang w:val="es-ES_tradnl"/>
              </w:rPr>
              <w:t>Número de inscripciones en línea en los cursos de enseñanza a distancia.</w:t>
            </w:r>
          </w:p>
        </w:tc>
        <w:tc>
          <w:tcPr>
            <w:tcW w:w="783" w:type="pct"/>
            <w:tcBorders>
              <w:top w:val="single" w:sz="4" w:space="0" w:color="auto"/>
              <w:bottom w:val="nil"/>
            </w:tcBorders>
            <w:shd w:val="clear" w:color="auto" w:fill="C0C0C0"/>
          </w:tcPr>
          <w:p w:rsidR="00B070BF" w:rsidRPr="009577DE" w:rsidRDefault="00B070BF" w:rsidP="00C33D4A">
            <w:pPr>
              <w:widowControl w:val="0"/>
              <w:jc w:val="center"/>
              <w:rPr>
                <w:sz w:val="16"/>
                <w:szCs w:val="16"/>
                <w:lang w:val="es-ES_tradnl"/>
              </w:rPr>
            </w:pPr>
            <w:r w:rsidRPr="009577DE">
              <w:rPr>
                <w:sz w:val="16"/>
                <w:szCs w:val="16"/>
                <w:lang w:val="es-ES_tradnl"/>
              </w:rPr>
              <w:t>100.000</w:t>
            </w:r>
          </w:p>
        </w:tc>
        <w:tc>
          <w:tcPr>
            <w:tcW w:w="893" w:type="pct"/>
            <w:tcBorders>
              <w:top w:val="single" w:sz="4" w:space="0" w:color="auto"/>
              <w:bottom w:val="nil"/>
            </w:tcBorders>
            <w:shd w:val="clear" w:color="auto" w:fill="auto"/>
            <w:tcMar>
              <w:top w:w="110" w:type="dxa"/>
            </w:tcMar>
          </w:tcPr>
          <w:p w:rsidR="00B070BF" w:rsidRPr="00F2661C" w:rsidRDefault="00B070BF" w:rsidP="00C33D4A">
            <w:pPr>
              <w:widowControl w:val="0"/>
              <w:jc w:val="center"/>
              <w:rPr>
                <w:color w:val="993300"/>
                <w:sz w:val="16"/>
                <w:szCs w:val="16"/>
                <w:lang w:val="es-ES_tradnl"/>
              </w:rPr>
            </w:pPr>
            <w:r w:rsidRPr="00F2661C">
              <w:rPr>
                <w:color w:val="993300"/>
                <w:sz w:val="16"/>
                <w:szCs w:val="16"/>
                <w:lang w:val="es-ES_tradnl"/>
              </w:rPr>
              <w:t>83.000</w:t>
            </w:r>
          </w:p>
        </w:tc>
        <w:tc>
          <w:tcPr>
            <w:tcW w:w="1825" w:type="pct"/>
            <w:tcBorders>
              <w:top w:val="single" w:sz="4" w:space="0" w:color="auto"/>
              <w:bottom w:val="nil"/>
            </w:tcBorders>
            <w:shd w:val="clear" w:color="auto" w:fill="FFFFFF"/>
            <w:tcMar>
              <w:top w:w="110" w:type="dxa"/>
            </w:tcMar>
          </w:tcPr>
          <w:p w:rsidR="00B070BF" w:rsidRPr="009577DE" w:rsidRDefault="00B070BF" w:rsidP="00C33D4A">
            <w:pPr>
              <w:widowControl w:val="0"/>
              <w:rPr>
                <w:sz w:val="16"/>
                <w:szCs w:val="16"/>
                <w:lang w:val="es-ES_tradnl" w:bidi="th-TH"/>
              </w:rPr>
            </w:pPr>
            <w:r w:rsidRPr="009577DE">
              <w:rPr>
                <w:sz w:val="16"/>
                <w:szCs w:val="16"/>
                <w:lang w:val="es-ES_tradnl" w:bidi="th-TH"/>
              </w:rPr>
              <w:t>40.844 inscripciones en línea en 2012.</w:t>
            </w:r>
          </w:p>
          <w:p w:rsidR="00B070BF" w:rsidRPr="009577DE" w:rsidRDefault="00B070BF" w:rsidP="00C33D4A">
            <w:pPr>
              <w:widowControl w:val="0"/>
              <w:rPr>
                <w:sz w:val="16"/>
                <w:szCs w:val="16"/>
                <w:lang w:val="es-ES_tradnl" w:bidi="th-TH"/>
              </w:rPr>
            </w:pPr>
          </w:p>
          <w:p w:rsidR="00B070BF" w:rsidRPr="009577DE" w:rsidRDefault="00B070BF" w:rsidP="00C33D4A">
            <w:pPr>
              <w:widowControl w:val="0"/>
              <w:rPr>
                <w:sz w:val="16"/>
                <w:szCs w:val="16"/>
                <w:lang w:val="es-ES_tradnl" w:bidi="th-TH"/>
              </w:rPr>
            </w:pPr>
          </w:p>
          <w:p w:rsidR="00B070BF" w:rsidRPr="009577DE" w:rsidRDefault="00B070BF" w:rsidP="00C33D4A">
            <w:pPr>
              <w:widowControl w:val="0"/>
              <w:rPr>
                <w:sz w:val="16"/>
                <w:szCs w:val="16"/>
                <w:lang w:val="es-ES_tradnl" w:bidi="th-TH"/>
              </w:rPr>
            </w:pPr>
          </w:p>
        </w:tc>
        <w:tc>
          <w:tcPr>
            <w:tcW w:w="647" w:type="pct"/>
            <w:tcBorders>
              <w:top w:val="single" w:sz="4" w:space="0" w:color="auto"/>
              <w:bottom w:val="nil"/>
              <w:right w:val="single" w:sz="4" w:space="0" w:color="auto"/>
            </w:tcBorders>
            <w:shd w:val="clear" w:color="auto" w:fill="auto"/>
            <w:tcMar>
              <w:top w:w="110" w:type="dxa"/>
            </w:tcMar>
          </w:tcPr>
          <w:p w:rsidR="00B070BF" w:rsidRPr="009577DE" w:rsidRDefault="00B070BF" w:rsidP="00C33D4A">
            <w:pPr>
              <w:widowControl w:val="0"/>
              <w:rPr>
                <w:b/>
                <w:sz w:val="16"/>
                <w:szCs w:val="16"/>
                <w:lang w:val="es-ES_tradnl"/>
              </w:rPr>
            </w:pPr>
            <w:r w:rsidRPr="009577DE">
              <w:rPr>
                <w:b/>
                <w:color w:val="008000"/>
                <w:sz w:val="16"/>
                <w:szCs w:val="16"/>
                <w:lang w:val="es-ES_tradnl"/>
              </w:rPr>
              <w:t>Progresa con normalidad</w:t>
            </w:r>
          </w:p>
          <w:p w:rsidR="00B070BF" w:rsidRPr="009577DE" w:rsidRDefault="00B070BF" w:rsidP="00C33D4A">
            <w:pPr>
              <w:widowControl w:val="0"/>
              <w:jc w:val="center"/>
              <w:rPr>
                <w:bCs/>
                <w:sz w:val="16"/>
                <w:szCs w:val="16"/>
                <w:lang w:val="es-ES_tradnl"/>
              </w:rPr>
            </w:pPr>
          </w:p>
          <w:p w:rsidR="00B070BF" w:rsidRPr="009577DE" w:rsidRDefault="00B070BF" w:rsidP="00C33D4A">
            <w:pPr>
              <w:widowControl w:val="0"/>
              <w:jc w:val="center"/>
              <w:rPr>
                <w:bCs/>
                <w:sz w:val="16"/>
                <w:szCs w:val="16"/>
                <w:lang w:val="es-ES_tradnl"/>
              </w:rPr>
            </w:pPr>
          </w:p>
        </w:tc>
      </w:tr>
      <w:tr w:rsidR="00B070BF" w:rsidRPr="009577DE" w:rsidTr="00C33D4A">
        <w:trPr>
          <w:cantSplit/>
        </w:trPr>
        <w:tc>
          <w:tcPr>
            <w:tcW w:w="852" w:type="pct"/>
            <w:tcBorders>
              <w:top w:val="nil"/>
              <w:left w:val="single" w:sz="4" w:space="0" w:color="auto"/>
              <w:bottom w:val="nil"/>
            </w:tcBorders>
            <w:shd w:val="clear" w:color="auto" w:fill="auto"/>
          </w:tcPr>
          <w:p w:rsidR="00B070BF" w:rsidRPr="009577DE" w:rsidRDefault="00B070BF" w:rsidP="00C33D4A">
            <w:pPr>
              <w:widowControl w:val="0"/>
              <w:ind w:firstLineChars="3" w:firstLine="5"/>
              <w:rPr>
                <w:sz w:val="16"/>
                <w:szCs w:val="16"/>
                <w:lang w:val="es-ES_tradnl"/>
              </w:rPr>
            </w:pPr>
            <w:r w:rsidRPr="009577DE">
              <w:rPr>
                <w:sz w:val="16"/>
                <w:szCs w:val="16"/>
                <w:lang w:val="es-ES_tradnl"/>
              </w:rPr>
              <w:t>Porcentaje de estudiantes que completan los cursos de enseñanza a distancia.</w:t>
            </w:r>
          </w:p>
        </w:tc>
        <w:tc>
          <w:tcPr>
            <w:tcW w:w="783" w:type="pct"/>
            <w:tcBorders>
              <w:top w:val="nil"/>
              <w:bottom w:val="nil"/>
            </w:tcBorders>
            <w:shd w:val="clear" w:color="auto" w:fill="C0C0C0"/>
          </w:tcPr>
          <w:p w:rsidR="00B070BF" w:rsidRPr="009577DE" w:rsidRDefault="00B070BF" w:rsidP="00C33D4A">
            <w:pPr>
              <w:widowControl w:val="0"/>
              <w:jc w:val="center"/>
              <w:rPr>
                <w:sz w:val="16"/>
                <w:szCs w:val="16"/>
                <w:lang w:val="es-ES_tradnl"/>
              </w:rPr>
            </w:pPr>
            <w:r w:rsidRPr="009577DE">
              <w:rPr>
                <w:sz w:val="16"/>
                <w:szCs w:val="16"/>
                <w:lang w:val="es-ES_tradnl"/>
              </w:rPr>
              <w:t>60%</w:t>
            </w:r>
          </w:p>
        </w:tc>
        <w:tc>
          <w:tcPr>
            <w:tcW w:w="893" w:type="pct"/>
            <w:tcBorders>
              <w:top w:val="nil"/>
              <w:bottom w:val="nil"/>
            </w:tcBorders>
            <w:shd w:val="clear" w:color="auto" w:fill="auto"/>
            <w:tcMar>
              <w:top w:w="110" w:type="dxa"/>
            </w:tcMar>
          </w:tcPr>
          <w:p w:rsidR="00B070BF" w:rsidRPr="00F2661C" w:rsidRDefault="00B070BF" w:rsidP="00C33D4A">
            <w:pPr>
              <w:widowControl w:val="0"/>
              <w:jc w:val="center"/>
              <w:rPr>
                <w:color w:val="993300"/>
                <w:sz w:val="16"/>
                <w:szCs w:val="16"/>
                <w:lang w:val="es-ES_tradnl"/>
              </w:rPr>
            </w:pPr>
            <w:r w:rsidRPr="00F2661C">
              <w:rPr>
                <w:color w:val="993300"/>
                <w:sz w:val="16"/>
                <w:szCs w:val="16"/>
                <w:lang w:val="es-ES_tradnl"/>
              </w:rPr>
              <w:t>68%</w:t>
            </w:r>
          </w:p>
        </w:tc>
        <w:tc>
          <w:tcPr>
            <w:tcW w:w="1825" w:type="pct"/>
            <w:tcBorders>
              <w:top w:val="nil"/>
              <w:bottom w:val="nil"/>
            </w:tcBorders>
            <w:shd w:val="clear" w:color="auto" w:fill="FFFFFF"/>
            <w:tcMar>
              <w:top w:w="110" w:type="dxa"/>
            </w:tcMar>
          </w:tcPr>
          <w:p w:rsidR="00B070BF" w:rsidRPr="009577DE" w:rsidRDefault="00B070BF" w:rsidP="00C33D4A">
            <w:pPr>
              <w:widowControl w:val="0"/>
              <w:rPr>
                <w:sz w:val="16"/>
                <w:szCs w:val="16"/>
                <w:lang w:val="es-ES_tradnl" w:bidi="th-TH"/>
              </w:rPr>
            </w:pPr>
            <w:r w:rsidRPr="009577DE">
              <w:rPr>
                <w:sz w:val="16"/>
                <w:szCs w:val="16"/>
                <w:lang w:val="es-ES_tradnl" w:bidi="th-TH"/>
              </w:rPr>
              <w:t xml:space="preserve">70% </w:t>
            </w:r>
          </w:p>
        </w:tc>
        <w:tc>
          <w:tcPr>
            <w:tcW w:w="647" w:type="pct"/>
            <w:tcBorders>
              <w:top w:val="nil"/>
              <w:bottom w:val="nil"/>
              <w:right w:val="single" w:sz="4" w:space="0" w:color="auto"/>
            </w:tcBorders>
            <w:shd w:val="clear" w:color="auto" w:fill="auto"/>
          </w:tcPr>
          <w:p w:rsidR="00B070BF" w:rsidRPr="009577DE" w:rsidRDefault="00B070BF" w:rsidP="00C33D4A">
            <w:pPr>
              <w:widowControl w:val="0"/>
              <w:jc w:val="center"/>
              <w:rPr>
                <w:bCs/>
                <w:sz w:val="16"/>
                <w:szCs w:val="16"/>
                <w:lang w:val="es-ES_tradnl"/>
              </w:rPr>
            </w:pPr>
            <w:r w:rsidRPr="009577DE">
              <w:rPr>
                <w:b/>
                <w:color w:val="008000"/>
                <w:sz w:val="16"/>
                <w:szCs w:val="16"/>
                <w:lang w:val="es-ES_tradnl"/>
              </w:rPr>
              <w:t>Progresa con normalidad</w:t>
            </w:r>
          </w:p>
          <w:p w:rsidR="00B070BF" w:rsidRPr="009577DE" w:rsidRDefault="00B070BF" w:rsidP="00C33D4A">
            <w:pPr>
              <w:widowControl w:val="0"/>
              <w:rPr>
                <w:bCs/>
                <w:sz w:val="16"/>
                <w:szCs w:val="16"/>
                <w:lang w:val="es-ES_tradnl"/>
              </w:rPr>
            </w:pPr>
          </w:p>
          <w:p w:rsidR="00B070BF" w:rsidRPr="009577DE" w:rsidRDefault="00B070BF" w:rsidP="00C33D4A">
            <w:pPr>
              <w:widowControl w:val="0"/>
              <w:rPr>
                <w:bCs/>
                <w:sz w:val="16"/>
                <w:szCs w:val="16"/>
                <w:lang w:val="es-ES_tradnl"/>
              </w:rPr>
            </w:pPr>
          </w:p>
        </w:tc>
      </w:tr>
      <w:tr w:rsidR="00B070BF" w:rsidRPr="009577DE" w:rsidTr="00C33D4A">
        <w:trPr>
          <w:cantSplit/>
        </w:trPr>
        <w:tc>
          <w:tcPr>
            <w:tcW w:w="852" w:type="pct"/>
            <w:tcBorders>
              <w:top w:val="nil"/>
              <w:left w:val="single" w:sz="4" w:space="0" w:color="auto"/>
              <w:bottom w:val="nil"/>
            </w:tcBorders>
            <w:shd w:val="clear" w:color="auto" w:fill="auto"/>
          </w:tcPr>
          <w:p w:rsidR="00B070BF" w:rsidRPr="009577DE" w:rsidRDefault="00B070BF" w:rsidP="00C33D4A">
            <w:pPr>
              <w:widowControl w:val="0"/>
              <w:ind w:firstLineChars="3" w:firstLine="5"/>
              <w:rPr>
                <w:sz w:val="16"/>
                <w:szCs w:val="16"/>
                <w:lang w:val="es-ES_tradnl"/>
              </w:rPr>
            </w:pPr>
            <w:r w:rsidRPr="009577DE">
              <w:rPr>
                <w:sz w:val="16"/>
                <w:szCs w:val="16"/>
                <w:lang w:val="es-ES_tradnl"/>
              </w:rPr>
              <w:t>Porcentaje de participantes en cursos de enseñanza a distancia que superan el examen. </w:t>
            </w:r>
          </w:p>
        </w:tc>
        <w:tc>
          <w:tcPr>
            <w:tcW w:w="783" w:type="pct"/>
            <w:tcBorders>
              <w:top w:val="nil"/>
              <w:bottom w:val="nil"/>
            </w:tcBorders>
            <w:shd w:val="clear" w:color="auto" w:fill="C0C0C0"/>
          </w:tcPr>
          <w:p w:rsidR="00B070BF" w:rsidRPr="009577DE" w:rsidRDefault="00B070BF" w:rsidP="00C33D4A">
            <w:pPr>
              <w:widowControl w:val="0"/>
              <w:jc w:val="center"/>
              <w:rPr>
                <w:sz w:val="16"/>
                <w:szCs w:val="16"/>
                <w:lang w:val="es-ES_tradnl"/>
              </w:rPr>
            </w:pPr>
            <w:r w:rsidRPr="009577DE">
              <w:rPr>
                <w:sz w:val="16"/>
                <w:szCs w:val="16"/>
                <w:lang w:val="es-ES_tradnl"/>
              </w:rPr>
              <w:t>65%</w:t>
            </w:r>
          </w:p>
        </w:tc>
        <w:tc>
          <w:tcPr>
            <w:tcW w:w="893" w:type="pct"/>
            <w:tcBorders>
              <w:top w:val="nil"/>
              <w:bottom w:val="nil"/>
            </w:tcBorders>
            <w:shd w:val="clear" w:color="auto" w:fill="auto"/>
            <w:tcMar>
              <w:top w:w="110" w:type="dxa"/>
            </w:tcMar>
          </w:tcPr>
          <w:p w:rsidR="00B070BF" w:rsidRPr="00F2661C" w:rsidRDefault="00B070BF" w:rsidP="00C33D4A">
            <w:pPr>
              <w:widowControl w:val="0"/>
              <w:jc w:val="center"/>
              <w:rPr>
                <w:color w:val="993300"/>
                <w:sz w:val="16"/>
                <w:szCs w:val="16"/>
                <w:lang w:val="es-ES_tradnl"/>
              </w:rPr>
            </w:pPr>
            <w:r w:rsidRPr="00F2661C">
              <w:rPr>
                <w:color w:val="993300"/>
                <w:sz w:val="16"/>
                <w:szCs w:val="16"/>
                <w:lang w:val="es-ES_tradnl"/>
              </w:rPr>
              <w:t>64%</w:t>
            </w:r>
          </w:p>
        </w:tc>
        <w:tc>
          <w:tcPr>
            <w:tcW w:w="1825" w:type="pct"/>
            <w:tcBorders>
              <w:top w:val="nil"/>
              <w:bottom w:val="nil"/>
            </w:tcBorders>
            <w:shd w:val="clear" w:color="auto" w:fill="FFFFFF"/>
            <w:tcMar>
              <w:top w:w="110" w:type="dxa"/>
            </w:tcMar>
          </w:tcPr>
          <w:p w:rsidR="00B070BF" w:rsidRPr="009577DE" w:rsidRDefault="00B070BF" w:rsidP="00C33D4A">
            <w:pPr>
              <w:widowControl w:val="0"/>
              <w:rPr>
                <w:sz w:val="16"/>
                <w:szCs w:val="16"/>
                <w:lang w:val="es-ES_tradnl" w:bidi="th-TH"/>
              </w:rPr>
            </w:pPr>
            <w:r w:rsidRPr="009577DE">
              <w:rPr>
                <w:sz w:val="16"/>
                <w:szCs w:val="16"/>
                <w:lang w:val="es-ES_tradnl" w:bidi="th-TH"/>
              </w:rPr>
              <w:t xml:space="preserve">66% </w:t>
            </w:r>
          </w:p>
        </w:tc>
        <w:tc>
          <w:tcPr>
            <w:tcW w:w="647" w:type="pct"/>
            <w:tcBorders>
              <w:top w:val="nil"/>
              <w:bottom w:val="nil"/>
              <w:right w:val="single" w:sz="4" w:space="0" w:color="auto"/>
            </w:tcBorders>
            <w:shd w:val="clear" w:color="auto" w:fill="auto"/>
            <w:tcMar>
              <w:top w:w="110" w:type="dxa"/>
            </w:tcMar>
            <w:vAlign w:val="center"/>
          </w:tcPr>
          <w:p w:rsidR="00B070BF" w:rsidRPr="009577DE" w:rsidRDefault="00B070BF" w:rsidP="00C33D4A">
            <w:pPr>
              <w:widowControl w:val="0"/>
              <w:jc w:val="center"/>
              <w:rPr>
                <w:b/>
                <w:sz w:val="16"/>
                <w:szCs w:val="16"/>
                <w:lang w:val="es-ES_tradnl"/>
              </w:rPr>
            </w:pPr>
            <w:r w:rsidRPr="009577DE">
              <w:rPr>
                <w:b/>
                <w:color w:val="FF0000"/>
                <w:sz w:val="16"/>
                <w:szCs w:val="16"/>
                <w:lang w:val="es-ES_tradnl"/>
              </w:rPr>
              <w:t>Sin avances significativos</w:t>
            </w:r>
          </w:p>
          <w:p w:rsidR="00B070BF" w:rsidRPr="009577DE" w:rsidRDefault="00B070BF" w:rsidP="00C33D4A">
            <w:pPr>
              <w:widowControl w:val="0"/>
              <w:spacing w:after="120"/>
              <w:jc w:val="center"/>
              <w:rPr>
                <w:bCs/>
                <w:sz w:val="16"/>
                <w:szCs w:val="16"/>
                <w:lang w:val="es-ES_tradnl"/>
              </w:rPr>
            </w:pPr>
          </w:p>
        </w:tc>
      </w:tr>
      <w:tr w:rsidR="00B070BF" w:rsidRPr="009577DE" w:rsidTr="00C33D4A">
        <w:trPr>
          <w:cantSplit/>
        </w:trPr>
        <w:tc>
          <w:tcPr>
            <w:tcW w:w="852" w:type="pct"/>
            <w:tcBorders>
              <w:top w:val="nil"/>
              <w:left w:val="single" w:sz="4" w:space="0" w:color="auto"/>
              <w:bottom w:val="single" w:sz="4" w:space="0" w:color="auto"/>
            </w:tcBorders>
            <w:shd w:val="clear" w:color="auto" w:fill="FFFFFF"/>
          </w:tcPr>
          <w:p w:rsidR="00B070BF" w:rsidRPr="009577DE" w:rsidRDefault="00B070BF" w:rsidP="00C33D4A">
            <w:pPr>
              <w:widowControl w:val="0"/>
              <w:ind w:firstLineChars="3" w:firstLine="5"/>
              <w:rPr>
                <w:sz w:val="16"/>
                <w:szCs w:val="16"/>
                <w:lang w:val="es-ES_tradnl"/>
              </w:rPr>
            </w:pPr>
            <w:r w:rsidRPr="009577DE">
              <w:rPr>
                <w:sz w:val="16"/>
                <w:szCs w:val="16"/>
                <w:lang w:val="es-ES_tradnl"/>
              </w:rPr>
              <w:t>Número de cursos de la Academia incorporados a los planes de estudios de instituciones docentes.</w:t>
            </w:r>
          </w:p>
        </w:tc>
        <w:tc>
          <w:tcPr>
            <w:tcW w:w="783" w:type="pct"/>
            <w:tcBorders>
              <w:top w:val="nil"/>
              <w:bottom w:val="single" w:sz="4" w:space="0" w:color="auto"/>
            </w:tcBorders>
            <w:shd w:val="clear" w:color="auto" w:fill="C0C0C0"/>
          </w:tcPr>
          <w:p w:rsidR="00B070BF" w:rsidRPr="009577DE" w:rsidRDefault="00B070BF" w:rsidP="00C33D4A">
            <w:pPr>
              <w:widowControl w:val="0"/>
              <w:jc w:val="center"/>
              <w:rPr>
                <w:sz w:val="16"/>
                <w:szCs w:val="16"/>
                <w:lang w:val="es-ES_tradnl"/>
              </w:rPr>
            </w:pPr>
            <w:r w:rsidRPr="009577DE">
              <w:rPr>
                <w:sz w:val="16"/>
                <w:szCs w:val="16"/>
                <w:lang w:val="es-ES_tradnl"/>
              </w:rPr>
              <w:t xml:space="preserve">8 </w:t>
            </w:r>
          </w:p>
          <w:p w:rsidR="00B070BF" w:rsidRPr="009577DE" w:rsidRDefault="00B070BF" w:rsidP="00C33D4A">
            <w:pPr>
              <w:widowControl w:val="0"/>
              <w:jc w:val="center"/>
              <w:rPr>
                <w:sz w:val="16"/>
                <w:szCs w:val="16"/>
                <w:lang w:val="es-ES_tradnl"/>
              </w:rPr>
            </w:pPr>
            <w:r w:rsidRPr="009577DE">
              <w:rPr>
                <w:sz w:val="16"/>
                <w:szCs w:val="16"/>
                <w:lang w:val="es-ES_tradnl"/>
              </w:rPr>
              <w:t>(2010/11)</w:t>
            </w:r>
          </w:p>
        </w:tc>
        <w:tc>
          <w:tcPr>
            <w:tcW w:w="893" w:type="pct"/>
            <w:tcBorders>
              <w:top w:val="nil"/>
              <w:bottom w:val="single" w:sz="4" w:space="0" w:color="auto"/>
            </w:tcBorders>
            <w:shd w:val="clear" w:color="auto" w:fill="auto"/>
            <w:tcMar>
              <w:top w:w="110" w:type="dxa"/>
            </w:tcMar>
          </w:tcPr>
          <w:p w:rsidR="00B070BF" w:rsidRPr="00F2661C" w:rsidRDefault="00B070BF" w:rsidP="00C33D4A">
            <w:pPr>
              <w:widowControl w:val="0"/>
              <w:jc w:val="center"/>
              <w:rPr>
                <w:color w:val="993300"/>
                <w:sz w:val="16"/>
                <w:szCs w:val="16"/>
                <w:lang w:val="es-ES_tradnl"/>
              </w:rPr>
            </w:pPr>
            <w:r w:rsidRPr="00F2661C">
              <w:rPr>
                <w:color w:val="993300"/>
                <w:sz w:val="16"/>
                <w:szCs w:val="16"/>
                <w:lang w:val="es-ES_tradnl"/>
              </w:rPr>
              <w:t>10</w:t>
            </w:r>
          </w:p>
        </w:tc>
        <w:tc>
          <w:tcPr>
            <w:tcW w:w="1825" w:type="pct"/>
            <w:tcBorders>
              <w:top w:val="nil"/>
              <w:bottom w:val="single" w:sz="4" w:space="0" w:color="auto"/>
            </w:tcBorders>
            <w:shd w:val="clear" w:color="auto" w:fill="FFFFFF"/>
            <w:tcMar>
              <w:top w:w="110" w:type="dxa"/>
            </w:tcMar>
          </w:tcPr>
          <w:p w:rsidR="00B070BF" w:rsidRPr="009577DE" w:rsidRDefault="00B070BF" w:rsidP="00C33D4A">
            <w:pPr>
              <w:widowControl w:val="0"/>
              <w:rPr>
                <w:sz w:val="16"/>
                <w:szCs w:val="16"/>
                <w:lang w:val="es-ES_tradnl" w:bidi="th-TH"/>
              </w:rPr>
            </w:pPr>
            <w:r w:rsidRPr="009577DE">
              <w:rPr>
                <w:sz w:val="16"/>
                <w:szCs w:val="16"/>
                <w:lang w:val="es-ES_tradnl" w:bidi="th-TH"/>
              </w:rPr>
              <w:t>En 2012, 10 universidades introdujeron los cursos de enseñanza a distancia de la OMPI en sus programas de estudios respectivos y conceden créditos a los que los cursan.</w:t>
            </w:r>
          </w:p>
          <w:p w:rsidR="00B070BF" w:rsidRPr="009577DE" w:rsidRDefault="00B070BF" w:rsidP="00C33D4A">
            <w:pPr>
              <w:widowControl w:val="0"/>
              <w:rPr>
                <w:sz w:val="16"/>
                <w:szCs w:val="16"/>
                <w:lang w:val="es-ES_tradnl" w:bidi="th-TH"/>
              </w:rPr>
            </w:pPr>
          </w:p>
          <w:p w:rsidR="00B070BF" w:rsidRPr="009577DE" w:rsidRDefault="00B070BF" w:rsidP="00C33D4A">
            <w:pPr>
              <w:widowControl w:val="0"/>
              <w:rPr>
                <w:sz w:val="16"/>
                <w:szCs w:val="16"/>
                <w:lang w:val="es-ES_tradnl" w:bidi="th-TH"/>
              </w:rPr>
            </w:pPr>
          </w:p>
        </w:tc>
        <w:tc>
          <w:tcPr>
            <w:tcW w:w="647" w:type="pct"/>
            <w:tcBorders>
              <w:top w:val="nil"/>
              <w:bottom w:val="single" w:sz="4" w:space="0" w:color="auto"/>
              <w:right w:val="single" w:sz="4" w:space="0" w:color="auto"/>
            </w:tcBorders>
            <w:shd w:val="clear" w:color="auto" w:fill="auto"/>
            <w:tcMar>
              <w:top w:w="110" w:type="dxa"/>
            </w:tcMar>
          </w:tcPr>
          <w:p w:rsidR="00B070BF" w:rsidRPr="009577DE" w:rsidRDefault="00B070BF" w:rsidP="00C33D4A">
            <w:pPr>
              <w:widowControl w:val="0"/>
              <w:jc w:val="center"/>
              <w:rPr>
                <w:b/>
                <w:sz w:val="16"/>
                <w:szCs w:val="16"/>
                <w:lang w:val="es-ES_tradnl"/>
              </w:rPr>
            </w:pPr>
            <w:r w:rsidRPr="009577DE">
              <w:rPr>
                <w:b/>
                <w:color w:val="008000"/>
                <w:sz w:val="16"/>
                <w:szCs w:val="16"/>
                <w:lang w:val="es-ES_tradnl"/>
              </w:rPr>
              <w:t>Progresa con normalidad</w:t>
            </w:r>
          </w:p>
          <w:p w:rsidR="00B070BF" w:rsidRPr="009577DE" w:rsidRDefault="00B070BF" w:rsidP="00C33D4A">
            <w:pPr>
              <w:widowControl w:val="0"/>
              <w:jc w:val="center"/>
              <w:rPr>
                <w:bCs/>
                <w:sz w:val="16"/>
                <w:szCs w:val="16"/>
                <w:lang w:val="es-ES_tradnl"/>
              </w:rPr>
            </w:pPr>
          </w:p>
          <w:p w:rsidR="00B070BF" w:rsidRPr="009577DE" w:rsidRDefault="00B070BF" w:rsidP="00C33D4A">
            <w:pPr>
              <w:widowControl w:val="0"/>
              <w:jc w:val="center"/>
              <w:rPr>
                <w:bCs/>
                <w:sz w:val="16"/>
                <w:szCs w:val="16"/>
                <w:lang w:val="es-ES_tradnl"/>
              </w:rPr>
            </w:pPr>
          </w:p>
        </w:tc>
      </w:tr>
      <w:tr w:rsidR="00B070BF" w:rsidRPr="009577DE" w:rsidTr="00C33D4A">
        <w:trPr>
          <w:cantSplit/>
        </w:trPr>
        <w:tc>
          <w:tcPr>
            <w:tcW w:w="852" w:type="pct"/>
            <w:tcBorders>
              <w:top w:val="single" w:sz="4" w:space="0" w:color="auto"/>
              <w:left w:val="single" w:sz="4" w:space="0" w:color="auto"/>
              <w:bottom w:val="nil"/>
            </w:tcBorders>
            <w:shd w:val="clear" w:color="auto" w:fill="auto"/>
          </w:tcPr>
          <w:p w:rsidR="00B070BF" w:rsidRPr="009577DE" w:rsidRDefault="00B070BF" w:rsidP="00C33D4A">
            <w:pPr>
              <w:widowControl w:val="0"/>
              <w:ind w:firstLineChars="3" w:firstLine="5"/>
              <w:rPr>
                <w:sz w:val="16"/>
                <w:szCs w:val="16"/>
                <w:lang w:val="es-ES_tradnl"/>
              </w:rPr>
            </w:pPr>
            <w:r w:rsidRPr="009577DE">
              <w:rPr>
                <w:sz w:val="16"/>
                <w:szCs w:val="16"/>
                <w:lang w:val="es-ES_tradnl"/>
              </w:rPr>
              <w:lastRenderedPageBreak/>
              <w:t>Número de nuevos cursos en línea/a diferentes niveles de especialización.</w:t>
            </w:r>
          </w:p>
        </w:tc>
        <w:tc>
          <w:tcPr>
            <w:tcW w:w="783" w:type="pct"/>
            <w:tcBorders>
              <w:top w:val="single" w:sz="4" w:space="0" w:color="auto"/>
              <w:bottom w:val="nil"/>
            </w:tcBorders>
            <w:shd w:val="clear" w:color="auto" w:fill="C0C0C0"/>
          </w:tcPr>
          <w:p w:rsidR="00B070BF" w:rsidRPr="009577DE" w:rsidRDefault="00B070BF" w:rsidP="00C33D4A">
            <w:pPr>
              <w:widowControl w:val="0"/>
              <w:jc w:val="center"/>
              <w:rPr>
                <w:sz w:val="16"/>
                <w:szCs w:val="16"/>
                <w:lang w:val="es-ES_tradnl"/>
              </w:rPr>
            </w:pPr>
            <w:r w:rsidRPr="009577DE">
              <w:rPr>
                <w:sz w:val="16"/>
                <w:szCs w:val="16"/>
                <w:lang w:val="es-ES_tradnl"/>
              </w:rPr>
              <w:t xml:space="preserve">2 </w:t>
            </w:r>
          </w:p>
          <w:p w:rsidR="00B070BF" w:rsidRPr="009577DE" w:rsidRDefault="00B070BF" w:rsidP="00C33D4A">
            <w:pPr>
              <w:widowControl w:val="0"/>
              <w:jc w:val="center"/>
              <w:rPr>
                <w:sz w:val="16"/>
                <w:szCs w:val="16"/>
                <w:lang w:val="es-ES_tradnl"/>
              </w:rPr>
            </w:pPr>
            <w:r w:rsidRPr="009577DE">
              <w:rPr>
                <w:sz w:val="16"/>
                <w:szCs w:val="16"/>
                <w:lang w:val="es-ES_tradnl"/>
              </w:rPr>
              <w:t>(2010/11)</w:t>
            </w:r>
          </w:p>
        </w:tc>
        <w:tc>
          <w:tcPr>
            <w:tcW w:w="893" w:type="pct"/>
            <w:tcBorders>
              <w:top w:val="single" w:sz="4" w:space="0" w:color="auto"/>
              <w:bottom w:val="nil"/>
            </w:tcBorders>
            <w:shd w:val="clear" w:color="auto" w:fill="auto"/>
            <w:tcMar>
              <w:top w:w="110" w:type="dxa"/>
            </w:tcMar>
          </w:tcPr>
          <w:p w:rsidR="00B070BF" w:rsidRPr="00F2661C" w:rsidRDefault="00B070BF" w:rsidP="00C33D4A">
            <w:pPr>
              <w:widowControl w:val="0"/>
              <w:jc w:val="center"/>
              <w:rPr>
                <w:color w:val="993300"/>
                <w:sz w:val="16"/>
                <w:szCs w:val="16"/>
                <w:lang w:val="es-ES_tradnl"/>
              </w:rPr>
            </w:pPr>
            <w:r w:rsidRPr="00F2661C">
              <w:rPr>
                <w:color w:val="993300"/>
                <w:sz w:val="16"/>
                <w:szCs w:val="16"/>
                <w:lang w:val="es-ES_tradnl"/>
              </w:rPr>
              <w:t>2</w:t>
            </w:r>
          </w:p>
        </w:tc>
        <w:tc>
          <w:tcPr>
            <w:tcW w:w="1825" w:type="pct"/>
            <w:tcBorders>
              <w:top w:val="single" w:sz="4" w:space="0" w:color="auto"/>
              <w:bottom w:val="nil"/>
            </w:tcBorders>
            <w:shd w:val="clear" w:color="auto" w:fill="FFFFFF"/>
            <w:tcMar>
              <w:top w:w="110" w:type="dxa"/>
            </w:tcMar>
          </w:tcPr>
          <w:p w:rsidR="00B070BF" w:rsidRPr="009577DE" w:rsidRDefault="00B070BF" w:rsidP="00C33D4A">
            <w:pPr>
              <w:widowControl w:val="0"/>
              <w:rPr>
                <w:sz w:val="16"/>
                <w:szCs w:val="16"/>
                <w:lang w:val="es-ES_tradnl" w:bidi="th-TH"/>
              </w:rPr>
            </w:pPr>
            <w:r w:rsidRPr="009577DE">
              <w:rPr>
                <w:sz w:val="16"/>
                <w:szCs w:val="16"/>
                <w:lang w:val="es-ES_tradnl" w:bidi="th-TH"/>
              </w:rPr>
              <w:t xml:space="preserve">En 2012 se comenzó a trabajar en la concepción de 3 nuevos cursos sobre los aspectos económicos de la P.I., la gestión colectiva del derecho de autor y los derechos conexos y la P.I. y la salud pública. </w:t>
            </w:r>
          </w:p>
          <w:p w:rsidR="00B070BF" w:rsidRPr="009577DE" w:rsidRDefault="00B070BF" w:rsidP="00C33D4A">
            <w:pPr>
              <w:widowControl w:val="0"/>
              <w:rPr>
                <w:b/>
                <w:bCs/>
                <w:sz w:val="16"/>
                <w:szCs w:val="16"/>
                <w:lang w:val="es-ES_tradnl" w:bidi="th-TH"/>
              </w:rPr>
            </w:pPr>
          </w:p>
        </w:tc>
        <w:tc>
          <w:tcPr>
            <w:tcW w:w="647" w:type="pct"/>
            <w:tcBorders>
              <w:top w:val="single" w:sz="4" w:space="0" w:color="auto"/>
              <w:bottom w:val="nil"/>
              <w:right w:val="single" w:sz="4" w:space="0" w:color="auto"/>
            </w:tcBorders>
            <w:shd w:val="clear" w:color="auto" w:fill="auto"/>
          </w:tcPr>
          <w:p w:rsidR="00B070BF" w:rsidRPr="009577DE" w:rsidRDefault="00B070BF" w:rsidP="00C33D4A">
            <w:pPr>
              <w:widowControl w:val="0"/>
              <w:jc w:val="center"/>
              <w:rPr>
                <w:bCs/>
                <w:sz w:val="12"/>
                <w:szCs w:val="12"/>
                <w:lang w:val="es-ES_tradnl"/>
              </w:rPr>
            </w:pPr>
          </w:p>
          <w:p w:rsidR="00B070BF" w:rsidRPr="009577DE" w:rsidRDefault="00B070BF" w:rsidP="00C33D4A">
            <w:pPr>
              <w:widowControl w:val="0"/>
              <w:jc w:val="center"/>
              <w:rPr>
                <w:b/>
                <w:sz w:val="16"/>
                <w:szCs w:val="16"/>
                <w:lang w:val="es-ES_tradnl"/>
              </w:rPr>
            </w:pPr>
            <w:r w:rsidRPr="009577DE">
              <w:rPr>
                <w:b/>
                <w:color w:val="008000"/>
                <w:sz w:val="16"/>
                <w:szCs w:val="16"/>
                <w:lang w:val="es-ES_tradnl"/>
              </w:rPr>
              <w:t>Progresa con normalidad</w:t>
            </w:r>
          </w:p>
          <w:p w:rsidR="00B070BF" w:rsidRPr="009577DE" w:rsidRDefault="00B070BF" w:rsidP="00C33D4A">
            <w:pPr>
              <w:widowControl w:val="0"/>
              <w:jc w:val="center"/>
              <w:rPr>
                <w:bCs/>
                <w:sz w:val="16"/>
                <w:szCs w:val="16"/>
                <w:lang w:val="es-ES_tradnl"/>
              </w:rPr>
            </w:pPr>
          </w:p>
          <w:p w:rsidR="00B070BF" w:rsidRPr="009577DE" w:rsidRDefault="00B070BF" w:rsidP="00C33D4A">
            <w:pPr>
              <w:widowControl w:val="0"/>
              <w:jc w:val="center"/>
              <w:rPr>
                <w:bCs/>
                <w:sz w:val="16"/>
                <w:szCs w:val="16"/>
                <w:lang w:val="es-ES_tradnl"/>
              </w:rPr>
            </w:pPr>
          </w:p>
        </w:tc>
      </w:tr>
      <w:tr w:rsidR="00B070BF" w:rsidRPr="009577DE" w:rsidTr="00C33D4A">
        <w:trPr>
          <w:cantSplit/>
        </w:trPr>
        <w:tc>
          <w:tcPr>
            <w:tcW w:w="852" w:type="pct"/>
            <w:tcBorders>
              <w:top w:val="nil"/>
              <w:left w:val="single" w:sz="4" w:space="0" w:color="auto"/>
              <w:bottom w:val="single" w:sz="4" w:space="0" w:color="auto"/>
            </w:tcBorders>
            <w:shd w:val="clear" w:color="auto" w:fill="auto"/>
          </w:tcPr>
          <w:p w:rsidR="00B070BF" w:rsidRPr="009577DE" w:rsidRDefault="00B070BF" w:rsidP="00C33D4A">
            <w:pPr>
              <w:widowControl w:val="0"/>
              <w:ind w:firstLineChars="3" w:firstLine="5"/>
              <w:rPr>
                <w:sz w:val="16"/>
                <w:szCs w:val="16"/>
                <w:lang w:val="es-ES_tradnl"/>
              </w:rPr>
            </w:pPr>
            <w:r w:rsidRPr="009577DE">
              <w:rPr>
                <w:sz w:val="16"/>
                <w:szCs w:val="16"/>
                <w:lang w:val="es-ES_tradnl"/>
              </w:rPr>
              <w:t>Número de idiomas en los que se imparten los cursos.</w:t>
            </w:r>
          </w:p>
        </w:tc>
        <w:tc>
          <w:tcPr>
            <w:tcW w:w="783" w:type="pct"/>
            <w:tcBorders>
              <w:top w:val="nil"/>
              <w:bottom w:val="single" w:sz="4" w:space="0" w:color="auto"/>
            </w:tcBorders>
            <w:shd w:val="clear" w:color="auto" w:fill="C0C0C0"/>
          </w:tcPr>
          <w:p w:rsidR="00B070BF" w:rsidRPr="009577DE" w:rsidRDefault="00B070BF" w:rsidP="00C33D4A">
            <w:pPr>
              <w:widowControl w:val="0"/>
              <w:jc w:val="center"/>
              <w:rPr>
                <w:sz w:val="16"/>
                <w:szCs w:val="16"/>
                <w:lang w:val="es-ES_tradnl"/>
              </w:rPr>
            </w:pPr>
            <w:r w:rsidRPr="009577DE">
              <w:rPr>
                <w:sz w:val="16"/>
                <w:szCs w:val="16"/>
                <w:lang w:val="es-ES_tradnl"/>
              </w:rPr>
              <w:t>11</w:t>
            </w:r>
          </w:p>
        </w:tc>
        <w:tc>
          <w:tcPr>
            <w:tcW w:w="893" w:type="pct"/>
            <w:tcBorders>
              <w:top w:val="nil"/>
              <w:bottom w:val="single" w:sz="4" w:space="0" w:color="auto"/>
            </w:tcBorders>
            <w:shd w:val="clear" w:color="auto" w:fill="auto"/>
            <w:tcMar>
              <w:top w:w="110" w:type="dxa"/>
            </w:tcMar>
          </w:tcPr>
          <w:p w:rsidR="00B070BF" w:rsidRPr="00F2661C" w:rsidRDefault="00B070BF" w:rsidP="00C33D4A">
            <w:pPr>
              <w:widowControl w:val="0"/>
              <w:jc w:val="center"/>
              <w:rPr>
                <w:color w:val="993300"/>
                <w:sz w:val="16"/>
                <w:szCs w:val="16"/>
                <w:lang w:val="es-ES_tradnl"/>
              </w:rPr>
            </w:pPr>
            <w:r w:rsidRPr="00F2661C">
              <w:rPr>
                <w:color w:val="993300"/>
                <w:sz w:val="16"/>
                <w:szCs w:val="16"/>
                <w:lang w:val="es-ES_tradnl"/>
              </w:rPr>
              <w:t>11</w:t>
            </w:r>
          </w:p>
        </w:tc>
        <w:tc>
          <w:tcPr>
            <w:tcW w:w="1825" w:type="pct"/>
            <w:tcBorders>
              <w:top w:val="nil"/>
              <w:bottom w:val="single" w:sz="4" w:space="0" w:color="auto"/>
            </w:tcBorders>
            <w:shd w:val="clear" w:color="auto" w:fill="FFFFFF"/>
            <w:tcMar>
              <w:top w:w="110" w:type="dxa"/>
            </w:tcMar>
          </w:tcPr>
          <w:p w:rsidR="00B070BF" w:rsidRPr="009577DE" w:rsidRDefault="00B070BF" w:rsidP="00C33D4A">
            <w:pPr>
              <w:widowControl w:val="0"/>
              <w:rPr>
                <w:sz w:val="16"/>
                <w:szCs w:val="16"/>
                <w:lang w:val="es-ES_tradnl" w:bidi="th-TH"/>
              </w:rPr>
            </w:pPr>
            <w:r w:rsidRPr="009577DE">
              <w:rPr>
                <w:sz w:val="16"/>
                <w:szCs w:val="16"/>
                <w:lang w:val="es-ES_tradnl" w:bidi="th-TH"/>
              </w:rPr>
              <w:t xml:space="preserve">11 </w:t>
            </w:r>
          </w:p>
        </w:tc>
        <w:tc>
          <w:tcPr>
            <w:tcW w:w="647" w:type="pct"/>
            <w:tcBorders>
              <w:top w:val="nil"/>
              <w:bottom w:val="single" w:sz="4" w:space="0" w:color="auto"/>
              <w:right w:val="single" w:sz="4" w:space="0" w:color="auto"/>
            </w:tcBorders>
            <w:shd w:val="clear" w:color="auto" w:fill="auto"/>
            <w:tcMar>
              <w:top w:w="110" w:type="dxa"/>
            </w:tcMar>
            <w:vAlign w:val="center"/>
          </w:tcPr>
          <w:p w:rsidR="00B070BF" w:rsidRPr="009577DE" w:rsidRDefault="00B070BF" w:rsidP="00C33D4A">
            <w:pPr>
              <w:widowControl w:val="0"/>
              <w:jc w:val="center"/>
              <w:rPr>
                <w:bCs/>
                <w:sz w:val="16"/>
                <w:szCs w:val="16"/>
                <w:lang w:val="es-ES_tradnl"/>
              </w:rPr>
            </w:pPr>
            <w:r w:rsidRPr="009577DE">
              <w:rPr>
                <w:b/>
                <w:color w:val="008000"/>
                <w:sz w:val="16"/>
                <w:szCs w:val="16"/>
                <w:lang w:val="es-ES_tradnl"/>
              </w:rPr>
              <w:t>Progresa con normalidad</w:t>
            </w:r>
          </w:p>
          <w:p w:rsidR="00B070BF" w:rsidRPr="009577DE" w:rsidRDefault="00B070BF" w:rsidP="00C33D4A">
            <w:pPr>
              <w:widowControl w:val="0"/>
              <w:jc w:val="center"/>
              <w:rPr>
                <w:bCs/>
                <w:sz w:val="16"/>
                <w:szCs w:val="16"/>
                <w:lang w:val="es-ES_tradnl"/>
              </w:rPr>
            </w:pPr>
          </w:p>
          <w:p w:rsidR="00B070BF" w:rsidRPr="009577DE" w:rsidRDefault="00B070BF" w:rsidP="00C33D4A">
            <w:pPr>
              <w:widowControl w:val="0"/>
              <w:spacing w:after="120"/>
              <w:jc w:val="center"/>
              <w:rPr>
                <w:bCs/>
                <w:sz w:val="16"/>
                <w:szCs w:val="16"/>
                <w:lang w:val="es-ES_tradnl"/>
              </w:rPr>
            </w:pPr>
          </w:p>
        </w:tc>
      </w:tr>
      <w:tr w:rsidR="00B070BF" w:rsidRPr="009577DE" w:rsidTr="00C33D4A">
        <w:trPr>
          <w:cantSplit/>
        </w:trPr>
        <w:tc>
          <w:tcPr>
            <w:tcW w:w="852" w:type="pct"/>
            <w:tcBorders>
              <w:top w:val="single" w:sz="4" w:space="0" w:color="auto"/>
              <w:left w:val="single" w:sz="4" w:space="0" w:color="auto"/>
              <w:bottom w:val="single" w:sz="4" w:space="0" w:color="auto"/>
            </w:tcBorders>
            <w:shd w:val="clear" w:color="auto" w:fill="auto"/>
          </w:tcPr>
          <w:p w:rsidR="00B070BF" w:rsidRPr="009577DE" w:rsidRDefault="00B070BF" w:rsidP="00C33D4A">
            <w:pPr>
              <w:widowControl w:val="0"/>
              <w:ind w:firstLineChars="3" w:firstLine="5"/>
              <w:rPr>
                <w:sz w:val="16"/>
                <w:szCs w:val="16"/>
                <w:lang w:val="es-ES_tradnl"/>
              </w:rPr>
            </w:pPr>
            <w:r w:rsidRPr="009577DE">
              <w:rPr>
                <w:sz w:val="16"/>
                <w:szCs w:val="16"/>
                <w:lang w:val="es-ES_tradnl"/>
              </w:rPr>
              <w:t>Número de becas para países en desarrollo, PMA y países con economías en transición.</w:t>
            </w:r>
          </w:p>
        </w:tc>
        <w:tc>
          <w:tcPr>
            <w:tcW w:w="783" w:type="pct"/>
            <w:tcBorders>
              <w:top w:val="single" w:sz="4" w:space="0" w:color="auto"/>
              <w:bottom w:val="single" w:sz="4" w:space="0" w:color="auto"/>
            </w:tcBorders>
            <w:shd w:val="clear" w:color="auto" w:fill="C0C0C0"/>
          </w:tcPr>
          <w:p w:rsidR="00B070BF" w:rsidRPr="009577DE" w:rsidRDefault="00B070BF" w:rsidP="00C33D4A">
            <w:pPr>
              <w:widowControl w:val="0"/>
              <w:jc w:val="center"/>
              <w:rPr>
                <w:sz w:val="16"/>
                <w:szCs w:val="16"/>
                <w:lang w:val="es-ES_tradnl"/>
              </w:rPr>
            </w:pPr>
            <w:r w:rsidRPr="009577DE">
              <w:rPr>
                <w:sz w:val="16"/>
                <w:szCs w:val="16"/>
                <w:lang w:val="es-ES_tradnl"/>
              </w:rPr>
              <w:t xml:space="preserve">1.000 </w:t>
            </w:r>
          </w:p>
          <w:p w:rsidR="00B070BF" w:rsidRPr="009577DE" w:rsidRDefault="00B070BF" w:rsidP="00C33D4A">
            <w:pPr>
              <w:widowControl w:val="0"/>
              <w:jc w:val="center"/>
              <w:rPr>
                <w:sz w:val="16"/>
                <w:szCs w:val="16"/>
                <w:lang w:val="es-ES_tradnl"/>
              </w:rPr>
            </w:pPr>
            <w:r w:rsidRPr="009577DE">
              <w:rPr>
                <w:sz w:val="16"/>
                <w:szCs w:val="16"/>
                <w:lang w:val="es-ES_tradnl"/>
              </w:rPr>
              <w:t>(2010/11)</w:t>
            </w:r>
          </w:p>
        </w:tc>
        <w:tc>
          <w:tcPr>
            <w:tcW w:w="893" w:type="pct"/>
            <w:tcBorders>
              <w:top w:val="single" w:sz="4" w:space="0" w:color="auto"/>
              <w:bottom w:val="single" w:sz="4" w:space="0" w:color="auto"/>
            </w:tcBorders>
            <w:shd w:val="clear" w:color="auto" w:fill="auto"/>
            <w:tcMar>
              <w:top w:w="110" w:type="dxa"/>
            </w:tcMar>
          </w:tcPr>
          <w:p w:rsidR="00B070BF" w:rsidRPr="00F2661C" w:rsidRDefault="00B070BF" w:rsidP="00C33D4A">
            <w:pPr>
              <w:widowControl w:val="0"/>
              <w:jc w:val="center"/>
              <w:rPr>
                <w:color w:val="993300"/>
                <w:sz w:val="16"/>
                <w:szCs w:val="16"/>
                <w:lang w:val="es-ES_tradnl"/>
              </w:rPr>
            </w:pPr>
            <w:r w:rsidRPr="00F2661C">
              <w:rPr>
                <w:color w:val="993300"/>
                <w:sz w:val="16"/>
                <w:szCs w:val="16"/>
                <w:lang w:val="es-ES_tradnl"/>
              </w:rPr>
              <w:t>920</w:t>
            </w:r>
          </w:p>
        </w:tc>
        <w:tc>
          <w:tcPr>
            <w:tcW w:w="1825" w:type="pct"/>
            <w:tcBorders>
              <w:top w:val="single" w:sz="4" w:space="0" w:color="auto"/>
              <w:bottom w:val="single" w:sz="4" w:space="0" w:color="auto"/>
            </w:tcBorders>
            <w:shd w:val="clear" w:color="auto" w:fill="FFFFFF"/>
            <w:tcMar>
              <w:top w:w="110" w:type="dxa"/>
            </w:tcMar>
          </w:tcPr>
          <w:p w:rsidR="00B070BF" w:rsidRPr="009577DE" w:rsidRDefault="00B070BF" w:rsidP="00C33D4A">
            <w:pPr>
              <w:widowControl w:val="0"/>
              <w:rPr>
                <w:sz w:val="16"/>
                <w:szCs w:val="16"/>
                <w:lang w:val="es-ES_tradnl" w:bidi="th-TH"/>
              </w:rPr>
            </w:pPr>
            <w:r w:rsidRPr="009577DE">
              <w:rPr>
                <w:sz w:val="16"/>
                <w:szCs w:val="16"/>
                <w:lang w:val="es-ES_tradnl" w:bidi="th-TH"/>
              </w:rPr>
              <w:t xml:space="preserve">Se concedieron 845 becas en el año 2012. </w:t>
            </w:r>
          </w:p>
          <w:p w:rsidR="00B070BF" w:rsidRPr="009577DE" w:rsidRDefault="00B070BF" w:rsidP="00C33D4A">
            <w:pPr>
              <w:widowControl w:val="0"/>
              <w:rPr>
                <w:sz w:val="16"/>
                <w:szCs w:val="16"/>
                <w:lang w:val="es-ES_tradnl" w:bidi="th-TH"/>
              </w:rPr>
            </w:pPr>
          </w:p>
          <w:p w:rsidR="00B070BF" w:rsidRPr="009577DE" w:rsidRDefault="00B070BF" w:rsidP="00C33D4A">
            <w:pPr>
              <w:widowControl w:val="0"/>
              <w:rPr>
                <w:sz w:val="16"/>
                <w:szCs w:val="16"/>
                <w:lang w:val="es-ES_tradnl" w:bidi="th-TH"/>
              </w:rPr>
            </w:pPr>
          </w:p>
          <w:p w:rsidR="00B070BF" w:rsidRPr="009577DE" w:rsidRDefault="00B070BF" w:rsidP="00C33D4A">
            <w:pPr>
              <w:widowControl w:val="0"/>
              <w:rPr>
                <w:sz w:val="16"/>
                <w:szCs w:val="16"/>
                <w:lang w:val="es-ES_tradnl"/>
              </w:rPr>
            </w:pPr>
          </w:p>
        </w:tc>
        <w:tc>
          <w:tcPr>
            <w:tcW w:w="647" w:type="pct"/>
            <w:tcBorders>
              <w:top w:val="single" w:sz="4" w:space="0" w:color="auto"/>
              <w:bottom w:val="single" w:sz="4" w:space="0" w:color="auto"/>
              <w:right w:val="single" w:sz="4" w:space="0" w:color="auto"/>
            </w:tcBorders>
            <w:shd w:val="clear" w:color="auto" w:fill="auto"/>
          </w:tcPr>
          <w:p w:rsidR="00B070BF" w:rsidRPr="009577DE" w:rsidRDefault="00B070BF" w:rsidP="00C33D4A">
            <w:pPr>
              <w:widowControl w:val="0"/>
              <w:jc w:val="center"/>
              <w:rPr>
                <w:bCs/>
                <w:sz w:val="16"/>
                <w:szCs w:val="16"/>
                <w:lang w:val="es-ES_tradnl"/>
              </w:rPr>
            </w:pPr>
            <w:r w:rsidRPr="009577DE">
              <w:rPr>
                <w:b/>
                <w:color w:val="008000"/>
                <w:sz w:val="16"/>
                <w:szCs w:val="16"/>
                <w:lang w:val="es-ES_tradnl"/>
              </w:rPr>
              <w:t>Progresa con normalidad</w:t>
            </w:r>
          </w:p>
          <w:p w:rsidR="00B070BF" w:rsidRPr="009577DE" w:rsidRDefault="00B070BF" w:rsidP="00C33D4A">
            <w:pPr>
              <w:widowControl w:val="0"/>
              <w:jc w:val="center"/>
              <w:rPr>
                <w:bCs/>
                <w:sz w:val="16"/>
                <w:szCs w:val="16"/>
                <w:lang w:val="es-ES_tradnl"/>
              </w:rPr>
            </w:pPr>
          </w:p>
          <w:p w:rsidR="00B070BF" w:rsidRPr="009577DE" w:rsidRDefault="00B070BF" w:rsidP="00C33D4A">
            <w:pPr>
              <w:widowControl w:val="0"/>
              <w:rPr>
                <w:bCs/>
                <w:sz w:val="16"/>
                <w:szCs w:val="16"/>
                <w:lang w:val="es-ES_tradnl"/>
              </w:rPr>
            </w:pPr>
          </w:p>
        </w:tc>
      </w:tr>
      <w:tr w:rsidR="00B070BF" w:rsidRPr="009577DE" w:rsidTr="00C33D4A">
        <w:trPr>
          <w:cantSplit/>
        </w:trPr>
        <w:tc>
          <w:tcPr>
            <w:tcW w:w="5000" w:type="pct"/>
            <w:gridSpan w:val="5"/>
            <w:tcBorders>
              <w:top w:val="single" w:sz="4" w:space="0" w:color="auto"/>
              <w:left w:val="single" w:sz="4" w:space="0" w:color="auto"/>
              <w:bottom w:val="single" w:sz="4" w:space="0" w:color="auto"/>
              <w:right w:val="single" w:sz="4" w:space="0" w:color="auto"/>
            </w:tcBorders>
            <w:shd w:val="clear" w:color="auto" w:fill="CCFFFF"/>
            <w:vAlign w:val="center"/>
          </w:tcPr>
          <w:p w:rsidR="00B070BF" w:rsidRPr="009577DE" w:rsidRDefault="00B070BF" w:rsidP="00C33D4A">
            <w:pPr>
              <w:widowControl w:val="0"/>
              <w:tabs>
                <w:tab w:val="left" w:pos="1452"/>
              </w:tabs>
              <w:spacing w:before="120" w:after="120"/>
              <w:ind w:left="1452" w:hanging="1452"/>
              <w:rPr>
                <w:b/>
                <w:bCs/>
                <w:sz w:val="16"/>
                <w:szCs w:val="16"/>
                <w:lang w:val="es-ES_tradnl"/>
              </w:rPr>
            </w:pPr>
            <w:r w:rsidRPr="009577DE">
              <w:rPr>
                <w:b/>
                <w:bCs/>
                <w:sz w:val="16"/>
                <w:szCs w:val="16"/>
                <w:lang w:val="es-ES_tradnl"/>
              </w:rPr>
              <w:t>Resultado previsto:</w:t>
            </w:r>
            <w:r w:rsidRPr="009577DE">
              <w:rPr>
                <w:b/>
                <w:bCs/>
                <w:sz w:val="16"/>
                <w:szCs w:val="16"/>
                <w:lang w:val="es-ES_tradnl"/>
              </w:rPr>
              <w:tab/>
            </w:r>
            <w:r w:rsidRPr="009577DE">
              <w:rPr>
                <w:bCs/>
                <w:sz w:val="16"/>
                <w:szCs w:val="16"/>
                <w:lang w:val="es-ES_tradnl"/>
              </w:rPr>
              <w:t xml:space="preserve"> Fomento de las capacidades de gestión de P.I. para las empresas.</w:t>
            </w:r>
            <w:r w:rsidRPr="009577DE">
              <w:rPr>
                <w:sz w:val="16"/>
                <w:szCs w:val="16"/>
                <w:lang w:val="es-ES_tradnl"/>
              </w:rPr>
              <w:t> </w:t>
            </w:r>
          </w:p>
        </w:tc>
      </w:tr>
      <w:tr w:rsidR="00B070BF" w:rsidRPr="009577DE" w:rsidTr="00C33D4A">
        <w:trPr>
          <w:cantSplit/>
        </w:trPr>
        <w:tc>
          <w:tcPr>
            <w:tcW w:w="852" w:type="pct"/>
            <w:tcBorders>
              <w:top w:val="single" w:sz="4" w:space="0" w:color="auto"/>
              <w:left w:val="single" w:sz="4" w:space="0" w:color="auto"/>
              <w:bottom w:val="single" w:sz="4" w:space="0" w:color="auto"/>
            </w:tcBorders>
            <w:shd w:val="clear" w:color="auto" w:fill="auto"/>
            <w:vAlign w:val="center"/>
          </w:tcPr>
          <w:p w:rsidR="00B070BF" w:rsidRPr="009577DE" w:rsidRDefault="00B070BF" w:rsidP="00C33D4A">
            <w:pPr>
              <w:widowControl w:val="0"/>
              <w:spacing w:after="120"/>
              <w:rPr>
                <w:sz w:val="16"/>
                <w:szCs w:val="16"/>
                <w:lang w:val="es-ES_tradnl"/>
              </w:rPr>
            </w:pPr>
            <w:r w:rsidRPr="009577DE">
              <w:rPr>
                <w:b/>
                <w:bCs/>
                <w:sz w:val="16"/>
                <w:szCs w:val="16"/>
                <w:lang w:val="es-ES_tradnl"/>
              </w:rPr>
              <w:t>Indicadores de rendimiento</w:t>
            </w:r>
          </w:p>
        </w:tc>
        <w:tc>
          <w:tcPr>
            <w:tcW w:w="783" w:type="pct"/>
            <w:tcBorders>
              <w:top w:val="single" w:sz="4" w:space="0" w:color="auto"/>
              <w:bottom w:val="single" w:sz="4" w:space="0" w:color="auto"/>
            </w:tcBorders>
            <w:shd w:val="clear" w:color="auto" w:fill="C0C0C0"/>
          </w:tcPr>
          <w:p w:rsidR="00B070BF" w:rsidRPr="009577DE" w:rsidRDefault="00B070BF" w:rsidP="00C33D4A">
            <w:pPr>
              <w:widowControl w:val="0"/>
              <w:spacing w:after="120"/>
              <w:rPr>
                <w:b/>
                <w:bCs/>
                <w:sz w:val="16"/>
                <w:szCs w:val="16"/>
                <w:lang w:val="es-ES_tradnl"/>
              </w:rPr>
            </w:pPr>
            <w:r w:rsidRPr="009577DE">
              <w:rPr>
                <w:b/>
                <w:bCs/>
                <w:sz w:val="16"/>
                <w:szCs w:val="16"/>
                <w:lang w:val="es-ES_tradnl"/>
              </w:rPr>
              <w:t>Referencia (</w:t>
            </w:r>
            <w:proofErr w:type="spellStart"/>
            <w:r w:rsidRPr="009577DE">
              <w:rPr>
                <w:b/>
                <w:bCs/>
                <w:sz w:val="16"/>
                <w:szCs w:val="16"/>
                <w:lang w:val="es-ES_tradnl"/>
              </w:rPr>
              <w:t>Presup</w:t>
            </w:r>
            <w:proofErr w:type="spellEnd"/>
            <w:r w:rsidRPr="009577DE">
              <w:rPr>
                <w:b/>
                <w:bCs/>
                <w:sz w:val="16"/>
                <w:szCs w:val="16"/>
                <w:lang w:val="es-ES_tradnl"/>
              </w:rPr>
              <w:t xml:space="preserve">. por </w:t>
            </w:r>
            <w:proofErr w:type="spellStart"/>
            <w:r w:rsidRPr="009577DE">
              <w:rPr>
                <w:b/>
                <w:bCs/>
                <w:sz w:val="16"/>
                <w:szCs w:val="16"/>
                <w:lang w:val="es-ES_tradnl"/>
              </w:rPr>
              <w:t>prog</w:t>
            </w:r>
            <w:proofErr w:type="spellEnd"/>
            <w:r w:rsidRPr="009577DE">
              <w:rPr>
                <w:b/>
                <w:bCs/>
                <w:sz w:val="16"/>
                <w:szCs w:val="16"/>
                <w:lang w:val="es-ES_tradnl"/>
              </w:rPr>
              <w:t>. 2012/13)</w:t>
            </w:r>
          </w:p>
        </w:tc>
        <w:tc>
          <w:tcPr>
            <w:tcW w:w="893" w:type="pct"/>
            <w:tcBorders>
              <w:top w:val="single" w:sz="4" w:space="0" w:color="auto"/>
              <w:bottom w:val="single" w:sz="4" w:space="0" w:color="auto"/>
            </w:tcBorders>
            <w:shd w:val="clear" w:color="auto" w:fill="auto"/>
            <w:tcMar>
              <w:top w:w="110" w:type="dxa"/>
            </w:tcMar>
            <w:vAlign w:val="center"/>
          </w:tcPr>
          <w:p w:rsidR="00B070BF" w:rsidRPr="009577DE" w:rsidRDefault="00B070BF" w:rsidP="00C33D4A">
            <w:pPr>
              <w:widowControl w:val="0"/>
              <w:spacing w:after="120"/>
              <w:rPr>
                <w:b/>
                <w:sz w:val="16"/>
                <w:szCs w:val="16"/>
                <w:lang w:val="es-ES_tradnl"/>
              </w:rPr>
            </w:pPr>
            <w:r w:rsidRPr="009577DE">
              <w:rPr>
                <w:b/>
                <w:sz w:val="16"/>
                <w:szCs w:val="16"/>
                <w:lang w:val="es-ES_tradnl"/>
              </w:rPr>
              <w:t xml:space="preserve">Referencia actualizada en 2012 </w:t>
            </w:r>
          </w:p>
        </w:tc>
        <w:tc>
          <w:tcPr>
            <w:tcW w:w="1825" w:type="pct"/>
            <w:tcBorders>
              <w:top w:val="single" w:sz="4" w:space="0" w:color="auto"/>
              <w:bottom w:val="single" w:sz="4" w:space="0" w:color="auto"/>
            </w:tcBorders>
            <w:shd w:val="clear" w:color="auto" w:fill="FFFFFF"/>
            <w:tcMar>
              <w:top w:w="110" w:type="dxa"/>
            </w:tcMar>
            <w:vAlign w:val="center"/>
          </w:tcPr>
          <w:p w:rsidR="00B070BF" w:rsidRPr="009577DE" w:rsidRDefault="00B070BF" w:rsidP="00C33D4A">
            <w:pPr>
              <w:widowControl w:val="0"/>
              <w:spacing w:after="120"/>
              <w:rPr>
                <w:sz w:val="16"/>
                <w:szCs w:val="16"/>
                <w:lang w:val="es-ES_tradnl"/>
              </w:rPr>
            </w:pPr>
            <w:r w:rsidRPr="009577DE">
              <w:rPr>
                <w:b/>
                <w:bCs/>
                <w:sz w:val="16"/>
                <w:szCs w:val="16"/>
                <w:lang w:val="es-ES_tradnl"/>
              </w:rPr>
              <w:t>Datos sobre el rendimiento</w:t>
            </w:r>
          </w:p>
        </w:tc>
        <w:tc>
          <w:tcPr>
            <w:tcW w:w="647" w:type="pct"/>
            <w:tcBorders>
              <w:top w:val="single" w:sz="4" w:space="0" w:color="auto"/>
              <w:bottom w:val="single" w:sz="4" w:space="0" w:color="auto"/>
              <w:right w:val="single" w:sz="4" w:space="0" w:color="auto"/>
            </w:tcBorders>
            <w:shd w:val="clear" w:color="auto" w:fill="auto"/>
            <w:tcMar>
              <w:top w:w="110" w:type="dxa"/>
            </w:tcMar>
            <w:vAlign w:val="center"/>
          </w:tcPr>
          <w:p w:rsidR="00B070BF" w:rsidRPr="009577DE" w:rsidRDefault="00B070BF" w:rsidP="00C33D4A">
            <w:pPr>
              <w:widowControl w:val="0"/>
              <w:spacing w:after="120"/>
              <w:jc w:val="center"/>
              <w:rPr>
                <w:b/>
                <w:bCs/>
                <w:sz w:val="16"/>
                <w:szCs w:val="16"/>
                <w:lang w:val="es-ES_tradnl"/>
              </w:rPr>
            </w:pPr>
            <w:r w:rsidRPr="009577DE">
              <w:rPr>
                <w:b/>
                <w:bCs/>
                <w:sz w:val="16"/>
                <w:szCs w:val="16"/>
                <w:lang w:val="es-ES_tradnl"/>
              </w:rPr>
              <w:t>Clave de colores</w:t>
            </w:r>
          </w:p>
        </w:tc>
      </w:tr>
      <w:tr w:rsidR="00B070BF" w:rsidRPr="009577DE" w:rsidTr="00C33D4A">
        <w:trPr>
          <w:cantSplit/>
        </w:trPr>
        <w:tc>
          <w:tcPr>
            <w:tcW w:w="852" w:type="pct"/>
            <w:tcBorders>
              <w:top w:val="single" w:sz="4" w:space="0" w:color="auto"/>
              <w:left w:val="single" w:sz="4" w:space="0" w:color="auto"/>
              <w:bottom w:val="nil"/>
            </w:tcBorders>
            <w:shd w:val="clear" w:color="auto" w:fill="FFFFFF"/>
          </w:tcPr>
          <w:p w:rsidR="00B070BF" w:rsidRPr="009577DE" w:rsidRDefault="00B070BF" w:rsidP="00C33D4A">
            <w:pPr>
              <w:widowControl w:val="0"/>
              <w:ind w:firstLineChars="3" w:firstLine="5"/>
              <w:rPr>
                <w:sz w:val="16"/>
                <w:szCs w:val="16"/>
                <w:lang w:val="es-ES_tradnl"/>
              </w:rPr>
            </w:pPr>
            <w:r w:rsidRPr="009577DE">
              <w:rPr>
                <w:sz w:val="16"/>
                <w:szCs w:val="16"/>
                <w:lang w:val="es-ES_tradnl"/>
              </w:rPr>
              <w:t>Porcentaje de participantes satisfechos con la formación recibida.</w:t>
            </w:r>
          </w:p>
          <w:p w:rsidR="00B070BF" w:rsidRPr="009577DE" w:rsidRDefault="00B070BF" w:rsidP="00C33D4A">
            <w:pPr>
              <w:widowControl w:val="0"/>
              <w:ind w:firstLineChars="3" w:firstLine="5"/>
              <w:rPr>
                <w:sz w:val="16"/>
                <w:szCs w:val="16"/>
                <w:lang w:val="es-ES_tradnl"/>
              </w:rPr>
            </w:pPr>
          </w:p>
        </w:tc>
        <w:tc>
          <w:tcPr>
            <w:tcW w:w="783" w:type="pct"/>
            <w:tcBorders>
              <w:top w:val="single" w:sz="4" w:space="0" w:color="auto"/>
              <w:bottom w:val="nil"/>
            </w:tcBorders>
            <w:shd w:val="clear" w:color="auto" w:fill="C0C0C0"/>
          </w:tcPr>
          <w:p w:rsidR="00B070BF" w:rsidRPr="009577DE" w:rsidRDefault="00B070BF" w:rsidP="00C33D4A">
            <w:pPr>
              <w:widowControl w:val="0"/>
              <w:jc w:val="center"/>
              <w:rPr>
                <w:sz w:val="16"/>
                <w:szCs w:val="16"/>
                <w:lang w:val="es-ES_tradnl"/>
              </w:rPr>
            </w:pPr>
            <w:r w:rsidRPr="009577DE">
              <w:rPr>
                <w:sz w:val="16"/>
                <w:szCs w:val="16"/>
                <w:lang w:val="es-ES_tradnl"/>
              </w:rPr>
              <w:t>80%</w:t>
            </w:r>
          </w:p>
        </w:tc>
        <w:tc>
          <w:tcPr>
            <w:tcW w:w="893" w:type="pct"/>
            <w:tcBorders>
              <w:top w:val="single" w:sz="4" w:space="0" w:color="auto"/>
              <w:bottom w:val="nil"/>
            </w:tcBorders>
            <w:shd w:val="clear" w:color="auto" w:fill="auto"/>
            <w:tcMar>
              <w:top w:w="110" w:type="dxa"/>
            </w:tcMar>
          </w:tcPr>
          <w:p w:rsidR="00B070BF" w:rsidRPr="00F2661C" w:rsidRDefault="00B070BF" w:rsidP="00C33D4A">
            <w:pPr>
              <w:widowControl w:val="0"/>
              <w:jc w:val="center"/>
              <w:rPr>
                <w:color w:val="993300"/>
                <w:sz w:val="16"/>
                <w:szCs w:val="16"/>
                <w:lang w:val="es-ES_tradnl"/>
              </w:rPr>
            </w:pPr>
            <w:r w:rsidRPr="00F2661C">
              <w:rPr>
                <w:color w:val="993300"/>
                <w:sz w:val="16"/>
                <w:szCs w:val="16"/>
                <w:lang w:val="es-ES_tradnl"/>
              </w:rPr>
              <w:t>80%</w:t>
            </w:r>
          </w:p>
        </w:tc>
        <w:tc>
          <w:tcPr>
            <w:tcW w:w="1825" w:type="pct"/>
            <w:tcBorders>
              <w:top w:val="single" w:sz="4" w:space="0" w:color="auto"/>
              <w:bottom w:val="nil"/>
            </w:tcBorders>
            <w:shd w:val="clear" w:color="auto" w:fill="FFFFFF"/>
            <w:tcMar>
              <w:top w:w="110" w:type="dxa"/>
            </w:tcMar>
          </w:tcPr>
          <w:p w:rsidR="00B070BF" w:rsidRPr="009577DE" w:rsidRDefault="00B070BF" w:rsidP="00C33D4A">
            <w:pPr>
              <w:widowControl w:val="0"/>
              <w:rPr>
                <w:sz w:val="16"/>
                <w:szCs w:val="16"/>
                <w:lang w:val="es-ES_tradnl" w:bidi="th-TH"/>
              </w:rPr>
            </w:pPr>
            <w:r w:rsidRPr="009577DE">
              <w:rPr>
                <w:sz w:val="16"/>
                <w:szCs w:val="16"/>
                <w:lang w:val="es-ES_tradnl" w:bidi="th-TH"/>
              </w:rPr>
              <w:t>El 100% de los participantes afirmó estar muy satisfecho o extremadamente satisfecho (datos basados en 41 respuestas de un total de 42 participantes).</w:t>
            </w:r>
          </w:p>
        </w:tc>
        <w:tc>
          <w:tcPr>
            <w:tcW w:w="647" w:type="pct"/>
            <w:tcBorders>
              <w:top w:val="single" w:sz="4" w:space="0" w:color="auto"/>
              <w:bottom w:val="nil"/>
              <w:right w:val="single" w:sz="4" w:space="0" w:color="auto"/>
            </w:tcBorders>
            <w:shd w:val="clear" w:color="auto" w:fill="auto"/>
            <w:tcMar>
              <w:top w:w="110" w:type="dxa"/>
            </w:tcMar>
          </w:tcPr>
          <w:p w:rsidR="00B070BF" w:rsidRPr="009577DE" w:rsidRDefault="00B070BF" w:rsidP="00C33D4A">
            <w:pPr>
              <w:widowControl w:val="0"/>
              <w:jc w:val="center"/>
              <w:rPr>
                <w:bCs/>
                <w:sz w:val="16"/>
                <w:szCs w:val="16"/>
                <w:lang w:val="es-ES_tradnl"/>
              </w:rPr>
            </w:pPr>
            <w:r w:rsidRPr="009577DE">
              <w:rPr>
                <w:b/>
                <w:color w:val="008000"/>
                <w:sz w:val="16"/>
                <w:szCs w:val="16"/>
                <w:lang w:val="es-ES_tradnl"/>
              </w:rPr>
              <w:t>Progresa con normalidad</w:t>
            </w:r>
          </w:p>
          <w:p w:rsidR="00B070BF" w:rsidRPr="009577DE" w:rsidRDefault="00B070BF" w:rsidP="00C33D4A">
            <w:pPr>
              <w:widowControl w:val="0"/>
              <w:jc w:val="center"/>
              <w:rPr>
                <w:bCs/>
                <w:sz w:val="16"/>
                <w:szCs w:val="16"/>
                <w:lang w:val="es-ES_tradnl"/>
              </w:rPr>
            </w:pPr>
          </w:p>
          <w:p w:rsidR="00B070BF" w:rsidRPr="009577DE" w:rsidRDefault="00B070BF" w:rsidP="00C33D4A">
            <w:pPr>
              <w:widowControl w:val="0"/>
              <w:jc w:val="center"/>
              <w:rPr>
                <w:bCs/>
                <w:sz w:val="16"/>
                <w:szCs w:val="16"/>
                <w:lang w:val="es-ES_tradnl"/>
              </w:rPr>
            </w:pPr>
          </w:p>
        </w:tc>
      </w:tr>
      <w:tr w:rsidR="00B070BF" w:rsidRPr="009577DE" w:rsidTr="00C33D4A">
        <w:trPr>
          <w:cantSplit/>
        </w:trPr>
        <w:tc>
          <w:tcPr>
            <w:tcW w:w="852" w:type="pct"/>
            <w:tcBorders>
              <w:top w:val="nil"/>
              <w:left w:val="single" w:sz="4" w:space="0" w:color="auto"/>
              <w:bottom w:val="nil"/>
            </w:tcBorders>
            <w:shd w:val="clear" w:color="auto" w:fill="FFFFFF"/>
          </w:tcPr>
          <w:p w:rsidR="00B070BF" w:rsidRPr="009577DE" w:rsidRDefault="00B070BF" w:rsidP="00C33D4A">
            <w:pPr>
              <w:widowControl w:val="0"/>
              <w:ind w:firstLineChars="3" w:firstLine="5"/>
              <w:rPr>
                <w:sz w:val="16"/>
                <w:szCs w:val="16"/>
                <w:lang w:val="es-ES_tradnl"/>
              </w:rPr>
            </w:pPr>
            <w:r w:rsidRPr="009577DE">
              <w:rPr>
                <w:sz w:val="16"/>
                <w:szCs w:val="16"/>
                <w:lang w:val="es-ES_tradnl"/>
              </w:rPr>
              <w:t>Porcentaje de estudiantes que utilizan en la práctica las capacidades adquiridas en la formación.</w:t>
            </w:r>
          </w:p>
        </w:tc>
        <w:tc>
          <w:tcPr>
            <w:tcW w:w="783" w:type="pct"/>
            <w:tcBorders>
              <w:top w:val="nil"/>
              <w:bottom w:val="nil"/>
            </w:tcBorders>
            <w:shd w:val="clear" w:color="auto" w:fill="C0C0C0"/>
          </w:tcPr>
          <w:p w:rsidR="00B070BF" w:rsidRPr="009577DE" w:rsidRDefault="00B070BF" w:rsidP="00C33D4A">
            <w:pPr>
              <w:widowControl w:val="0"/>
              <w:jc w:val="center"/>
              <w:rPr>
                <w:sz w:val="16"/>
                <w:szCs w:val="16"/>
                <w:lang w:val="es-ES_tradnl"/>
              </w:rPr>
            </w:pPr>
            <w:r w:rsidRPr="009577DE">
              <w:rPr>
                <w:sz w:val="16"/>
                <w:szCs w:val="16"/>
                <w:lang w:val="es-ES_tradnl"/>
              </w:rPr>
              <w:t>60%</w:t>
            </w:r>
          </w:p>
        </w:tc>
        <w:tc>
          <w:tcPr>
            <w:tcW w:w="893" w:type="pct"/>
            <w:tcBorders>
              <w:top w:val="nil"/>
              <w:bottom w:val="nil"/>
            </w:tcBorders>
            <w:shd w:val="clear" w:color="auto" w:fill="auto"/>
            <w:tcMar>
              <w:top w:w="110" w:type="dxa"/>
            </w:tcMar>
          </w:tcPr>
          <w:p w:rsidR="00B070BF" w:rsidRPr="00F2661C" w:rsidRDefault="00B070BF" w:rsidP="00C33D4A">
            <w:pPr>
              <w:widowControl w:val="0"/>
              <w:jc w:val="center"/>
              <w:rPr>
                <w:color w:val="993300"/>
                <w:sz w:val="16"/>
                <w:szCs w:val="16"/>
                <w:lang w:val="es-ES_tradnl"/>
              </w:rPr>
            </w:pPr>
            <w:r w:rsidRPr="00F2661C">
              <w:rPr>
                <w:color w:val="993300"/>
                <w:sz w:val="16"/>
                <w:szCs w:val="16"/>
                <w:lang w:val="es-ES_tradnl"/>
              </w:rPr>
              <w:t>70%</w:t>
            </w:r>
          </w:p>
        </w:tc>
        <w:tc>
          <w:tcPr>
            <w:tcW w:w="1825" w:type="pct"/>
            <w:tcBorders>
              <w:top w:val="nil"/>
              <w:bottom w:val="nil"/>
            </w:tcBorders>
            <w:shd w:val="clear" w:color="auto" w:fill="FFFFFF"/>
            <w:tcMar>
              <w:top w:w="110" w:type="dxa"/>
            </w:tcMar>
          </w:tcPr>
          <w:p w:rsidR="00B070BF" w:rsidRPr="009577DE" w:rsidRDefault="00B070BF" w:rsidP="00C33D4A">
            <w:pPr>
              <w:widowControl w:val="0"/>
              <w:rPr>
                <w:sz w:val="16"/>
                <w:szCs w:val="16"/>
                <w:lang w:val="es-ES_tradnl"/>
              </w:rPr>
            </w:pPr>
            <w:r w:rsidRPr="009577DE">
              <w:rPr>
                <w:sz w:val="16"/>
                <w:szCs w:val="16"/>
                <w:lang w:val="es-ES_tradnl" w:bidi="th-TH"/>
              </w:rPr>
              <w:t xml:space="preserve">100 % (datos basados en 14 respuestas de un total de 42 participantes). </w:t>
            </w:r>
          </w:p>
        </w:tc>
        <w:tc>
          <w:tcPr>
            <w:tcW w:w="647" w:type="pct"/>
            <w:tcBorders>
              <w:top w:val="nil"/>
              <w:bottom w:val="nil"/>
              <w:right w:val="single" w:sz="4" w:space="0" w:color="auto"/>
            </w:tcBorders>
            <w:shd w:val="clear" w:color="auto" w:fill="auto"/>
            <w:tcMar>
              <w:top w:w="110" w:type="dxa"/>
            </w:tcMar>
          </w:tcPr>
          <w:p w:rsidR="00B070BF" w:rsidRPr="009577DE" w:rsidRDefault="00B070BF" w:rsidP="00C33D4A">
            <w:pPr>
              <w:widowControl w:val="0"/>
              <w:jc w:val="center"/>
              <w:rPr>
                <w:bCs/>
                <w:sz w:val="16"/>
                <w:szCs w:val="16"/>
                <w:lang w:val="es-ES_tradnl"/>
              </w:rPr>
            </w:pPr>
            <w:r w:rsidRPr="009577DE">
              <w:rPr>
                <w:b/>
                <w:color w:val="008000"/>
                <w:sz w:val="16"/>
                <w:szCs w:val="16"/>
                <w:lang w:val="es-ES_tradnl"/>
              </w:rPr>
              <w:t>Progresa con normalidad</w:t>
            </w:r>
          </w:p>
          <w:p w:rsidR="00B070BF" w:rsidRPr="009577DE" w:rsidRDefault="00B070BF" w:rsidP="00C33D4A">
            <w:pPr>
              <w:widowControl w:val="0"/>
              <w:jc w:val="center"/>
              <w:rPr>
                <w:bCs/>
                <w:sz w:val="16"/>
                <w:szCs w:val="16"/>
                <w:lang w:val="es-ES_tradnl"/>
              </w:rPr>
            </w:pPr>
          </w:p>
        </w:tc>
      </w:tr>
      <w:tr w:rsidR="00B070BF" w:rsidRPr="009577DE" w:rsidTr="00C33D4A">
        <w:trPr>
          <w:cantSplit/>
        </w:trPr>
        <w:tc>
          <w:tcPr>
            <w:tcW w:w="852" w:type="pct"/>
            <w:tcBorders>
              <w:top w:val="nil"/>
              <w:left w:val="single" w:sz="4" w:space="0" w:color="auto"/>
              <w:bottom w:val="single" w:sz="4" w:space="0" w:color="auto"/>
            </w:tcBorders>
            <w:shd w:val="clear" w:color="auto" w:fill="FFFFFF"/>
          </w:tcPr>
          <w:p w:rsidR="00B070BF" w:rsidRPr="009577DE" w:rsidRDefault="00B070BF" w:rsidP="00C33D4A">
            <w:pPr>
              <w:widowControl w:val="0"/>
              <w:ind w:firstLineChars="3" w:firstLine="5"/>
              <w:rPr>
                <w:sz w:val="16"/>
                <w:szCs w:val="16"/>
                <w:lang w:val="es-ES_tradnl"/>
              </w:rPr>
            </w:pPr>
            <w:r w:rsidRPr="009577DE">
              <w:rPr>
                <w:sz w:val="16"/>
                <w:szCs w:val="16"/>
                <w:lang w:val="es-ES_tradnl"/>
              </w:rPr>
              <w:t>Número de peticiones de cursos.</w:t>
            </w:r>
          </w:p>
        </w:tc>
        <w:tc>
          <w:tcPr>
            <w:tcW w:w="783" w:type="pct"/>
            <w:tcBorders>
              <w:top w:val="nil"/>
              <w:bottom w:val="single" w:sz="4" w:space="0" w:color="auto"/>
            </w:tcBorders>
            <w:shd w:val="clear" w:color="auto" w:fill="C0C0C0"/>
          </w:tcPr>
          <w:p w:rsidR="00B070BF" w:rsidRPr="009577DE" w:rsidRDefault="00B070BF" w:rsidP="00C33D4A">
            <w:pPr>
              <w:widowControl w:val="0"/>
              <w:jc w:val="center"/>
              <w:rPr>
                <w:sz w:val="16"/>
                <w:szCs w:val="16"/>
                <w:lang w:val="es-ES_tradnl"/>
              </w:rPr>
            </w:pPr>
            <w:r w:rsidRPr="009577DE">
              <w:rPr>
                <w:sz w:val="16"/>
                <w:szCs w:val="16"/>
                <w:lang w:val="es-ES_tradnl"/>
              </w:rPr>
              <w:t>Dos cursos por año.</w:t>
            </w:r>
          </w:p>
          <w:p w:rsidR="00B070BF" w:rsidRPr="009577DE" w:rsidRDefault="00B070BF" w:rsidP="00C33D4A">
            <w:pPr>
              <w:widowControl w:val="0"/>
              <w:jc w:val="both"/>
              <w:rPr>
                <w:sz w:val="16"/>
                <w:szCs w:val="16"/>
                <w:lang w:val="es-ES_tradnl"/>
              </w:rPr>
            </w:pPr>
          </w:p>
        </w:tc>
        <w:tc>
          <w:tcPr>
            <w:tcW w:w="893" w:type="pct"/>
            <w:tcBorders>
              <w:top w:val="nil"/>
              <w:bottom w:val="single" w:sz="4" w:space="0" w:color="auto"/>
            </w:tcBorders>
            <w:shd w:val="clear" w:color="auto" w:fill="auto"/>
            <w:tcMar>
              <w:top w:w="110" w:type="dxa"/>
            </w:tcMar>
          </w:tcPr>
          <w:p w:rsidR="00B070BF" w:rsidRPr="00F2661C" w:rsidRDefault="00B070BF" w:rsidP="00C33D4A">
            <w:pPr>
              <w:widowControl w:val="0"/>
              <w:jc w:val="center"/>
              <w:rPr>
                <w:color w:val="993300"/>
                <w:sz w:val="16"/>
                <w:szCs w:val="16"/>
                <w:lang w:val="es-ES_tradnl"/>
              </w:rPr>
            </w:pPr>
            <w:r w:rsidRPr="00F2661C">
              <w:rPr>
                <w:color w:val="993300"/>
                <w:sz w:val="16"/>
                <w:szCs w:val="16"/>
                <w:lang w:val="es-ES_tradnl"/>
              </w:rPr>
              <w:t>Dos cursos por año.</w:t>
            </w:r>
          </w:p>
        </w:tc>
        <w:tc>
          <w:tcPr>
            <w:tcW w:w="1825" w:type="pct"/>
            <w:tcBorders>
              <w:top w:val="nil"/>
              <w:bottom w:val="single" w:sz="4" w:space="0" w:color="auto"/>
            </w:tcBorders>
            <w:shd w:val="clear" w:color="auto" w:fill="FFFFFF"/>
            <w:tcMar>
              <w:top w:w="110" w:type="dxa"/>
            </w:tcMar>
          </w:tcPr>
          <w:p w:rsidR="00B070BF" w:rsidRPr="009577DE" w:rsidRDefault="00B070BF" w:rsidP="00C33D4A">
            <w:pPr>
              <w:widowControl w:val="0"/>
              <w:rPr>
                <w:sz w:val="16"/>
                <w:szCs w:val="16"/>
                <w:lang w:val="es-ES_tradnl"/>
              </w:rPr>
            </w:pPr>
            <w:r w:rsidRPr="009577DE">
              <w:rPr>
                <w:sz w:val="16"/>
                <w:szCs w:val="16"/>
                <w:lang w:val="es-ES_tradnl" w:bidi="th-TH"/>
              </w:rPr>
              <w:t>Dos</w:t>
            </w:r>
          </w:p>
        </w:tc>
        <w:tc>
          <w:tcPr>
            <w:tcW w:w="647" w:type="pct"/>
            <w:tcBorders>
              <w:top w:val="nil"/>
              <w:bottom w:val="single" w:sz="4" w:space="0" w:color="auto"/>
              <w:right w:val="single" w:sz="4" w:space="0" w:color="auto"/>
            </w:tcBorders>
            <w:shd w:val="clear" w:color="auto" w:fill="auto"/>
            <w:tcMar>
              <w:top w:w="110" w:type="dxa"/>
            </w:tcMar>
          </w:tcPr>
          <w:p w:rsidR="00B070BF" w:rsidRPr="009577DE" w:rsidRDefault="00B070BF" w:rsidP="00C33D4A">
            <w:pPr>
              <w:widowControl w:val="0"/>
              <w:jc w:val="center"/>
              <w:rPr>
                <w:bCs/>
                <w:sz w:val="16"/>
                <w:szCs w:val="16"/>
                <w:lang w:val="es-ES_tradnl"/>
              </w:rPr>
            </w:pPr>
            <w:r w:rsidRPr="009577DE">
              <w:rPr>
                <w:b/>
                <w:color w:val="008000"/>
                <w:sz w:val="16"/>
                <w:szCs w:val="16"/>
                <w:lang w:val="es-ES_tradnl"/>
              </w:rPr>
              <w:t>Progresa con normalidad</w:t>
            </w:r>
          </w:p>
          <w:p w:rsidR="00B070BF" w:rsidRPr="009577DE" w:rsidRDefault="00B070BF" w:rsidP="00C33D4A">
            <w:pPr>
              <w:widowControl w:val="0"/>
              <w:jc w:val="center"/>
              <w:rPr>
                <w:bCs/>
                <w:sz w:val="16"/>
                <w:szCs w:val="16"/>
                <w:lang w:val="es-ES_tradnl"/>
              </w:rPr>
            </w:pPr>
          </w:p>
          <w:p w:rsidR="00B070BF" w:rsidRPr="009577DE" w:rsidRDefault="00B070BF" w:rsidP="00C33D4A">
            <w:pPr>
              <w:widowControl w:val="0"/>
              <w:jc w:val="center"/>
              <w:rPr>
                <w:bCs/>
                <w:sz w:val="16"/>
                <w:szCs w:val="16"/>
                <w:lang w:val="es-ES_tradnl"/>
              </w:rPr>
            </w:pPr>
            <w:r w:rsidRPr="009577DE">
              <w:rPr>
                <w:bCs/>
                <w:sz w:val="16"/>
                <w:szCs w:val="16"/>
                <w:lang w:val="es-ES_tradnl"/>
              </w:rPr>
              <w:t>[</w:t>
            </w:r>
          </w:p>
        </w:tc>
      </w:tr>
    </w:tbl>
    <w:p w:rsidR="00B070BF" w:rsidRPr="009577DE" w:rsidRDefault="00B070BF" w:rsidP="00B070BF">
      <w:pPr>
        <w:widowControl w:val="0"/>
        <w:rPr>
          <w:sz w:val="20"/>
          <w:lang w:val="es-ES_tradnl"/>
        </w:rPr>
      </w:pPr>
    </w:p>
    <w:p w:rsidR="00B070BF" w:rsidRPr="009577DE" w:rsidRDefault="00B070BF" w:rsidP="00B070BF">
      <w:pPr>
        <w:widowControl w:val="0"/>
        <w:rPr>
          <w:sz w:val="20"/>
          <w:lang w:val="es-ES_tradnl"/>
        </w:rPr>
      </w:pPr>
    </w:p>
    <w:p w:rsidR="00B070BF" w:rsidRPr="009577DE" w:rsidRDefault="00B070BF" w:rsidP="00B070BF">
      <w:pPr>
        <w:widowControl w:val="0"/>
        <w:rPr>
          <w:sz w:val="20"/>
          <w:lang w:val="es-ES_tradnl"/>
        </w:rPr>
      </w:pPr>
      <w:r w:rsidRPr="009577DE">
        <w:rPr>
          <w:sz w:val="20"/>
          <w:lang w:val="es-ES_tradnl"/>
        </w:rPr>
        <w:t>PRESUPUESTO Y GASTOS REALES</w:t>
      </w:r>
    </w:p>
    <w:p w:rsidR="00B070BF" w:rsidRDefault="00B070BF" w:rsidP="00B070BF">
      <w:pPr>
        <w:widowControl w:val="0"/>
        <w:rPr>
          <w:sz w:val="20"/>
          <w:lang w:val="es-ES_tradnl"/>
        </w:rPr>
      </w:pPr>
    </w:p>
    <w:p w:rsidR="00B070BF" w:rsidRPr="006964C6" w:rsidRDefault="00B070BF" w:rsidP="00B070BF">
      <w:pPr>
        <w:widowControl w:val="0"/>
        <w:jc w:val="center"/>
        <w:rPr>
          <w:sz w:val="20"/>
          <w:lang w:val="es-ES_tradnl"/>
        </w:rPr>
      </w:pPr>
      <w:r w:rsidRPr="006964C6">
        <w:rPr>
          <w:sz w:val="20"/>
          <w:lang w:val="es-ES_tradnl"/>
        </w:rPr>
        <w:t>Presupuesto y gastos reales (por resultado)</w:t>
      </w:r>
    </w:p>
    <w:p w:rsidR="00B070BF" w:rsidRPr="009577DE" w:rsidRDefault="00B070BF" w:rsidP="00B070BF">
      <w:pPr>
        <w:widowControl w:val="0"/>
        <w:jc w:val="center"/>
        <w:rPr>
          <w:sz w:val="20"/>
          <w:lang w:val="es-ES_tradnl"/>
        </w:rPr>
      </w:pPr>
      <w:r w:rsidRPr="006964C6">
        <w:rPr>
          <w:i/>
          <w:iCs/>
          <w:sz w:val="20"/>
          <w:lang w:val="es-ES_tradnl"/>
        </w:rPr>
        <w:t>(en miles de francos suizos)</w:t>
      </w:r>
      <w:r w:rsidRPr="006964C6">
        <w:rPr>
          <w:i/>
          <w:iCs/>
          <w:sz w:val="20"/>
          <w:lang w:val="es-ES_tradnl"/>
        </w:rPr>
        <w:br/>
      </w:r>
      <w:r w:rsidRPr="006964C6">
        <w:rPr>
          <w:i/>
          <w:iCs/>
          <w:sz w:val="20"/>
          <w:lang w:val="es-ES_tradnl"/>
        </w:rPr>
        <w:br/>
      </w:r>
      <w:r w:rsidRPr="009577DE">
        <w:rPr>
          <w:noProof/>
          <w:lang w:val="en-US" w:eastAsia="en-US"/>
        </w:rPr>
        <w:drawing>
          <wp:inline distT="0" distB="0" distL="0" distR="0" wp14:anchorId="497A32D4" wp14:editId="6FFCB90B">
            <wp:extent cx="5902325" cy="1520190"/>
            <wp:effectExtent l="0" t="0" r="3175" b="3810"/>
            <wp:docPr id="214" name="Pictur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902325" cy="1520190"/>
                    </a:xfrm>
                    <a:prstGeom prst="rect">
                      <a:avLst/>
                    </a:prstGeom>
                    <a:noFill/>
                    <a:ln>
                      <a:noFill/>
                    </a:ln>
                  </pic:spPr>
                </pic:pic>
              </a:graphicData>
            </a:graphic>
          </wp:inline>
        </w:drawing>
      </w:r>
    </w:p>
    <w:p w:rsidR="00B070BF" w:rsidRPr="009577DE" w:rsidRDefault="00B070BF" w:rsidP="00B070BF">
      <w:pPr>
        <w:widowControl w:val="0"/>
        <w:jc w:val="center"/>
        <w:rPr>
          <w:szCs w:val="22"/>
          <w:lang w:val="es-ES_tradnl"/>
        </w:rPr>
      </w:pPr>
    </w:p>
    <w:p w:rsidR="00B070BF" w:rsidRDefault="00B070BF" w:rsidP="00B070BF">
      <w:pPr>
        <w:rPr>
          <w:sz w:val="20"/>
          <w:lang w:val="es-ES_tradnl"/>
        </w:rPr>
      </w:pPr>
      <w:r>
        <w:rPr>
          <w:sz w:val="20"/>
          <w:lang w:val="es-ES_tradnl"/>
        </w:rPr>
        <w:br w:type="page"/>
      </w:r>
    </w:p>
    <w:p w:rsidR="00B070BF" w:rsidRPr="006964C6" w:rsidRDefault="00B070BF" w:rsidP="00B070BF">
      <w:pPr>
        <w:widowControl w:val="0"/>
        <w:jc w:val="center"/>
        <w:rPr>
          <w:sz w:val="20"/>
          <w:lang w:val="es-ES_tradnl"/>
        </w:rPr>
      </w:pPr>
    </w:p>
    <w:p w:rsidR="00B070BF" w:rsidRPr="009577DE" w:rsidRDefault="00B070BF" w:rsidP="00B070BF">
      <w:pPr>
        <w:keepNext/>
        <w:widowControl w:val="0"/>
        <w:jc w:val="center"/>
        <w:rPr>
          <w:sz w:val="20"/>
          <w:lang w:val="es-ES_tradnl"/>
        </w:rPr>
      </w:pPr>
      <w:r w:rsidRPr="006964C6">
        <w:rPr>
          <w:sz w:val="20"/>
          <w:lang w:val="es-ES_tradnl"/>
        </w:rPr>
        <w:t>Presupuesto y gastos reales (de personal y no relativos al personal)</w:t>
      </w:r>
      <w:r w:rsidRPr="006964C6">
        <w:rPr>
          <w:sz w:val="20"/>
          <w:lang w:val="es-ES_tradnl"/>
        </w:rPr>
        <w:br/>
      </w:r>
      <w:r w:rsidRPr="006964C6">
        <w:rPr>
          <w:i/>
          <w:sz w:val="20"/>
          <w:lang w:val="es-ES_tradnl"/>
        </w:rPr>
        <w:t>(en miles de francos suizos)</w:t>
      </w:r>
      <w:r w:rsidRPr="006964C6">
        <w:rPr>
          <w:sz w:val="20"/>
          <w:lang w:val="es-ES_tradnl"/>
        </w:rPr>
        <w:br/>
      </w:r>
      <w:r w:rsidRPr="006964C6">
        <w:rPr>
          <w:sz w:val="20"/>
          <w:lang w:val="es-ES_tradnl"/>
        </w:rPr>
        <w:br/>
      </w:r>
      <w:r w:rsidRPr="009577DE">
        <w:rPr>
          <w:noProof/>
          <w:lang w:val="en-US" w:eastAsia="en-US"/>
        </w:rPr>
        <w:drawing>
          <wp:inline distT="0" distB="0" distL="0" distR="0" wp14:anchorId="4D53C685" wp14:editId="21F3A8F8">
            <wp:extent cx="5902325" cy="1270635"/>
            <wp:effectExtent l="0" t="0" r="3175" b="5715"/>
            <wp:docPr id="213"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902325" cy="1270635"/>
                    </a:xfrm>
                    <a:prstGeom prst="rect">
                      <a:avLst/>
                    </a:prstGeom>
                    <a:noFill/>
                    <a:ln>
                      <a:noFill/>
                    </a:ln>
                  </pic:spPr>
                </pic:pic>
              </a:graphicData>
            </a:graphic>
          </wp:inline>
        </w:drawing>
      </w:r>
    </w:p>
    <w:p w:rsidR="00B070BF" w:rsidRPr="009577DE" w:rsidRDefault="00B070BF" w:rsidP="00B070BF">
      <w:pPr>
        <w:widowControl w:val="0"/>
        <w:autoSpaceDE w:val="0"/>
        <w:autoSpaceDN w:val="0"/>
        <w:adjustRightInd w:val="0"/>
        <w:rPr>
          <w:i/>
          <w:sz w:val="16"/>
          <w:szCs w:val="16"/>
          <w:u w:val="single"/>
          <w:lang w:val="es-ES_tradnl"/>
        </w:rPr>
      </w:pPr>
    </w:p>
    <w:p w:rsidR="00B070BF" w:rsidRPr="00BF0B56" w:rsidRDefault="00B070BF" w:rsidP="00B070BF">
      <w:pPr>
        <w:widowControl w:val="0"/>
        <w:autoSpaceDE w:val="0"/>
        <w:autoSpaceDN w:val="0"/>
        <w:adjustRightInd w:val="0"/>
        <w:rPr>
          <w:sz w:val="16"/>
          <w:szCs w:val="16"/>
          <w:lang w:val="es-ES_tradnl"/>
        </w:rPr>
      </w:pPr>
      <w:r w:rsidRPr="00BF0B56">
        <w:rPr>
          <w:sz w:val="16"/>
          <w:szCs w:val="16"/>
          <w:lang w:val="es-ES_tradnl"/>
        </w:rPr>
        <w:t>NOTAS:</w:t>
      </w:r>
    </w:p>
    <w:p w:rsidR="00B070BF" w:rsidRPr="009577DE" w:rsidRDefault="00B070BF" w:rsidP="00B070BF">
      <w:pPr>
        <w:widowControl w:val="0"/>
        <w:autoSpaceDE w:val="0"/>
        <w:autoSpaceDN w:val="0"/>
        <w:adjustRightInd w:val="0"/>
        <w:rPr>
          <w:sz w:val="16"/>
          <w:szCs w:val="16"/>
          <w:lang w:val="es-ES_tradnl"/>
        </w:rPr>
      </w:pPr>
    </w:p>
    <w:p w:rsidR="00B070BF" w:rsidRPr="009577DE" w:rsidRDefault="00B070BF" w:rsidP="00B070BF">
      <w:pPr>
        <w:widowControl w:val="0"/>
        <w:autoSpaceDE w:val="0"/>
        <w:autoSpaceDN w:val="0"/>
        <w:adjustRightInd w:val="0"/>
        <w:rPr>
          <w:sz w:val="16"/>
          <w:szCs w:val="16"/>
          <w:lang w:val="es-ES_tradnl"/>
        </w:rPr>
      </w:pPr>
      <w:r w:rsidRPr="009577DE">
        <w:rPr>
          <w:sz w:val="16"/>
          <w:szCs w:val="16"/>
          <w:lang w:val="es-ES_tradnl"/>
        </w:rPr>
        <w:t>1) El presupuesto después de las transferencias refleja el presupuesto de los programas ajustado después de las transferencias efectuadas en 2012/13 en virtud del artículo 5.5 del Reglamento Financiero.</w:t>
      </w:r>
    </w:p>
    <w:p w:rsidR="00B070BF" w:rsidRPr="009577DE" w:rsidRDefault="00B070BF" w:rsidP="00B070BF">
      <w:pPr>
        <w:widowControl w:val="0"/>
        <w:autoSpaceDE w:val="0"/>
        <w:autoSpaceDN w:val="0"/>
        <w:adjustRightInd w:val="0"/>
        <w:rPr>
          <w:sz w:val="16"/>
          <w:szCs w:val="16"/>
          <w:lang w:val="es-ES_tradnl"/>
        </w:rPr>
      </w:pPr>
    </w:p>
    <w:p w:rsidR="00B070BF" w:rsidRPr="009577DE" w:rsidRDefault="00B070BF" w:rsidP="00B070BF">
      <w:pPr>
        <w:widowControl w:val="0"/>
        <w:autoSpaceDE w:val="0"/>
        <w:autoSpaceDN w:val="0"/>
        <w:adjustRightInd w:val="0"/>
        <w:rPr>
          <w:sz w:val="16"/>
          <w:szCs w:val="16"/>
          <w:lang w:val="es-ES_tradnl"/>
        </w:rPr>
      </w:pPr>
      <w:r w:rsidRPr="009577DE">
        <w:rPr>
          <w:sz w:val="16"/>
          <w:szCs w:val="16"/>
          <w:lang w:val="es-ES_tradnl"/>
        </w:rPr>
        <w:t xml:space="preserve">2) La asignación para el personal del presupuesto de 2012/13 después de las transferencias representa los gastos reales efectuados hasta el 31 de marzo de 2013 y los importes presupuestados para los nueve meses restantes de 2013, sobre la base de costos estándar. </w:t>
      </w:r>
    </w:p>
    <w:p w:rsidR="00B070BF" w:rsidRPr="009577DE" w:rsidRDefault="00B070BF" w:rsidP="00B070BF">
      <w:pPr>
        <w:widowControl w:val="0"/>
        <w:autoSpaceDE w:val="0"/>
        <w:autoSpaceDN w:val="0"/>
        <w:adjustRightInd w:val="0"/>
        <w:rPr>
          <w:sz w:val="16"/>
          <w:szCs w:val="16"/>
          <w:lang w:val="es-ES_tradnl"/>
        </w:rPr>
      </w:pPr>
    </w:p>
    <w:p w:rsidR="00B070BF" w:rsidRPr="009577DE" w:rsidRDefault="00B070BF" w:rsidP="00B070BF">
      <w:pPr>
        <w:widowControl w:val="0"/>
        <w:autoSpaceDE w:val="0"/>
        <w:autoSpaceDN w:val="0"/>
        <w:adjustRightInd w:val="0"/>
        <w:rPr>
          <w:sz w:val="16"/>
          <w:szCs w:val="16"/>
          <w:lang w:val="es-ES_tradnl"/>
        </w:rPr>
      </w:pPr>
      <w:r w:rsidRPr="009577DE">
        <w:rPr>
          <w:sz w:val="16"/>
          <w:szCs w:val="16"/>
          <w:lang w:val="es-ES_tradnl"/>
        </w:rPr>
        <w:t>3) La asignación no relativa al personal del presupuesto de 2012/13 después de las transferencias refleja los ajustes a la baja efectuados para aumentar la eficacia en función de los costos, de conformidad con el compromiso de la Organización de reducir gastos por un importe de 10,2 millones de francos suizos en el bienio 2012/13.</w:t>
      </w:r>
    </w:p>
    <w:p w:rsidR="00B070BF" w:rsidRPr="009577DE" w:rsidRDefault="00B070BF" w:rsidP="00B070BF">
      <w:pPr>
        <w:widowControl w:val="0"/>
        <w:rPr>
          <w:sz w:val="20"/>
          <w:lang w:val="es-ES_tradnl"/>
        </w:rPr>
      </w:pPr>
    </w:p>
    <w:p w:rsidR="00B070BF" w:rsidRPr="009577DE" w:rsidRDefault="00B070BF" w:rsidP="00B070BF">
      <w:pPr>
        <w:widowControl w:val="0"/>
        <w:rPr>
          <w:sz w:val="20"/>
          <w:lang w:val="es-ES_tradnl"/>
        </w:rPr>
      </w:pPr>
    </w:p>
    <w:p w:rsidR="00B070BF" w:rsidRPr="009577DE" w:rsidRDefault="00B070BF" w:rsidP="00B070BF">
      <w:pPr>
        <w:widowControl w:val="0"/>
        <w:rPr>
          <w:sz w:val="20"/>
          <w:u w:val="single"/>
          <w:lang w:val="es-ES_tradnl"/>
        </w:rPr>
      </w:pPr>
      <w:r>
        <w:rPr>
          <w:sz w:val="20"/>
          <w:lang w:val="es-ES_tradnl"/>
        </w:rPr>
        <w:t xml:space="preserve">A.  </w:t>
      </w:r>
      <w:r w:rsidRPr="009577DE">
        <w:rPr>
          <w:sz w:val="20"/>
          <w:u w:val="single"/>
          <w:lang w:val="es-ES_tradnl"/>
        </w:rPr>
        <w:t xml:space="preserve">Presupuesto </w:t>
      </w:r>
      <w:r>
        <w:rPr>
          <w:sz w:val="20"/>
          <w:u w:val="single"/>
          <w:lang w:val="es-ES_tradnl"/>
        </w:rPr>
        <w:t>2012/13</w:t>
      </w:r>
      <w:r w:rsidRPr="009577DE">
        <w:rPr>
          <w:sz w:val="20"/>
          <w:u w:val="single"/>
          <w:lang w:val="es-ES_tradnl"/>
        </w:rPr>
        <w:t xml:space="preserve"> después de las transferencias</w:t>
      </w:r>
    </w:p>
    <w:p w:rsidR="00B070BF" w:rsidRPr="009577DE" w:rsidRDefault="00B070BF" w:rsidP="00B070BF">
      <w:pPr>
        <w:widowControl w:val="0"/>
        <w:autoSpaceDE w:val="0"/>
        <w:autoSpaceDN w:val="0"/>
        <w:adjustRightInd w:val="0"/>
        <w:rPr>
          <w:sz w:val="20"/>
          <w:lang w:val="es-ES_tradnl"/>
        </w:rPr>
      </w:pPr>
    </w:p>
    <w:p w:rsidR="00B070BF" w:rsidRPr="009577DE" w:rsidRDefault="00B070BF" w:rsidP="00B070BF">
      <w:pPr>
        <w:widowControl w:val="0"/>
        <w:numPr>
          <w:ilvl w:val="0"/>
          <w:numId w:val="26"/>
        </w:numPr>
        <w:jc w:val="both"/>
        <w:rPr>
          <w:rFonts w:eastAsia="Batang"/>
          <w:sz w:val="20"/>
          <w:lang w:val="es-ES_tradnl" w:eastAsia="ko-KR"/>
        </w:rPr>
      </w:pPr>
      <w:r w:rsidRPr="009577DE">
        <w:rPr>
          <w:rFonts w:eastAsia="Batang"/>
          <w:sz w:val="20"/>
          <w:lang w:val="es-ES_tradnl" w:eastAsia="ko-KR"/>
        </w:rPr>
        <w:t>El aumento de los recursos relativos al programa 11 se debe fundamentalmente a la asignación de recursos de personal adicionales al resultado III.2 (Mejora de las capacidades en el ámbito de los recursos humanos) para la formación en el marco de los programas conjuntos de maestría y de perfeccionamiento profesional.  Estos se han complementado también con recursos asignados previamente a los resultados III.4 (Mayor facilidad de acceso a la formación en P.I.) y III.5 (Fomento de las capacidades de gestión de P.I. para las empresas).</w:t>
      </w:r>
    </w:p>
    <w:p w:rsidR="00B070BF" w:rsidRDefault="00B070BF" w:rsidP="00B070BF">
      <w:pPr>
        <w:widowControl w:val="0"/>
        <w:jc w:val="both"/>
        <w:rPr>
          <w:rFonts w:eastAsia="Batang"/>
          <w:sz w:val="20"/>
          <w:lang w:val="es-ES_tradnl" w:eastAsia="ko-KR"/>
        </w:rPr>
      </w:pPr>
    </w:p>
    <w:p w:rsidR="00B070BF" w:rsidRPr="009577DE" w:rsidRDefault="00B070BF" w:rsidP="00B070BF">
      <w:pPr>
        <w:widowControl w:val="0"/>
        <w:jc w:val="both"/>
        <w:rPr>
          <w:rFonts w:eastAsia="Batang"/>
          <w:sz w:val="20"/>
          <w:lang w:val="es-ES_tradnl" w:eastAsia="ko-KR"/>
        </w:rPr>
      </w:pPr>
    </w:p>
    <w:p w:rsidR="00B070BF" w:rsidRPr="009577DE" w:rsidRDefault="00B070BF" w:rsidP="00B070BF">
      <w:pPr>
        <w:widowControl w:val="0"/>
        <w:jc w:val="both"/>
        <w:rPr>
          <w:rFonts w:eastAsia="Batang"/>
          <w:sz w:val="20"/>
          <w:lang w:val="es-ES_tradnl" w:eastAsia="ko-KR"/>
        </w:rPr>
      </w:pPr>
      <w:r w:rsidRPr="009577DE">
        <w:rPr>
          <w:rFonts w:eastAsia="Batang"/>
          <w:sz w:val="20"/>
          <w:lang w:val="es-ES_tradnl" w:eastAsia="ko-KR"/>
        </w:rPr>
        <w:t>B.</w:t>
      </w:r>
      <w:r>
        <w:rPr>
          <w:rFonts w:eastAsia="Batang"/>
          <w:sz w:val="20"/>
          <w:lang w:val="es-ES_tradnl" w:eastAsia="ko-KR"/>
        </w:rPr>
        <w:t xml:space="preserve"> </w:t>
      </w:r>
      <w:r w:rsidRPr="009577DE">
        <w:rPr>
          <w:rFonts w:eastAsia="Batang"/>
          <w:sz w:val="20"/>
          <w:lang w:val="es-ES_tradnl" w:eastAsia="ko-KR"/>
        </w:rPr>
        <w:t xml:space="preserve"> </w:t>
      </w:r>
      <w:r w:rsidRPr="009577DE">
        <w:rPr>
          <w:rFonts w:eastAsia="Batang"/>
          <w:sz w:val="20"/>
          <w:u w:val="single"/>
          <w:lang w:val="es-ES_tradnl" w:eastAsia="ko-KR"/>
        </w:rPr>
        <w:t>Utilización del presupuesto 2012</w:t>
      </w:r>
    </w:p>
    <w:p w:rsidR="00B070BF" w:rsidRPr="009577DE" w:rsidRDefault="00B070BF" w:rsidP="00B070BF">
      <w:pPr>
        <w:widowControl w:val="0"/>
        <w:jc w:val="both"/>
        <w:rPr>
          <w:rFonts w:eastAsia="Batang"/>
          <w:sz w:val="20"/>
          <w:lang w:val="es-ES_tradnl" w:eastAsia="ko-KR"/>
        </w:rPr>
      </w:pPr>
    </w:p>
    <w:p w:rsidR="00B070BF" w:rsidRDefault="00B070BF" w:rsidP="00B070BF">
      <w:pPr>
        <w:widowControl w:val="0"/>
        <w:numPr>
          <w:ilvl w:val="0"/>
          <w:numId w:val="26"/>
        </w:numPr>
        <w:jc w:val="both"/>
        <w:rPr>
          <w:rFonts w:eastAsia="Batang"/>
          <w:sz w:val="20"/>
          <w:lang w:val="es-ES_tradnl" w:eastAsia="ko-KR"/>
        </w:rPr>
      </w:pPr>
      <w:r w:rsidRPr="009577DE">
        <w:rPr>
          <w:rFonts w:eastAsia="Batang"/>
          <w:sz w:val="20"/>
          <w:lang w:val="es-ES_tradnl" w:eastAsia="ko-KR"/>
        </w:rPr>
        <w:t>La utilización del presupuesto se mantiene entre el 40% y el 60% en el primer año del bienio y progresa con normalidad.</w:t>
      </w:r>
    </w:p>
    <w:p w:rsidR="00B070BF" w:rsidRDefault="00B070BF" w:rsidP="00B070BF">
      <w:pPr>
        <w:widowControl w:val="0"/>
        <w:jc w:val="both"/>
        <w:rPr>
          <w:rFonts w:eastAsia="Batang"/>
          <w:sz w:val="20"/>
          <w:lang w:val="es-ES_tradnl" w:eastAsia="ko-KR"/>
        </w:rPr>
      </w:pPr>
    </w:p>
    <w:p w:rsidR="00B070BF" w:rsidRPr="009577DE" w:rsidRDefault="00B070BF" w:rsidP="00B070BF">
      <w:pPr>
        <w:widowControl w:val="0"/>
        <w:jc w:val="both"/>
        <w:rPr>
          <w:rFonts w:eastAsia="Batang"/>
          <w:sz w:val="20"/>
          <w:lang w:val="es-ES_tradnl" w:eastAsia="ko-KR"/>
        </w:rPr>
      </w:pPr>
    </w:p>
    <w:p w:rsidR="00B070BF" w:rsidRPr="009577DE" w:rsidRDefault="00B070BF" w:rsidP="00B070BF">
      <w:pPr>
        <w:pStyle w:val="Heading2"/>
        <w:tabs>
          <w:tab w:val="left" w:pos="2835"/>
        </w:tabs>
        <w:ind w:left="2835" w:hanging="2835"/>
        <w:rPr>
          <w:b/>
          <w:lang w:val="es-ES_tradnl"/>
        </w:rPr>
      </w:pPr>
      <w:r w:rsidRPr="009577DE">
        <w:rPr>
          <w:lang w:val="es-ES_tradnl"/>
        </w:rPr>
        <w:br w:type="page"/>
      </w:r>
      <w:bookmarkStart w:id="35" w:name="_Toc359949321"/>
      <w:r w:rsidRPr="009577DE">
        <w:rPr>
          <w:b/>
          <w:lang w:val="es-ES_tradnl"/>
        </w:rPr>
        <w:lastRenderedPageBreak/>
        <w:t>PROGRAMA 30</w:t>
      </w:r>
      <w:r w:rsidRPr="009577DE">
        <w:rPr>
          <w:b/>
          <w:lang w:val="es-ES_tradnl"/>
        </w:rPr>
        <w:tab/>
        <w:t>LAS PEQUEÑAS Y MEDIANAS EMPRESAS (PYMES) Y LA INNOVACIÓN</w:t>
      </w:r>
      <w:bookmarkEnd w:id="34"/>
      <w:bookmarkEnd w:id="35"/>
    </w:p>
    <w:p w:rsidR="00B070BF" w:rsidRPr="009577DE" w:rsidRDefault="00B070BF" w:rsidP="00B070BF">
      <w:pPr>
        <w:widowControl w:val="0"/>
        <w:jc w:val="both"/>
        <w:rPr>
          <w:sz w:val="18"/>
          <w:szCs w:val="18"/>
          <w:lang w:val="es-ES_tradnl"/>
        </w:rPr>
      </w:pPr>
    </w:p>
    <w:p w:rsidR="00B070BF" w:rsidRPr="009577DE" w:rsidRDefault="00B070BF" w:rsidP="00B070BF">
      <w:pPr>
        <w:widowControl w:val="0"/>
        <w:jc w:val="both"/>
        <w:rPr>
          <w:sz w:val="18"/>
          <w:szCs w:val="18"/>
          <w:lang w:val="es-ES_tradnl"/>
        </w:rPr>
      </w:pPr>
    </w:p>
    <w:p w:rsidR="00B070BF" w:rsidRPr="009577DE" w:rsidRDefault="00B070BF" w:rsidP="00B070BF">
      <w:pPr>
        <w:widowControl w:val="0"/>
        <w:tabs>
          <w:tab w:val="left" w:pos="2268"/>
        </w:tabs>
        <w:rPr>
          <w:b/>
          <w:szCs w:val="22"/>
          <w:lang w:val="es-ES_tradnl"/>
        </w:rPr>
      </w:pPr>
      <w:r w:rsidRPr="009577DE">
        <w:rPr>
          <w:b/>
          <w:szCs w:val="22"/>
          <w:lang w:val="es-ES_tradnl"/>
        </w:rPr>
        <w:t>Director del Programa</w:t>
      </w:r>
      <w:r w:rsidRPr="009577DE">
        <w:rPr>
          <w:b/>
          <w:szCs w:val="22"/>
          <w:lang w:val="es-ES_tradnl"/>
        </w:rPr>
        <w:tab/>
        <w:t>Sr. J. Pooley</w:t>
      </w:r>
    </w:p>
    <w:p w:rsidR="00B070BF" w:rsidRPr="009577DE" w:rsidRDefault="00B070BF" w:rsidP="00B070BF">
      <w:pPr>
        <w:widowControl w:val="0"/>
        <w:jc w:val="both"/>
        <w:rPr>
          <w:szCs w:val="22"/>
          <w:lang w:val="es-ES_tradnl"/>
        </w:rPr>
      </w:pPr>
    </w:p>
    <w:p w:rsidR="00B070BF" w:rsidRPr="009577DE" w:rsidRDefault="00B070BF" w:rsidP="00B070BF">
      <w:pPr>
        <w:widowControl w:val="0"/>
        <w:jc w:val="both"/>
        <w:rPr>
          <w:szCs w:val="22"/>
          <w:lang w:val="es-ES_tradnl"/>
        </w:rPr>
      </w:pPr>
    </w:p>
    <w:p w:rsidR="00B070BF" w:rsidRPr="009577DE" w:rsidRDefault="00B070BF" w:rsidP="00B070BF">
      <w:pPr>
        <w:widowControl w:val="0"/>
        <w:spacing w:line="260" w:lineRule="atLeast"/>
        <w:rPr>
          <w:bCs/>
          <w:sz w:val="20"/>
          <w:lang w:val="es-ES_tradnl"/>
        </w:rPr>
      </w:pPr>
      <w:r w:rsidRPr="009577DE">
        <w:rPr>
          <w:bCs/>
          <w:sz w:val="20"/>
          <w:lang w:val="es-ES_tradnl"/>
        </w:rPr>
        <w:t>RESEÑA DE LOS AVANCES LOGRADOS EN 2012</w:t>
      </w:r>
    </w:p>
    <w:p w:rsidR="00B070BF" w:rsidRPr="009577DE" w:rsidRDefault="00B070BF" w:rsidP="00B070BF">
      <w:pPr>
        <w:widowControl w:val="0"/>
        <w:jc w:val="both"/>
        <w:rPr>
          <w:sz w:val="21"/>
          <w:szCs w:val="21"/>
          <w:lang w:val="es-ES_tradnl"/>
        </w:rPr>
      </w:pPr>
    </w:p>
    <w:p w:rsidR="00B070BF" w:rsidRPr="009577DE" w:rsidRDefault="00B070BF" w:rsidP="00B070BF">
      <w:pPr>
        <w:widowControl w:val="0"/>
        <w:numPr>
          <w:ilvl w:val="0"/>
          <w:numId w:val="32"/>
        </w:numPr>
        <w:autoSpaceDE w:val="0"/>
        <w:autoSpaceDN w:val="0"/>
        <w:adjustRightInd w:val="0"/>
        <w:ind w:left="0" w:firstLine="0"/>
        <w:jc w:val="both"/>
        <w:rPr>
          <w:sz w:val="20"/>
          <w:lang w:val="es-ES_tradnl"/>
        </w:rPr>
      </w:pPr>
      <w:r w:rsidRPr="009577DE">
        <w:rPr>
          <w:sz w:val="20"/>
          <w:lang w:val="es-ES_tradnl"/>
        </w:rPr>
        <w:t>Durante 2012 el programa se concentró principalmente en tres áreas de trabajo: estructuras de innovación, pequeñas y medianas empresas (</w:t>
      </w:r>
      <w:r w:rsidRPr="009577DE">
        <w:rPr>
          <w:sz w:val="20"/>
        </w:rPr>
        <w:t>Pymes</w:t>
      </w:r>
      <w:r w:rsidRPr="009577DE">
        <w:rPr>
          <w:sz w:val="20"/>
          <w:lang w:val="es-ES_tradnl"/>
        </w:rPr>
        <w:t xml:space="preserve">) y políticas de innovación.  </w:t>
      </w:r>
    </w:p>
    <w:p w:rsidR="00B070BF" w:rsidRPr="009577DE" w:rsidRDefault="00B070BF" w:rsidP="00B070BF">
      <w:pPr>
        <w:widowControl w:val="0"/>
        <w:autoSpaceDE w:val="0"/>
        <w:autoSpaceDN w:val="0"/>
        <w:adjustRightInd w:val="0"/>
        <w:jc w:val="both"/>
        <w:rPr>
          <w:sz w:val="20"/>
          <w:lang w:val="es-ES_tradnl"/>
        </w:rPr>
      </w:pPr>
    </w:p>
    <w:p w:rsidR="00B070BF" w:rsidRPr="009577DE" w:rsidRDefault="00B070BF" w:rsidP="00B070BF">
      <w:pPr>
        <w:widowControl w:val="0"/>
        <w:numPr>
          <w:ilvl w:val="0"/>
          <w:numId w:val="32"/>
        </w:numPr>
        <w:autoSpaceDE w:val="0"/>
        <w:autoSpaceDN w:val="0"/>
        <w:adjustRightInd w:val="0"/>
        <w:ind w:left="0" w:firstLine="0"/>
        <w:jc w:val="both"/>
        <w:rPr>
          <w:sz w:val="20"/>
          <w:lang w:val="es-ES_tradnl"/>
        </w:rPr>
      </w:pPr>
      <w:r w:rsidRPr="009577DE">
        <w:rPr>
          <w:sz w:val="20"/>
          <w:u w:val="single"/>
          <w:lang w:val="es-ES_tradnl"/>
        </w:rPr>
        <w:t>Estructuras de innovación</w:t>
      </w:r>
      <w:r w:rsidRPr="009577DE">
        <w:rPr>
          <w:sz w:val="20"/>
          <w:lang w:val="es-ES_tradnl"/>
        </w:rPr>
        <w:t>: El programa siguió prestando asistencia a los países en desarrollo, los países en transición y los PMA con el fin de mejorar sus estructuras de innovación y su capacidad para aprovecharlas con miras a promover la creación, el desarrollo y el uso de la propiedad intelectual en aras del desarrollo sostenible.  En este contexto, un total de 1.167 funcionarios gubernamentales, administradores de tecnología, científicos y agentes de patentes recibieron formación relacionada con:</w:t>
      </w:r>
    </w:p>
    <w:p w:rsidR="00B070BF" w:rsidRPr="009577DE" w:rsidRDefault="00B070BF" w:rsidP="00B070BF">
      <w:pPr>
        <w:widowControl w:val="0"/>
        <w:tabs>
          <w:tab w:val="left" w:pos="709"/>
        </w:tabs>
        <w:autoSpaceDE w:val="0"/>
        <w:autoSpaceDN w:val="0"/>
        <w:adjustRightInd w:val="0"/>
        <w:jc w:val="both"/>
        <w:rPr>
          <w:sz w:val="20"/>
          <w:lang w:val="es-ES_tradnl"/>
        </w:rPr>
      </w:pPr>
    </w:p>
    <w:p w:rsidR="00B070BF" w:rsidRPr="009577DE" w:rsidRDefault="00B070BF" w:rsidP="00B070BF">
      <w:pPr>
        <w:widowControl w:val="0"/>
        <w:numPr>
          <w:ilvl w:val="0"/>
          <w:numId w:val="31"/>
        </w:numPr>
        <w:tabs>
          <w:tab w:val="clear" w:pos="851"/>
        </w:tabs>
        <w:autoSpaceDE w:val="0"/>
        <w:autoSpaceDN w:val="0"/>
        <w:adjustRightInd w:val="0"/>
        <w:spacing w:after="120"/>
        <w:ind w:left="1134" w:hanging="567"/>
        <w:jc w:val="both"/>
        <w:rPr>
          <w:sz w:val="20"/>
          <w:lang w:val="es-ES_tradnl"/>
        </w:rPr>
      </w:pPr>
      <w:r w:rsidRPr="009577DE">
        <w:rPr>
          <w:sz w:val="20"/>
          <w:lang w:val="es-ES_tradnl"/>
        </w:rPr>
        <w:t>Proyectos concretos, tanto temáticos como de ámbito nacional, como por ejemplo el de creación de oficinas universitarias de transferencia de tecnología en la región árabe o el programa de la Iniciativa Universitaria, que brinda asiste</w:t>
      </w:r>
      <w:r w:rsidRPr="009577DE">
        <w:rPr>
          <w:b/>
          <w:sz w:val="20"/>
          <w:lang w:val="es-ES_tradnl"/>
        </w:rPr>
        <w:t>n</w:t>
      </w:r>
      <w:r w:rsidRPr="009577DE">
        <w:rPr>
          <w:sz w:val="20"/>
          <w:lang w:val="es-ES_tradnl"/>
        </w:rPr>
        <w:t xml:space="preserve">cia a universidades y centros de investigación financiados con fondos públicos, principalmente en los países en desarrollo, con el objetivo de promover sus estructuras de innovación y sus respectivas organizaciones, y que va dirigido a más de una veintena de universidades; </w:t>
      </w:r>
    </w:p>
    <w:p w:rsidR="00B070BF" w:rsidRPr="009577DE" w:rsidRDefault="00B070BF" w:rsidP="00B070BF">
      <w:pPr>
        <w:widowControl w:val="0"/>
        <w:numPr>
          <w:ilvl w:val="0"/>
          <w:numId w:val="31"/>
        </w:numPr>
        <w:tabs>
          <w:tab w:val="clear" w:pos="851"/>
        </w:tabs>
        <w:autoSpaceDE w:val="0"/>
        <w:autoSpaceDN w:val="0"/>
        <w:adjustRightInd w:val="0"/>
        <w:spacing w:after="120"/>
        <w:ind w:left="1134" w:hanging="567"/>
        <w:jc w:val="both"/>
        <w:rPr>
          <w:sz w:val="20"/>
          <w:lang w:val="es-ES_tradnl"/>
        </w:rPr>
      </w:pPr>
      <w:r w:rsidRPr="009577DE">
        <w:rPr>
          <w:sz w:val="20"/>
          <w:lang w:val="es-ES_tradnl"/>
        </w:rPr>
        <w:t xml:space="preserve">Programas de creación de capacidad para el desarrollo del capital humano en los Estados miembros, especialmente en los países en desarrollo: 12 talleres de redacción de patentes seguidos de ocho cursos de formación práctica a distancia; 13 talleres sobre promoción de la innovación y la transferencia de tecnología; seis programas de formación sobre la negociación de licencias tecnológicas (STL) y dos cursos de evaluación de la propiedad intelectual; </w:t>
      </w:r>
    </w:p>
    <w:p w:rsidR="00B070BF" w:rsidRPr="009577DE" w:rsidRDefault="00B070BF" w:rsidP="00B070BF">
      <w:pPr>
        <w:widowControl w:val="0"/>
        <w:numPr>
          <w:ilvl w:val="0"/>
          <w:numId w:val="31"/>
        </w:numPr>
        <w:tabs>
          <w:tab w:val="clear" w:pos="851"/>
        </w:tabs>
        <w:autoSpaceDE w:val="0"/>
        <w:autoSpaceDN w:val="0"/>
        <w:adjustRightInd w:val="0"/>
        <w:spacing w:after="120"/>
        <w:ind w:left="1134" w:hanging="567"/>
        <w:jc w:val="both"/>
        <w:rPr>
          <w:sz w:val="20"/>
          <w:lang w:val="es-ES_tradnl"/>
        </w:rPr>
      </w:pPr>
      <w:r w:rsidRPr="009577DE">
        <w:rPr>
          <w:sz w:val="20"/>
          <w:lang w:val="es-ES_tradnl"/>
        </w:rPr>
        <w:t xml:space="preserve">Fomento de alianzas internas y externas para impulsar la cooperación internacional en materia de propiedad intelectual (negociación del memorando de entendimiento con el Centro Común de Investigación de la Comisión Europea; colaboración con la CERN en el marco del proyecto de transferencia de tecnología en la región árabe y con otros programas de la OMPI en proyectos y actividades concretos tales como WIPO </w:t>
      </w:r>
      <w:proofErr w:type="spellStart"/>
      <w:r w:rsidRPr="009577DE">
        <w:rPr>
          <w:sz w:val="20"/>
          <w:lang w:val="es-ES_tradnl"/>
        </w:rPr>
        <w:t>Re:Search</w:t>
      </w:r>
      <w:proofErr w:type="spellEnd"/>
      <w:r w:rsidRPr="009577DE">
        <w:rPr>
          <w:sz w:val="20"/>
          <w:lang w:val="es-ES_tradnl"/>
        </w:rPr>
        <w:t xml:space="preserve">, las iniciativas de promoción de la innovación, las actividades de formación propuestas por el PCT y las contribuciones periódicas a los programas de la Academia de la OMPI. </w:t>
      </w:r>
    </w:p>
    <w:p w:rsidR="00B070BF" w:rsidRPr="009577DE" w:rsidRDefault="00B070BF" w:rsidP="00B070BF">
      <w:pPr>
        <w:widowControl w:val="0"/>
        <w:autoSpaceDE w:val="0"/>
        <w:autoSpaceDN w:val="0"/>
        <w:adjustRightInd w:val="0"/>
        <w:ind w:left="567"/>
        <w:jc w:val="both"/>
        <w:rPr>
          <w:sz w:val="20"/>
          <w:lang w:val="es-ES_tradnl"/>
        </w:rPr>
      </w:pPr>
    </w:p>
    <w:p w:rsidR="00B070BF" w:rsidRPr="009577DE" w:rsidRDefault="00B070BF" w:rsidP="00B070BF">
      <w:pPr>
        <w:widowControl w:val="0"/>
        <w:numPr>
          <w:ilvl w:val="0"/>
          <w:numId w:val="32"/>
        </w:numPr>
        <w:autoSpaceDE w:val="0"/>
        <w:autoSpaceDN w:val="0"/>
        <w:adjustRightInd w:val="0"/>
        <w:ind w:left="0" w:firstLine="0"/>
        <w:jc w:val="both"/>
        <w:rPr>
          <w:bCs/>
          <w:sz w:val="20"/>
          <w:lang w:val="es-ES_tradnl"/>
        </w:rPr>
      </w:pPr>
      <w:r w:rsidRPr="009577DE">
        <w:rPr>
          <w:sz w:val="20"/>
          <w:u w:val="single"/>
          <w:lang w:val="es-ES_tradnl"/>
        </w:rPr>
        <w:t>Pymes:</w:t>
      </w:r>
      <w:r w:rsidRPr="009577DE">
        <w:rPr>
          <w:sz w:val="20"/>
          <w:lang w:val="es-ES_tradnl"/>
        </w:rPr>
        <w:t xml:space="preserve"> a lo largo del año 2012 se logró aumentar la sensibilización de las Pymes acerca de la importancia del sistema de propiedad intelectual principalmente gracias a los siete programas de formación de formadores realizados y a la traducción y adaptación al contexto local de los contenidos relacionados con la propiedad intelectual dirigidos a las empresas.  Se complementó e</w:t>
      </w:r>
      <w:r w:rsidRPr="009577DE">
        <w:rPr>
          <w:sz w:val="20"/>
          <w:lang w:val="es-ES_tradnl" w:eastAsia="ko-KR"/>
        </w:rPr>
        <w:t>l recurso multimedia IP PANORAMA</w:t>
      </w:r>
      <w:r w:rsidRPr="009577DE">
        <w:rPr>
          <w:sz w:val="20"/>
          <w:vertAlign w:val="superscript"/>
          <w:lang w:val="es-ES_tradnl" w:eastAsia="ko-KR"/>
        </w:rPr>
        <w:t>TM</w:t>
      </w:r>
      <w:r w:rsidRPr="009577DE">
        <w:rPr>
          <w:sz w:val="20"/>
          <w:lang w:val="es-ES_tradnl" w:eastAsia="ko-KR"/>
        </w:rPr>
        <w:t xml:space="preserve"> con un módulo sobre cuestiones de P.I. relativas a los contratos de franquicia disponible en polaco, francés y español </w:t>
      </w:r>
      <w:r w:rsidRPr="009577DE">
        <w:rPr>
          <w:sz w:val="20"/>
          <w:lang w:val="es-ES_tradnl"/>
        </w:rPr>
        <w:t xml:space="preserve">(su traducción al ruso se encuentra en fase avanzada).  </w:t>
      </w:r>
      <w:r w:rsidRPr="009577DE">
        <w:rPr>
          <w:sz w:val="20"/>
        </w:rPr>
        <w:t xml:space="preserve">Aproximadamente 618 personas participaron en un curso internacional avanzado por Internet, con entrega de certificado, sobre la gestión de P.I. para el éxito de las empresas basado en IP </w:t>
      </w:r>
      <w:r w:rsidRPr="009577DE">
        <w:rPr>
          <w:rFonts w:hint="eastAsia"/>
          <w:sz w:val="20"/>
        </w:rPr>
        <w:t>PANORAMA</w:t>
      </w:r>
      <w:r w:rsidRPr="009577DE">
        <w:rPr>
          <w:sz w:val="20"/>
          <w:vertAlign w:val="superscript"/>
        </w:rPr>
        <w:t>TM</w:t>
      </w:r>
      <w:r w:rsidRPr="009577DE">
        <w:rPr>
          <w:sz w:val="20"/>
        </w:rPr>
        <w:t xml:space="preserve">, y 12 personas participaron posteriormente en un programa impartido por otros medios sobre la gestión de activos de P.I..  Por lo que respecta a las actividades informativas sobre la gestión de activos de propiedad intelectual dirigidas a las Pymes, se enviaron 12 números del boletín de noticias de la OMPI sobre las Pymes a 42.258 suscriptores, se actualizaron y tradujeron a los seis idiomas oficiales de las NN.UU. los contenidos del sitio Web de las Pymes y se editó una nueva publicación titulada </w:t>
      </w:r>
      <w:r w:rsidRPr="009577DE">
        <w:rPr>
          <w:i/>
          <w:sz w:val="20"/>
        </w:rPr>
        <w:t>La propiedad intelectual y los contratos de franquicia</w:t>
      </w:r>
      <w:r w:rsidRPr="009577DE">
        <w:rPr>
          <w:sz w:val="20"/>
        </w:rPr>
        <w:t xml:space="preserve">.  Están a punto de concluir otra publicación inédita hasta el momento, </w:t>
      </w:r>
      <w:r w:rsidRPr="009577DE">
        <w:rPr>
          <w:i/>
          <w:sz w:val="20"/>
        </w:rPr>
        <w:t xml:space="preserve">Cuestiones relativas a la P.I. en el sector agroalimentario, </w:t>
      </w:r>
      <w:r w:rsidRPr="009577DE">
        <w:rPr>
          <w:sz w:val="20"/>
        </w:rPr>
        <w:t xml:space="preserve">y la versión actualizada de tres publicaciones anteriores, a saber, </w:t>
      </w:r>
      <w:r w:rsidRPr="009577DE">
        <w:rPr>
          <w:i/>
          <w:sz w:val="20"/>
        </w:rPr>
        <w:t>El secreto está en la marca</w:t>
      </w:r>
      <w:r w:rsidRPr="009577DE">
        <w:rPr>
          <w:sz w:val="20"/>
        </w:rPr>
        <w:t xml:space="preserve">, </w:t>
      </w:r>
      <w:r w:rsidRPr="009577DE">
        <w:rPr>
          <w:i/>
          <w:sz w:val="20"/>
        </w:rPr>
        <w:t xml:space="preserve">Inventar el futuro </w:t>
      </w:r>
      <w:r w:rsidRPr="009577DE">
        <w:rPr>
          <w:sz w:val="20"/>
        </w:rPr>
        <w:t xml:space="preserve">y </w:t>
      </w:r>
      <w:r w:rsidRPr="009577DE">
        <w:rPr>
          <w:i/>
          <w:sz w:val="20"/>
        </w:rPr>
        <w:t>Una puntada a tiempo</w:t>
      </w:r>
      <w:r w:rsidRPr="009577DE">
        <w:rPr>
          <w:sz w:val="20"/>
        </w:rPr>
        <w:t xml:space="preserve">.  </w:t>
      </w:r>
      <w:r w:rsidRPr="009577DE">
        <w:rPr>
          <w:bCs/>
          <w:sz w:val="20"/>
          <w:lang w:val="es-ES_tradnl"/>
        </w:rPr>
        <w:t xml:space="preserve">La OMPI siguió colaborando a escala nacional, subregional y regional para promover la elaboración de políticas apropiadas y garantizar la coherencia en materia de políticas sobre propiedad intelectual para las Pymes.  A tal efecto se celebró un foro subregional en India. </w:t>
      </w:r>
    </w:p>
    <w:p w:rsidR="00B070BF" w:rsidRPr="009577DE" w:rsidRDefault="00B070BF" w:rsidP="00B070BF">
      <w:pPr>
        <w:widowControl w:val="0"/>
        <w:autoSpaceDE w:val="0"/>
        <w:autoSpaceDN w:val="0"/>
        <w:adjustRightInd w:val="0"/>
        <w:jc w:val="both"/>
        <w:rPr>
          <w:sz w:val="20"/>
          <w:u w:val="single"/>
          <w:lang w:val="es-ES_tradnl"/>
        </w:rPr>
      </w:pPr>
    </w:p>
    <w:p w:rsidR="00B070BF" w:rsidRPr="009577DE" w:rsidRDefault="00B070BF" w:rsidP="00B070BF">
      <w:pPr>
        <w:widowControl w:val="0"/>
        <w:numPr>
          <w:ilvl w:val="0"/>
          <w:numId w:val="32"/>
        </w:numPr>
        <w:autoSpaceDE w:val="0"/>
        <w:autoSpaceDN w:val="0"/>
        <w:adjustRightInd w:val="0"/>
        <w:ind w:left="0" w:firstLine="0"/>
        <w:jc w:val="both"/>
        <w:rPr>
          <w:sz w:val="20"/>
          <w:lang w:val="es-ES_tradnl"/>
        </w:rPr>
      </w:pPr>
      <w:r w:rsidRPr="009577DE">
        <w:rPr>
          <w:sz w:val="20"/>
          <w:u w:val="single"/>
          <w:lang w:val="es-ES_tradnl"/>
        </w:rPr>
        <w:t>Política de innovación</w:t>
      </w:r>
      <w:r w:rsidRPr="009577DE">
        <w:rPr>
          <w:sz w:val="20"/>
          <w:lang w:val="es-ES_tradnl"/>
        </w:rPr>
        <w:t xml:space="preserve">:  las actividades relacionadas con las políticas de innovación consistieron </w:t>
      </w:r>
      <w:r w:rsidRPr="009577DE">
        <w:rPr>
          <w:sz w:val="20"/>
          <w:lang w:val="es-ES_tradnl"/>
        </w:rPr>
        <w:lastRenderedPageBreak/>
        <w:t xml:space="preserve">fundamentalmente en recopilar información acerca de las iniciativas tanto internas como externas en este ámbito, </w:t>
      </w:r>
      <w:r w:rsidRPr="009577DE">
        <w:rPr>
          <w:sz w:val="20"/>
        </w:rPr>
        <w:t>seleccionando</w:t>
      </w:r>
      <w:r w:rsidRPr="009577DE">
        <w:rPr>
          <w:sz w:val="20"/>
          <w:lang w:val="es-ES_tradnl"/>
        </w:rPr>
        <w:t xml:space="preserve"> aquellas áreas en que confluyen las políticas de innovación y la propiedad intelectual y creando una red de expertos para dirigir las actividades futuras y constituir una fuente de conocimientos especializados sobre políticas de innovación a disposición de quienes la necesiten. </w:t>
      </w:r>
    </w:p>
    <w:p w:rsidR="00B070BF" w:rsidRPr="009577DE" w:rsidRDefault="00B070BF" w:rsidP="00B070BF">
      <w:pPr>
        <w:widowControl w:val="0"/>
        <w:jc w:val="both"/>
        <w:rPr>
          <w:bCs/>
          <w:sz w:val="20"/>
          <w:lang w:val="es-ES_tradnl"/>
        </w:rPr>
      </w:pPr>
    </w:p>
    <w:p w:rsidR="00B070BF" w:rsidRPr="009577DE" w:rsidRDefault="00B070BF" w:rsidP="00B070BF">
      <w:pPr>
        <w:widowControl w:val="0"/>
        <w:jc w:val="both"/>
        <w:rPr>
          <w:bCs/>
          <w:sz w:val="20"/>
          <w:lang w:val="es-ES_tradnl"/>
        </w:rPr>
      </w:pPr>
    </w:p>
    <w:p w:rsidR="00B070BF" w:rsidRPr="009577DE" w:rsidRDefault="00B070BF" w:rsidP="00B070BF">
      <w:pPr>
        <w:widowControl w:val="0"/>
        <w:jc w:val="both"/>
        <w:rPr>
          <w:bCs/>
          <w:sz w:val="20"/>
          <w:lang w:val="es-ES_tradnl"/>
        </w:rPr>
      </w:pPr>
      <w:r w:rsidRPr="009577DE">
        <w:rPr>
          <w:bCs/>
          <w:sz w:val="20"/>
          <w:lang w:val="es-ES_tradnl"/>
        </w:rPr>
        <w:t xml:space="preserve">APLICACIÓN DE LA AGENDA PARA EL DESARROLLO </w:t>
      </w:r>
    </w:p>
    <w:p w:rsidR="00B070BF" w:rsidRPr="009577DE" w:rsidRDefault="00B070BF" w:rsidP="00B070BF">
      <w:pPr>
        <w:widowControl w:val="0"/>
        <w:autoSpaceDE w:val="0"/>
        <w:autoSpaceDN w:val="0"/>
        <w:adjustRightInd w:val="0"/>
        <w:jc w:val="both"/>
        <w:rPr>
          <w:b/>
          <w:bCs/>
          <w:sz w:val="20"/>
          <w:lang w:val="es-ES_tradnl"/>
        </w:rPr>
      </w:pPr>
    </w:p>
    <w:p w:rsidR="00B070BF" w:rsidRPr="009577DE" w:rsidRDefault="00B070BF" w:rsidP="00B070BF">
      <w:pPr>
        <w:widowControl w:val="0"/>
        <w:numPr>
          <w:ilvl w:val="0"/>
          <w:numId w:val="32"/>
        </w:numPr>
        <w:autoSpaceDE w:val="0"/>
        <w:autoSpaceDN w:val="0"/>
        <w:adjustRightInd w:val="0"/>
        <w:ind w:left="0" w:firstLine="0"/>
        <w:jc w:val="both"/>
        <w:rPr>
          <w:rFonts w:eastAsia="MS Mincho"/>
          <w:sz w:val="20"/>
          <w:lang w:eastAsia="ja-JP" w:bidi="th-TH"/>
        </w:rPr>
      </w:pPr>
      <w:r w:rsidRPr="009577DE">
        <w:rPr>
          <w:rFonts w:eastAsia="MS Mincho"/>
          <w:sz w:val="20"/>
          <w:lang w:eastAsia="ja-JP" w:bidi="th-TH"/>
        </w:rPr>
        <w:t xml:space="preserve">Con arreglo a las recomendaciones 19, 25, 26 y 28 de la Agenda para el Desarrollo, los días 16 y 17 de julio de 2012 se celebró en Singapur una reunión regional de consulta sobre propiedad intelectual y transferencia </w:t>
      </w:r>
      <w:r w:rsidRPr="009577DE">
        <w:rPr>
          <w:sz w:val="20"/>
        </w:rPr>
        <w:t>de</w:t>
      </w:r>
      <w:r w:rsidRPr="009577DE">
        <w:rPr>
          <w:rFonts w:eastAsia="MS Mincho"/>
          <w:sz w:val="20"/>
          <w:lang w:eastAsia="ja-JP" w:bidi="th-TH"/>
        </w:rPr>
        <w:t xml:space="preserve"> tecnología: desafíos comunes y búsqueda de soluciones, y se pusieron en marcha seis estudios sobre distintas facetas de la transferencia de tecnología.  Con arreglo a la </w:t>
      </w:r>
      <w:r w:rsidRPr="009577DE">
        <w:rPr>
          <w:iCs/>
          <w:sz w:val="20"/>
        </w:rPr>
        <w:t>recomendación 36 de la Agenda para el Desarrollo</w:t>
      </w:r>
      <w:r w:rsidRPr="009577DE">
        <w:rPr>
          <w:rFonts w:eastAsia="MS Mincho"/>
          <w:sz w:val="20"/>
          <w:lang w:eastAsia="ja-JP" w:bidi="th-TH"/>
        </w:rPr>
        <w:t xml:space="preserve">, se presentó ante los Estados miembros el estudio taxonómico-analítico </w:t>
      </w:r>
      <w:r w:rsidRPr="009577DE">
        <w:rPr>
          <w:sz w:val="20"/>
          <w:lang w:val="es-ES_tradnl"/>
        </w:rPr>
        <w:t>aprobado</w:t>
      </w:r>
      <w:r w:rsidRPr="009577DE">
        <w:rPr>
          <w:rFonts w:eastAsia="MS Mincho"/>
          <w:sz w:val="20"/>
          <w:lang w:eastAsia="ja-JP" w:bidi="th-TH"/>
        </w:rPr>
        <w:t xml:space="preserve"> durante la octava sesión del CDIP (CDIP/8) en una reunión oficiosa abierta a todos durante la novena sesión del CDIP y en otra de carácter oficial celebrada el 18 de junio de 2012.  </w:t>
      </w:r>
    </w:p>
    <w:p w:rsidR="00B070BF" w:rsidRDefault="00B070BF" w:rsidP="00B070BF">
      <w:pPr>
        <w:widowControl w:val="0"/>
        <w:jc w:val="both"/>
        <w:rPr>
          <w:rFonts w:eastAsia="MS Mincho"/>
          <w:sz w:val="20"/>
          <w:lang w:eastAsia="ja-JP" w:bidi="th-TH"/>
        </w:rPr>
      </w:pPr>
    </w:p>
    <w:p w:rsidR="00B070BF" w:rsidRPr="009577DE" w:rsidRDefault="00B070BF" w:rsidP="00B070BF">
      <w:pPr>
        <w:widowControl w:val="0"/>
        <w:jc w:val="both"/>
        <w:rPr>
          <w:rFonts w:eastAsia="MS Mincho"/>
          <w:sz w:val="20"/>
          <w:lang w:eastAsia="ja-JP" w:bidi="th-TH"/>
        </w:rPr>
      </w:pPr>
    </w:p>
    <w:p w:rsidR="00B070BF" w:rsidRPr="00BF0B56" w:rsidRDefault="00B070BF" w:rsidP="00B070BF">
      <w:pPr>
        <w:widowControl w:val="0"/>
        <w:jc w:val="both"/>
        <w:rPr>
          <w:bCs/>
          <w:sz w:val="20"/>
          <w:lang w:val="es-ES_tradnl"/>
        </w:rPr>
      </w:pPr>
      <w:r w:rsidRPr="00BF0B56">
        <w:rPr>
          <w:bCs/>
          <w:sz w:val="20"/>
          <w:lang w:val="es-ES_tradnl"/>
        </w:rPr>
        <w:t>DATOS SOBRE EL RENDIMIENTO</w:t>
      </w:r>
    </w:p>
    <w:p w:rsidR="00B070BF" w:rsidRPr="009577DE" w:rsidRDefault="00B070BF" w:rsidP="00B070BF">
      <w:pPr>
        <w:widowControl w:val="0"/>
        <w:rPr>
          <w:b/>
          <w:sz w:val="16"/>
          <w:szCs w:val="16"/>
          <w:lang w:val="es-ES_tradnl"/>
        </w:rPr>
      </w:pPr>
    </w:p>
    <w:tbl>
      <w:tblPr>
        <w:tblW w:w="5000" w:type="pct"/>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764"/>
        <w:gridCol w:w="1453"/>
        <w:gridCol w:w="1665"/>
        <w:gridCol w:w="3450"/>
        <w:gridCol w:w="1239"/>
      </w:tblGrid>
      <w:tr w:rsidR="00B070BF" w:rsidRPr="009577DE" w:rsidTr="00C33D4A">
        <w:trPr>
          <w:cantSplit/>
        </w:trPr>
        <w:tc>
          <w:tcPr>
            <w:tcW w:w="5000" w:type="pct"/>
            <w:gridSpan w:val="5"/>
            <w:tcBorders>
              <w:top w:val="single" w:sz="4" w:space="0" w:color="auto"/>
              <w:bottom w:val="single" w:sz="4" w:space="0" w:color="auto"/>
            </w:tcBorders>
            <w:shd w:val="clear" w:color="auto" w:fill="CCFFFF"/>
            <w:vAlign w:val="center"/>
          </w:tcPr>
          <w:p w:rsidR="00B070BF" w:rsidRPr="009577DE" w:rsidRDefault="00B070BF" w:rsidP="00C33D4A">
            <w:pPr>
              <w:widowControl w:val="0"/>
              <w:spacing w:before="120" w:after="120"/>
              <w:ind w:left="1735" w:hanging="1735"/>
              <w:rPr>
                <w:b/>
                <w:bCs/>
                <w:sz w:val="16"/>
                <w:szCs w:val="16"/>
                <w:lang w:val="es-ES_tradnl"/>
              </w:rPr>
            </w:pPr>
            <w:r w:rsidRPr="009577DE">
              <w:rPr>
                <w:b/>
                <w:bCs/>
                <w:sz w:val="16"/>
                <w:szCs w:val="16"/>
                <w:lang w:val="es-ES_tradnl"/>
              </w:rPr>
              <w:t>Resultado previsto:</w:t>
            </w:r>
            <w:r w:rsidRPr="009577DE">
              <w:rPr>
                <w:b/>
                <w:bCs/>
                <w:sz w:val="16"/>
                <w:szCs w:val="16"/>
                <w:lang w:val="es-ES_tradnl"/>
              </w:rPr>
              <w:tab/>
            </w:r>
            <w:r w:rsidRPr="009577DE">
              <w:rPr>
                <w:bCs/>
                <w:sz w:val="16"/>
                <w:szCs w:val="16"/>
                <w:lang w:val="es-ES_tradnl"/>
              </w:rPr>
              <w:t>Mejora en el acceso a la información y los conocimientos sobre P.I. y su utilización por las instituciones de P.I. y el público, para fomentar la innovación y aumentar el acceso a las obras que son fruto de la creatividad, tanto las que están protegidas como las que se encuentran en el dominio público.</w:t>
            </w:r>
          </w:p>
        </w:tc>
      </w:tr>
      <w:tr w:rsidR="00B070BF" w:rsidRPr="009577DE" w:rsidTr="00C33D4A">
        <w:trPr>
          <w:cantSplit/>
        </w:trPr>
        <w:tc>
          <w:tcPr>
            <w:tcW w:w="874" w:type="pct"/>
            <w:tcBorders>
              <w:top w:val="single" w:sz="4" w:space="0" w:color="auto"/>
            </w:tcBorders>
            <w:shd w:val="clear" w:color="auto" w:fill="auto"/>
            <w:vAlign w:val="center"/>
          </w:tcPr>
          <w:p w:rsidR="00B070BF" w:rsidRPr="009577DE" w:rsidRDefault="00B070BF" w:rsidP="00C33D4A">
            <w:pPr>
              <w:widowControl w:val="0"/>
              <w:spacing w:after="120"/>
              <w:rPr>
                <w:sz w:val="16"/>
                <w:szCs w:val="16"/>
                <w:lang w:val="es-ES_tradnl"/>
              </w:rPr>
            </w:pPr>
            <w:r w:rsidRPr="009577DE">
              <w:rPr>
                <w:b/>
                <w:bCs/>
                <w:sz w:val="16"/>
                <w:szCs w:val="16"/>
                <w:lang w:val="es-ES_tradnl"/>
              </w:rPr>
              <w:t>Indicadores de rendimiento</w:t>
            </w:r>
          </w:p>
        </w:tc>
        <w:tc>
          <w:tcPr>
            <w:tcW w:w="805" w:type="pct"/>
            <w:tcBorders>
              <w:top w:val="single" w:sz="4" w:space="0" w:color="auto"/>
            </w:tcBorders>
            <w:shd w:val="clear" w:color="auto" w:fill="C0C0C0"/>
          </w:tcPr>
          <w:p w:rsidR="00B070BF" w:rsidRPr="009577DE" w:rsidRDefault="00B070BF" w:rsidP="00C33D4A">
            <w:pPr>
              <w:widowControl w:val="0"/>
              <w:spacing w:after="120"/>
              <w:rPr>
                <w:b/>
                <w:bCs/>
                <w:sz w:val="16"/>
                <w:szCs w:val="16"/>
                <w:lang w:val="es-ES_tradnl"/>
              </w:rPr>
            </w:pPr>
            <w:r w:rsidRPr="009577DE">
              <w:rPr>
                <w:b/>
                <w:bCs/>
                <w:sz w:val="16"/>
                <w:szCs w:val="16"/>
                <w:lang w:val="es-ES_tradnl"/>
              </w:rPr>
              <w:t>Referencia (</w:t>
            </w:r>
            <w:proofErr w:type="spellStart"/>
            <w:r w:rsidRPr="009577DE">
              <w:rPr>
                <w:b/>
                <w:bCs/>
                <w:sz w:val="16"/>
                <w:szCs w:val="16"/>
                <w:lang w:val="es-ES_tradnl"/>
              </w:rPr>
              <w:t>Presup</w:t>
            </w:r>
            <w:proofErr w:type="spellEnd"/>
            <w:r w:rsidRPr="009577DE">
              <w:rPr>
                <w:b/>
                <w:bCs/>
                <w:sz w:val="16"/>
                <w:szCs w:val="16"/>
                <w:lang w:val="es-ES_tradnl"/>
              </w:rPr>
              <w:t xml:space="preserve">. por </w:t>
            </w:r>
            <w:proofErr w:type="spellStart"/>
            <w:r w:rsidRPr="009577DE">
              <w:rPr>
                <w:b/>
                <w:bCs/>
                <w:sz w:val="16"/>
                <w:szCs w:val="16"/>
                <w:lang w:val="es-ES_tradnl"/>
              </w:rPr>
              <w:t>prog</w:t>
            </w:r>
            <w:proofErr w:type="spellEnd"/>
            <w:r w:rsidRPr="009577DE">
              <w:rPr>
                <w:b/>
                <w:bCs/>
                <w:sz w:val="16"/>
                <w:szCs w:val="16"/>
                <w:lang w:val="es-ES_tradnl"/>
              </w:rPr>
              <w:t>. 2012/13)</w:t>
            </w:r>
          </w:p>
        </w:tc>
        <w:tc>
          <w:tcPr>
            <w:tcW w:w="916" w:type="pct"/>
            <w:tcBorders>
              <w:top w:val="single" w:sz="4" w:space="0" w:color="auto"/>
            </w:tcBorders>
            <w:shd w:val="clear" w:color="auto" w:fill="auto"/>
            <w:tcMar>
              <w:top w:w="110" w:type="dxa"/>
            </w:tcMar>
            <w:vAlign w:val="center"/>
          </w:tcPr>
          <w:p w:rsidR="00B070BF" w:rsidRPr="009577DE" w:rsidRDefault="00B070BF" w:rsidP="00C33D4A">
            <w:pPr>
              <w:widowControl w:val="0"/>
              <w:spacing w:after="120"/>
              <w:rPr>
                <w:b/>
                <w:sz w:val="16"/>
                <w:szCs w:val="16"/>
                <w:lang w:val="es-ES_tradnl"/>
              </w:rPr>
            </w:pPr>
            <w:r w:rsidRPr="00BF138D">
              <w:rPr>
                <w:b/>
                <w:color w:val="993300"/>
                <w:sz w:val="16"/>
                <w:szCs w:val="16"/>
                <w:lang w:val="es-ES_tradnl"/>
              </w:rPr>
              <w:t>Referencia actualizada a finales de 2011</w:t>
            </w:r>
            <w:r w:rsidRPr="009577DE">
              <w:rPr>
                <w:b/>
                <w:sz w:val="16"/>
                <w:szCs w:val="16"/>
                <w:lang w:val="es-ES_tradnl"/>
              </w:rPr>
              <w:t xml:space="preserve"> </w:t>
            </w:r>
          </w:p>
        </w:tc>
        <w:tc>
          <w:tcPr>
            <w:tcW w:w="1848" w:type="pct"/>
            <w:tcBorders>
              <w:top w:val="single" w:sz="4" w:space="0" w:color="auto"/>
            </w:tcBorders>
            <w:shd w:val="clear" w:color="auto" w:fill="FFFFFF"/>
            <w:tcMar>
              <w:top w:w="110" w:type="dxa"/>
            </w:tcMar>
            <w:vAlign w:val="center"/>
          </w:tcPr>
          <w:p w:rsidR="00B070BF" w:rsidRPr="009577DE" w:rsidRDefault="00B070BF" w:rsidP="00C33D4A">
            <w:pPr>
              <w:widowControl w:val="0"/>
              <w:spacing w:after="120"/>
              <w:rPr>
                <w:sz w:val="16"/>
                <w:szCs w:val="16"/>
                <w:lang w:val="es-ES_tradnl"/>
              </w:rPr>
            </w:pPr>
            <w:r w:rsidRPr="009577DE">
              <w:rPr>
                <w:b/>
                <w:bCs/>
                <w:sz w:val="16"/>
                <w:szCs w:val="16"/>
                <w:lang w:val="es-ES_tradnl"/>
              </w:rPr>
              <w:t>Datos sobre el rendimiento</w:t>
            </w:r>
          </w:p>
        </w:tc>
        <w:tc>
          <w:tcPr>
            <w:tcW w:w="557" w:type="pct"/>
            <w:tcBorders>
              <w:top w:val="single" w:sz="4" w:space="0" w:color="auto"/>
            </w:tcBorders>
            <w:shd w:val="clear" w:color="auto" w:fill="auto"/>
            <w:tcMar>
              <w:top w:w="110" w:type="dxa"/>
            </w:tcMar>
            <w:vAlign w:val="center"/>
          </w:tcPr>
          <w:p w:rsidR="00B070BF" w:rsidRPr="009577DE" w:rsidRDefault="00B070BF" w:rsidP="00C33D4A">
            <w:pPr>
              <w:widowControl w:val="0"/>
              <w:spacing w:after="120"/>
              <w:jc w:val="center"/>
              <w:rPr>
                <w:b/>
                <w:bCs/>
                <w:sz w:val="16"/>
                <w:szCs w:val="16"/>
                <w:lang w:val="es-ES_tradnl"/>
              </w:rPr>
            </w:pPr>
            <w:r w:rsidRPr="009577DE">
              <w:rPr>
                <w:b/>
                <w:bCs/>
                <w:sz w:val="16"/>
                <w:szCs w:val="16"/>
                <w:lang w:val="es-ES_tradnl"/>
              </w:rPr>
              <w:t>Clave de colores</w:t>
            </w:r>
          </w:p>
        </w:tc>
      </w:tr>
      <w:tr w:rsidR="00B070BF" w:rsidRPr="009577DE" w:rsidTr="00C33D4A">
        <w:trPr>
          <w:cantSplit/>
        </w:trPr>
        <w:tc>
          <w:tcPr>
            <w:tcW w:w="874" w:type="pct"/>
            <w:tcBorders>
              <w:bottom w:val="single" w:sz="4" w:space="0" w:color="auto"/>
            </w:tcBorders>
            <w:shd w:val="clear" w:color="auto" w:fill="auto"/>
          </w:tcPr>
          <w:p w:rsidR="00B070BF" w:rsidRPr="009577DE" w:rsidRDefault="00B070BF" w:rsidP="00C33D4A">
            <w:pPr>
              <w:widowControl w:val="0"/>
              <w:rPr>
                <w:sz w:val="16"/>
                <w:szCs w:val="16"/>
                <w:lang w:val="es-ES_tradnl"/>
              </w:rPr>
            </w:pPr>
            <w:r w:rsidRPr="009577DE">
              <w:rPr>
                <w:sz w:val="16"/>
                <w:szCs w:val="16"/>
                <w:lang w:val="es-ES_tradnl" w:bidi="th-TH"/>
              </w:rPr>
              <w:t>Número de Estados miembros que han desarrollado su marco de P.I. y establecido oficinas universitarias de transferencia de tecnología (OTT).</w:t>
            </w:r>
          </w:p>
        </w:tc>
        <w:tc>
          <w:tcPr>
            <w:tcW w:w="805" w:type="pct"/>
            <w:tcBorders>
              <w:bottom w:val="single" w:sz="4" w:space="0" w:color="auto"/>
            </w:tcBorders>
            <w:shd w:val="clear" w:color="auto" w:fill="C0C0C0"/>
          </w:tcPr>
          <w:p w:rsidR="00B070BF" w:rsidRPr="009577DE" w:rsidRDefault="00B070BF" w:rsidP="00C33D4A">
            <w:pPr>
              <w:widowControl w:val="0"/>
              <w:rPr>
                <w:sz w:val="16"/>
                <w:szCs w:val="16"/>
                <w:lang w:val="es-ES_tradnl"/>
              </w:rPr>
            </w:pPr>
            <w:r w:rsidRPr="009577DE">
              <w:rPr>
                <w:sz w:val="16"/>
                <w:szCs w:val="16"/>
                <w:lang w:val="es-ES_tradnl" w:bidi="th-TH"/>
              </w:rPr>
              <w:t>Se ha adoptado el proyecto piloto de marco de P.I. y se ha asignado la financiación correspondiente.</w:t>
            </w:r>
          </w:p>
        </w:tc>
        <w:tc>
          <w:tcPr>
            <w:tcW w:w="916" w:type="pct"/>
            <w:tcBorders>
              <w:bottom w:val="single" w:sz="4" w:space="0" w:color="auto"/>
            </w:tcBorders>
            <w:shd w:val="clear" w:color="auto" w:fill="auto"/>
            <w:tcMar>
              <w:top w:w="110" w:type="dxa"/>
            </w:tcMar>
          </w:tcPr>
          <w:p w:rsidR="00B070BF" w:rsidRPr="009577DE" w:rsidRDefault="00B070BF" w:rsidP="00C33D4A">
            <w:pPr>
              <w:widowControl w:val="0"/>
              <w:rPr>
                <w:i/>
                <w:sz w:val="16"/>
                <w:szCs w:val="16"/>
                <w:lang w:val="es-ES_tradnl"/>
              </w:rPr>
            </w:pPr>
          </w:p>
        </w:tc>
        <w:tc>
          <w:tcPr>
            <w:tcW w:w="1848" w:type="pct"/>
            <w:tcBorders>
              <w:bottom w:val="single" w:sz="4" w:space="0" w:color="auto"/>
            </w:tcBorders>
            <w:shd w:val="clear" w:color="auto" w:fill="FFFFFF"/>
            <w:tcMar>
              <w:top w:w="110" w:type="dxa"/>
            </w:tcMar>
          </w:tcPr>
          <w:p w:rsidR="00B070BF" w:rsidRPr="009577DE" w:rsidRDefault="00B070BF" w:rsidP="00C33D4A">
            <w:pPr>
              <w:widowControl w:val="0"/>
              <w:rPr>
                <w:iCs/>
                <w:sz w:val="16"/>
                <w:szCs w:val="16"/>
                <w:lang w:val="es-ES_tradnl"/>
              </w:rPr>
            </w:pPr>
            <w:r w:rsidRPr="009577DE">
              <w:rPr>
                <w:iCs/>
                <w:sz w:val="16"/>
                <w:szCs w:val="16"/>
                <w:lang w:val="es-ES_tradnl"/>
              </w:rPr>
              <w:t>Se inició en Túnez el proyecto de establecimiento de oficinas universitarias de transferencia de tecnología (OTT) en cinco de los países árabes.  Se llevó a cabo una evaluación de las necesidades en diciembre de 2012 para que sirviera de base a un plan de acción oficial, que será examinado y adoptado por el Gobierno en 2013 siempre que se disponga de fondos</w:t>
            </w:r>
            <w:r w:rsidRPr="009577DE">
              <w:rPr>
                <w:sz w:val="16"/>
                <w:szCs w:val="16"/>
                <w:lang w:val="es-ES_tradnl" w:bidi="th-TH"/>
              </w:rPr>
              <w:t xml:space="preserve">. </w:t>
            </w:r>
          </w:p>
          <w:p w:rsidR="00B070BF" w:rsidRPr="009577DE" w:rsidRDefault="00B070BF" w:rsidP="00C33D4A">
            <w:pPr>
              <w:widowControl w:val="0"/>
              <w:rPr>
                <w:sz w:val="16"/>
                <w:szCs w:val="16"/>
                <w:lang w:val="es-ES_tradnl" w:bidi="th-TH"/>
              </w:rPr>
            </w:pPr>
          </w:p>
          <w:p w:rsidR="00B070BF" w:rsidRPr="009577DE" w:rsidRDefault="00B070BF" w:rsidP="00C33D4A">
            <w:pPr>
              <w:widowControl w:val="0"/>
              <w:rPr>
                <w:sz w:val="16"/>
                <w:szCs w:val="16"/>
                <w:lang w:val="es-ES_tradnl" w:bidi="th-TH"/>
              </w:rPr>
            </w:pPr>
            <w:r w:rsidRPr="009577DE">
              <w:rPr>
                <w:sz w:val="16"/>
                <w:szCs w:val="16"/>
                <w:lang w:val="es-ES_tradnl" w:bidi="th-TH"/>
              </w:rPr>
              <w:t xml:space="preserve">Nota:  El proyecto de OTT para la región de los países árabes está retrasado porque la financiación externa prevista no se ha recibido.  La OMPI ha facilitado la celebración de reuniones a ese respecto y confía en que se obtenga la financiación necesaria y el proyecto siga adelante.   </w:t>
            </w:r>
          </w:p>
          <w:p w:rsidR="00B070BF" w:rsidRPr="009577DE" w:rsidRDefault="00B070BF" w:rsidP="00C33D4A">
            <w:pPr>
              <w:widowControl w:val="0"/>
              <w:rPr>
                <w:sz w:val="16"/>
                <w:szCs w:val="16"/>
                <w:lang w:val="es-ES_tradnl" w:bidi="th-TH"/>
              </w:rPr>
            </w:pPr>
          </w:p>
          <w:p w:rsidR="00B070BF" w:rsidRPr="009577DE" w:rsidRDefault="00B070BF" w:rsidP="00C33D4A">
            <w:pPr>
              <w:widowControl w:val="0"/>
              <w:rPr>
                <w:sz w:val="16"/>
                <w:szCs w:val="16"/>
                <w:lang w:val="es-ES_tradnl" w:bidi="th-TH"/>
              </w:rPr>
            </w:pPr>
            <w:r w:rsidRPr="009577DE">
              <w:rPr>
                <w:sz w:val="16"/>
                <w:szCs w:val="16"/>
                <w:lang w:val="es-ES_tradnl" w:bidi="th-TH"/>
              </w:rPr>
              <w:t xml:space="preserve">En el marco de la Iniciativa universitaria de la OMPI, 20 OTT ayudaron a formular políticas institucionales de P.I. (la CESPAO (5), Marruecos (6). Chile (5), Filipinas (5) y Ghana (1)). </w:t>
            </w:r>
          </w:p>
          <w:p w:rsidR="00B070BF" w:rsidRPr="009577DE" w:rsidRDefault="00B070BF" w:rsidP="00C33D4A">
            <w:pPr>
              <w:widowControl w:val="0"/>
              <w:rPr>
                <w:sz w:val="16"/>
                <w:szCs w:val="16"/>
                <w:lang w:val="es-ES_tradnl"/>
              </w:rPr>
            </w:pPr>
          </w:p>
        </w:tc>
        <w:tc>
          <w:tcPr>
            <w:tcW w:w="557" w:type="pct"/>
            <w:tcBorders>
              <w:bottom w:val="single" w:sz="4" w:space="0" w:color="auto"/>
            </w:tcBorders>
            <w:shd w:val="clear" w:color="auto" w:fill="auto"/>
            <w:tcMar>
              <w:top w:w="110" w:type="dxa"/>
            </w:tcMar>
          </w:tcPr>
          <w:p w:rsidR="00B070BF" w:rsidRPr="009577DE" w:rsidRDefault="00B070BF" w:rsidP="00C33D4A">
            <w:pPr>
              <w:widowControl w:val="0"/>
              <w:jc w:val="center"/>
              <w:rPr>
                <w:b/>
                <w:sz w:val="16"/>
                <w:szCs w:val="16"/>
                <w:lang w:val="es-ES_tradnl"/>
              </w:rPr>
            </w:pPr>
            <w:r w:rsidRPr="009577DE">
              <w:rPr>
                <w:b/>
                <w:color w:val="FF0000"/>
                <w:sz w:val="16"/>
                <w:szCs w:val="16"/>
                <w:lang w:val="es-ES_tradnl"/>
              </w:rPr>
              <w:t>Sin avances significativos</w:t>
            </w:r>
          </w:p>
          <w:p w:rsidR="00B070BF" w:rsidRPr="009577DE" w:rsidRDefault="00B070BF" w:rsidP="00C33D4A">
            <w:pPr>
              <w:widowControl w:val="0"/>
              <w:jc w:val="center"/>
              <w:rPr>
                <w:bCs/>
                <w:sz w:val="16"/>
                <w:szCs w:val="16"/>
                <w:lang w:val="es-ES_tradnl"/>
              </w:rPr>
            </w:pPr>
          </w:p>
          <w:p w:rsidR="00B070BF" w:rsidRPr="009577DE" w:rsidRDefault="00B070BF" w:rsidP="00C33D4A">
            <w:pPr>
              <w:widowControl w:val="0"/>
              <w:jc w:val="center"/>
              <w:rPr>
                <w:bCs/>
                <w:sz w:val="16"/>
                <w:szCs w:val="16"/>
                <w:lang w:val="es-ES_tradnl"/>
              </w:rPr>
            </w:pPr>
          </w:p>
        </w:tc>
      </w:tr>
      <w:tr w:rsidR="00B070BF" w:rsidRPr="009577DE" w:rsidTr="00C33D4A">
        <w:trPr>
          <w:cantSplit/>
        </w:trPr>
        <w:tc>
          <w:tcPr>
            <w:tcW w:w="5000" w:type="pct"/>
            <w:gridSpan w:val="5"/>
            <w:tcBorders>
              <w:top w:val="single" w:sz="4" w:space="0" w:color="auto"/>
              <w:bottom w:val="single" w:sz="4" w:space="0" w:color="auto"/>
            </w:tcBorders>
            <w:shd w:val="clear" w:color="auto" w:fill="CCFFFF"/>
            <w:vAlign w:val="center"/>
          </w:tcPr>
          <w:p w:rsidR="00B070BF" w:rsidRPr="009577DE" w:rsidRDefault="00B070BF" w:rsidP="00C33D4A">
            <w:pPr>
              <w:widowControl w:val="0"/>
              <w:spacing w:before="120" w:after="120"/>
              <w:ind w:left="1735" w:hanging="1735"/>
              <w:rPr>
                <w:b/>
                <w:bCs/>
                <w:sz w:val="16"/>
                <w:szCs w:val="16"/>
                <w:lang w:val="es-ES_tradnl"/>
              </w:rPr>
            </w:pPr>
            <w:r w:rsidRPr="009577DE">
              <w:rPr>
                <w:b/>
                <w:bCs/>
                <w:sz w:val="16"/>
                <w:szCs w:val="16"/>
                <w:lang w:val="es-ES_tradnl"/>
              </w:rPr>
              <w:t>Resultado previsto:</w:t>
            </w:r>
            <w:r w:rsidRPr="009577DE">
              <w:rPr>
                <w:b/>
                <w:bCs/>
                <w:sz w:val="16"/>
                <w:szCs w:val="16"/>
                <w:lang w:val="es-ES_tradnl"/>
              </w:rPr>
              <w:tab/>
            </w:r>
            <w:r w:rsidRPr="009577DE">
              <w:rPr>
                <w:bCs/>
                <w:sz w:val="16"/>
                <w:szCs w:val="16"/>
                <w:lang w:val="es-ES_tradnl"/>
              </w:rPr>
              <w:t xml:space="preserve"> Políticas nacionales de innovación y de P.I. claramente definidas y coherentes, estrategias y planes de desarrollo que estén en sintonía con las metas y los objetivos nacionales de desarrollo.</w:t>
            </w:r>
          </w:p>
        </w:tc>
      </w:tr>
      <w:tr w:rsidR="00B070BF" w:rsidRPr="009577DE" w:rsidTr="00C33D4A">
        <w:trPr>
          <w:cantSplit/>
        </w:trPr>
        <w:tc>
          <w:tcPr>
            <w:tcW w:w="874" w:type="pct"/>
            <w:tcBorders>
              <w:top w:val="single" w:sz="4" w:space="0" w:color="auto"/>
            </w:tcBorders>
            <w:shd w:val="clear" w:color="auto" w:fill="auto"/>
            <w:vAlign w:val="center"/>
          </w:tcPr>
          <w:p w:rsidR="00B070BF" w:rsidRPr="009577DE" w:rsidRDefault="00B070BF" w:rsidP="00C33D4A">
            <w:pPr>
              <w:widowControl w:val="0"/>
              <w:spacing w:after="120"/>
              <w:rPr>
                <w:sz w:val="16"/>
                <w:szCs w:val="16"/>
                <w:lang w:val="es-ES_tradnl"/>
              </w:rPr>
            </w:pPr>
            <w:r w:rsidRPr="009577DE">
              <w:rPr>
                <w:b/>
                <w:bCs/>
                <w:sz w:val="16"/>
                <w:szCs w:val="16"/>
                <w:lang w:val="es-ES_tradnl"/>
              </w:rPr>
              <w:t>Indicadores de rendimiento</w:t>
            </w:r>
          </w:p>
        </w:tc>
        <w:tc>
          <w:tcPr>
            <w:tcW w:w="805" w:type="pct"/>
            <w:tcBorders>
              <w:top w:val="single" w:sz="4" w:space="0" w:color="auto"/>
            </w:tcBorders>
            <w:shd w:val="clear" w:color="auto" w:fill="C0C0C0"/>
          </w:tcPr>
          <w:p w:rsidR="00B070BF" w:rsidRPr="009577DE" w:rsidRDefault="00B070BF" w:rsidP="00C33D4A">
            <w:pPr>
              <w:widowControl w:val="0"/>
              <w:spacing w:after="120"/>
              <w:rPr>
                <w:b/>
                <w:bCs/>
                <w:sz w:val="16"/>
                <w:szCs w:val="16"/>
                <w:lang w:val="es-ES_tradnl"/>
              </w:rPr>
            </w:pPr>
            <w:r w:rsidRPr="009577DE">
              <w:rPr>
                <w:b/>
                <w:bCs/>
                <w:sz w:val="16"/>
                <w:szCs w:val="16"/>
                <w:lang w:val="es-ES_tradnl"/>
              </w:rPr>
              <w:t>Referencia (</w:t>
            </w:r>
            <w:proofErr w:type="spellStart"/>
            <w:r w:rsidRPr="009577DE">
              <w:rPr>
                <w:b/>
                <w:bCs/>
                <w:sz w:val="16"/>
                <w:szCs w:val="16"/>
                <w:lang w:val="es-ES_tradnl"/>
              </w:rPr>
              <w:t>Presup</w:t>
            </w:r>
            <w:proofErr w:type="spellEnd"/>
            <w:r w:rsidRPr="009577DE">
              <w:rPr>
                <w:b/>
                <w:bCs/>
                <w:sz w:val="16"/>
                <w:szCs w:val="16"/>
                <w:lang w:val="es-ES_tradnl"/>
              </w:rPr>
              <w:t xml:space="preserve">. por </w:t>
            </w:r>
            <w:proofErr w:type="spellStart"/>
            <w:r w:rsidRPr="009577DE">
              <w:rPr>
                <w:b/>
                <w:bCs/>
                <w:sz w:val="16"/>
                <w:szCs w:val="16"/>
                <w:lang w:val="es-ES_tradnl"/>
              </w:rPr>
              <w:t>prog</w:t>
            </w:r>
            <w:proofErr w:type="spellEnd"/>
            <w:r w:rsidRPr="009577DE">
              <w:rPr>
                <w:b/>
                <w:bCs/>
                <w:sz w:val="16"/>
                <w:szCs w:val="16"/>
                <w:lang w:val="es-ES_tradnl"/>
              </w:rPr>
              <w:t>. 2012/13)</w:t>
            </w:r>
          </w:p>
        </w:tc>
        <w:tc>
          <w:tcPr>
            <w:tcW w:w="916" w:type="pct"/>
            <w:tcBorders>
              <w:top w:val="single" w:sz="4" w:space="0" w:color="auto"/>
            </w:tcBorders>
            <w:shd w:val="clear" w:color="auto" w:fill="auto"/>
            <w:tcMar>
              <w:top w:w="110" w:type="dxa"/>
            </w:tcMar>
            <w:vAlign w:val="center"/>
          </w:tcPr>
          <w:p w:rsidR="00B070BF" w:rsidRPr="009577DE" w:rsidRDefault="00B070BF" w:rsidP="00C33D4A">
            <w:pPr>
              <w:widowControl w:val="0"/>
              <w:spacing w:after="120"/>
              <w:rPr>
                <w:b/>
                <w:sz w:val="16"/>
                <w:szCs w:val="16"/>
                <w:lang w:val="es-ES_tradnl"/>
              </w:rPr>
            </w:pPr>
            <w:r w:rsidRPr="00BF138D">
              <w:rPr>
                <w:b/>
                <w:color w:val="993300"/>
                <w:sz w:val="16"/>
                <w:szCs w:val="16"/>
                <w:lang w:val="es-ES_tradnl"/>
              </w:rPr>
              <w:t>Referencia actualizada a finales de 2011</w:t>
            </w:r>
            <w:r w:rsidRPr="009577DE">
              <w:rPr>
                <w:b/>
                <w:sz w:val="16"/>
                <w:szCs w:val="16"/>
                <w:lang w:val="es-ES_tradnl"/>
              </w:rPr>
              <w:t xml:space="preserve"> </w:t>
            </w:r>
          </w:p>
        </w:tc>
        <w:tc>
          <w:tcPr>
            <w:tcW w:w="1848" w:type="pct"/>
            <w:tcBorders>
              <w:top w:val="single" w:sz="4" w:space="0" w:color="auto"/>
            </w:tcBorders>
            <w:shd w:val="clear" w:color="auto" w:fill="FFFFFF"/>
            <w:tcMar>
              <w:top w:w="110" w:type="dxa"/>
            </w:tcMar>
            <w:vAlign w:val="center"/>
          </w:tcPr>
          <w:p w:rsidR="00B070BF" w:rsidRPr="009577DE" w:rsidRDefault="00B070BF" w:rsidP="00C33D4A">
            <w:pPr>
              <w:widowControl w:val="0"/>
              <w:spacing w:after="120"/>
              <w:rPr>
                <w:sz w:val="16"/>
                <w:szCs w:val="16"/>
                <w:lang w:val="es-ES_tradnl"/>
              </w:rPr>
            </w:pPr>
            <w:r w:rsidRPr="009577DE">
              <w:rPr>
                <w:b/>
                <w:bCs/>
                <w:sz w:val="16"/>
                <w:szCs w:val="16"/>
                <w:lang w:val="es-ES_tradnl"/>
              </w:rPr>
              <w:t>Datos sobre el rendimiento</w:t>
            </w:r>
          </w:p>
        </w:tc>
        <w:tc>
          <w:tcPr>
            <w:tcW w:w="557" w:type="pct"/>
            <w:tcBorders>
              <w:top w:val="single" w:sz="4" w:space="0" w:color="auto"/>
            </w:tcBorders>
            <w:shd w:val="clear" w:color="auto" w:fill="auto"/>
            <w:tcMar>
              <w:top w:w="110" w:type="dxa"/>
            </w:tcMar>
            <w:vAlign w:val="center"/>
          </w:tcPr>
          <w:p w:rsidR="00B070BF" w:rsidRPr="009577DE" w:rsidRDefault="00B070BF" w:rsidP="00C33D4A">
            <w:pPr>
              <w:widowControl w:val="0"/>
              <w:spacing w:after="120"/>
              <w:jc w:val="center"/>
              <w:rPr>
                <w:b/>
                <w:bCs/>
                <w:sz w:val="16"/>
                <w:szCs w:val="16"/>
                <w:lang w:val="es-ES_tradnl"/>
              </w:rPr>
            </w:pPr>
            <w:r w:rsidRPr="009577DE">
              <w:rPr>
                <w:b/>
                <w:bCs/>
                <w:sz w:val="16"/>
                <w:szCs w:val="16"/>
                <w:lang w:val="es-ES_tradnl"/>
              </w:rPr>
              <w:t>Clave de colores</w:t>
            </w:r>
          </w:p>
        </w:tc>
      </w:tr>
      <w:tr w:rsidR="00B070BF" w:rsidRPr="009577DE" w:rsidTr="00C33D4A">
        <w:trPr>
          <w:cantSplit/>
        </w:trPr>
        <w:tc>
          <w:tcPr>
            <w:tcW w:w="874" w:type="pct"/>
            <w:tcBorders>
              <w:bottom w:val="single" w:sz="4" w:space="0" w:color="auto"/>
            </w:tcBorders>
            <w:shd w:val="clear" w:color="auto" w:fill="auto"/>
          </w:tcPr>
          <w:p w:rsidR="00B070BF" w:rsidRPr="009577DE" w:rsidRDefault="00B070BF" w:rsidP="00C33D4A">
            <w:pPr>
              <w:widowControl w:val="0"/>
              <w:rPr>
                <w:sz w:val="16"/>
                <w:szCs w:val="16"/>
                <w:lang w:val="es-ES_tradnl" w:bidi="th-TH"/>
              </w:rPr>
            </w:pPr>
            <w:r w:rsidRPr="009577DE">
              <w:rPr>
                <w:sz w:val="16"/>
                <w:szCs w:val="16"/>
                <w:lang w:val="es-ES_tradnl" w:bidi="th-TH"/>
              </w:rPr>
              <w:t xml:space="preserve">Número de estrategias nacionales de P.I. que tienen un componente dedicado a la innovación y a la tecnología. </w:t>
            </w:r>
          </w:p>
          <w:p w:rsidR="00B070BF" w:rsidRPr="009577DE" w:rsidRDefault="00B070BF" w:rsidP="00C33D4A">
            <w:pPr>
              <w:widowControl w:val="0"/>
              <w:rPr>
                <w:sz w:val="16"/>
                <w:szCs w:val="16"/>
                <w:lang w:val="es-ES_tradnl" w:bidi="th-TH"/>
              </w:rPr>
            </w:pPr>
          </w:p>
        </w:tc>
        <w:tc>
          <w:tcPr>
            <w:tcW w:w="805" w:type="pct"/>
            <w:tcBorders>
              <w:bottom w:val="single" w:sz="4" w:space="0" w:color="auto"/>
            </w:tcBorders>
            <w:shd w:val="clear" w:color="auto" w:fill="C0C0C0"/>
          </w:tcPr>
          <w:p w:rsidR="00B070BF" w:rsidRPr="009577DE" w:rsidRDefault="00B070BF" w:rsidP="00C33D4A">
            <w:pPr>
              <w:widowControl w:val="0"/>
              <w:rPr>
                <w:sz w:val="16"/>
                <w:szCs w:val="16"/>
                <w:lang w:val="es-ES_tradnl" w:bidi="th-TH"/>
              </w:rPr>
            </w:pPr>
            <w:r w:rsidRPr="009577DE">
              <w:rPr>
                <w:sz w:val="16"/>
                <w:szCs w:val="16"/>
                <w:lang w:val="es-ES_tradnl" w:bidi="th-TH"/>
              </w:rPr>
              <w:t>Contribución en materia de innovación y tecnología a tres planes estratégicos nacionales.</w:t>
            </w:r>
          </w:p>
        </w:tc>
        <w:tc>
          <w:tcPr>
            <w:tcW w:w="916" w:type="pct"/>
            <w:tcBorders>
              <w:bottom w:val="single" w:sz="4" w:space="0" w:color="auto"/>
            </w:tcBorders>
            <w:shd w:val="clear" w:color="auto" w:fill="auto"/>
            <w:tcMar>
              <w:top w:w="110" w:type="dxa"/>
            </w:tcMar>
          </w:tcPr>
          <w:p w:rsidR="00B070BF" w:rsidRPr="009577DE" w:rsidRDefault="00B070BF" w:rsidP="00C33D4A">
            <w:pPr>
              <w:widowControl w:val="0"/>
              <w:rPr>
                <w:bCs/>
                <w:sz w:val="16"/>
                <w:szCs w:val="16"/>
                <w:lang w:val="es-ES_tradnl" w:bidi="th-TH"/>
              </w:rPr>
            </w:pPr>
          </w:p>
        </w:tc>
        <w:tc>
          <w:tcPr>
            <w:tcW w:w="1848" w:type="pct"/>
            <w:tcBorders>
              <w:bottom w:val="single" w:sz="4" w:space="0" w:color="auto"/>
            </w:tcBorders>
            <w:shd w:val="clear" w:color="auto" w:fill="FFFFFF"/>
            <w:tcMar>
              <w:top w:w="110" w:type="dxa"/>
            </w:tcMar>
          </w:tcPr>
          <w:p w:rsidR="00B070BF" w:rsidRPr="009577DE" w:rsidRDefault="00B070BF" w:rsidP="00C33D4A">
            <w:pPr>
              <w:widowControl w:val="0"/>
              <w:rPr>
                <w:bCs/>
                <w:sz w:val="16"/>
                <w:szCs w:val="16"/>
                <w:lang w:val="es-ES_tradnl" w:bidi="th-TH"/>
              </w:rPr>
            </w:pPr>
            <w:r w:rsidRPr="009577DE">
              <w:rPr>
                <w:bCs/>
                <w:sz w:val="16"/>
                <w:szCs w:val="16"/>
                <w:lang w:val="es-ES_tradnl" w:bidi="th-TH"/>
              </w:rPr>
              <w:t xml:space="preserve">Ninguna </w:t>
            </w:r>
          </w:p>
        </w:tc>
        <w:tc>
          <w:tcPr>
            <w:tcW w:w="557" w:type="pct"/>
            <w:tcBorders>
              <w:bottom w:val="single" w:sz="4" w:space="0" w:color="auto"/>
            </w:tcBorders>
            <w:shd w:val="clear" w:color="auto" w:fill="auto"/>
            <w:tcMar>
              <w:top w:w="110" w:type="dxa"/>
            </w:tcMar>
          </w:tcPr>
          <w:p w:rsidR="00B070BF" w:rsidRPr="009577DE" w:rsidRDefault="00B070BF" w:rsidP="00C33D4A">
            <w:pPr>
              <w:widowControl w:val="0"/>
              <w:jc w:val="center"/>
              <w:rPr>
                <w:b/>
                <w:sz w:val="16"/>
                <w:szCs w:val="16"/>
                <w:lang w:val="es-ES_tradnl"/>
              </w:rPr>
            </w:pPr>
            <w:r w:rsidRPr="009577DE">
              <w:rPr>
                <w:b/>
                <w:color w:val="FF0000"/>
                <w:sz w:val="16"/>
                <w:szCs w:val="16"/>
                <w:lang w:val="es-ES_tradnl"/>
              </w:rPr>
              <w:t>Sin avances significativos</w:t>
            </w:r>
          </w:p>
          <w:p w:rsidR="00B070BF" w:rsidRPr="009577DE" w:rsidRDefault="00B070BF" w:rsidP="00C33D4A">
            <w:pPr>
              <w:widowControl w:val="0"/>
              <w:jc w:val="center"/>
              <w:rPr>
                <w:bCs/>
                <w:sz w:val="16"/>
                <w:szCs w:val="16"/>
                <w:lang w:val="es-ES_tradnl"/>
              </w:rPr>
            </w:pPr>
          </w:p>
        </w:tc>
      </w:tr>
      <w:tr w:rsidR="00B070BF" w:rsidRPr="009577DE" w:rsidTr="00C33D4A">
        <w:trPr>
          <w:cantSplit/>
        </w:trPr>
        <w:tc>
          <w:tcPr>
            <w:tcW w:w="5000" w:type="pct"/>
            <w:gridSpan w:val="5"/>
            <w:tcBorders>
              <w:top w:val="single" w:sz="4" w:space="0" w:color="auto"/>
              <w:bottom w:val="single" w:sz="4" w:space="0" w:color="auto"/>
            </w:tcBorders>
            <w:shd w:val="clear" w:color="auto" w:fill="CCFFFF"/>
            <w:vAlign w:val="center"/>
          </w:tcPr>
          <w:p w:rsidR="00B070BF" w:rsidRPr="009577DE" w:rsidRDefault="00B070BF" w:rsidP="00C33D4A">
            <w:pPr>
              <w:widowControl w:val="0"/>
              <w:spacing w:before="120" w:after="120"/>
              <w:ind w:left="1735" w:hanging="1735"/>
              <w:rPr>
                <w:b/>
                <w:bCs/>
                <w:sz w:val="16"/>
                <w:szCs w:val="16"/>
                <w:lang w:val="es-ES_tradnl"/>
              </w:rPr>
            </w:pPr>
            <w:r w:rsidRPr="009577DE">
              <w:rPr>
                <w:b/>
                <w:bCs/>
                <w:sz w:val="16"/>
                <w:szCs w:val="16"/>
                <w:lang w:val="es-ES_tradnl"/>
              </w:rPr>
              <w:lastRenderedPageBreak/>
              <w:t>Resultado previsto:</w:t>
            </w:r>
            <w:r w:rsidRPr="009577DE">
              <w:rPr>
                <w:b/>
                <w:bCs/>
                <w:sz w:val="16"/>
                <w:szCs w:val="16"/>
                <w:lang w:val="es-ES_tradnl"/>
              </w:rPr>
              <w:tab/>
            </w:r>
            <w:r w:rsidRPr="009577DE">
              <w:rPr>
                <w:bCs/>
                <w:sz w:val="16"/>
                <w:szCs w:val="16"/>
                <w:lang w:val="es-ES_tradnl"/>
              </w:rPr>
              <w:t xml:space="preserve"> Mejora de las capacidades en el ámbito de los recursos humanos para hacer frente al amplio espectro de exigencias que supone la utilización eficaz de la P.I. en aras del desarrollo en los países en desarrollo, PMA y países con economías en transición.</w:t>
            </w:r>
          </w:p>
        </w:tc>
      </w:tr>
      <w:tr w:rsidR="00B070BF" w:rsidRPr="009577DE" w:rsidTr="00C33D4A">
        <w:trPr>
          <w:cantSplit/>
        </w:trPr>
        <w:tc>
          <w:tcPr>
            <w:tcW w:w="874" w:type="pct"/>
            <w:tcBorders>
              <w:top w:val="single" w:sz="4" w:space="0" w:color="auto"/>
            </w:tcBorders>
            <w:shd w:val="clear" w:color="auto" w:fill="auto"/>
            <w:vAlign w:val="center"/>
          </w:tcPr>
          <w:p w:rsidR="00B070BF" w:rsidRPr="009577DE" w:rsidRDefault="00B070BF" w:rsidP="00C33D4A">
            <w:pPr>
              <w:widowControl w:val="0"/>
              <w:spacing w:after="120"/>
              <w:rPr>
                <w:sz w:val="16"/>
                <w:szCs w:val="16"/>
                <w:lang w:val="es-ES_tradnl"/>
              </w:rPr>
            </w:pPr>
            <w:r w:rsidRPr="009577DE">
              <w:rPr>
                <w:b/>
                <w:bCs/>
                <w:sz w:val="16"/>
                <w:szCs w:val="16"/>
                <w:lang w:val="es-ES_tradnl"/>
              </w:rPr>
              <w:t>Indicadores de rendimiento</w:t>
            </w:r>
          </w:p>
        </w:tc>
        <w:tc>
          <w:tcPr>
            <w:tcW w:w="805" w:type="pct"/>
            <w:tcBorders>
              <w:top w:val="single" w:sz="4" w:space="0" w:color="auto"/>
            </w:tcBorders>
            <w:shd w:val="clear" w:color="auto" w:fill="C0C0C0"/>
          </w:tcPr>
          <w:p w:rsidR="00B070BF" w:rsidRPr="009577DE" w:rsidRDefault="00B070BF" w:rsidP="00C33D4A">
            <w:pPr>
              <w:widowControl w:val="0"/>
              <w:spacing w:after="120"/>
              <w:rPr>
                <w:b/>
                <w:bCs/>
                <w:sz w:val="16"/>
                <w:szCs w:val="16"/>
                <w:lang w:val="es-ES_tradnl"/>
              </w:rPr>
            </w:pPr>
            <w:r w:rsidRPr="009577DE">
              <w:rPr>
                <w:b/>
                <w:bCs/>
                <w:sz w:val="16"/>
                <w:szCs w:val="16"/>
                <w:lang w:val="es-ES_tradnl"/>
              </w:rPr>
              <w:t>Referencia (</w:t>
            </w:r>
            <w:proofErr w:type="spellStart"/>
            <w:r w:rsidRPr="009577DE">
              <w:rPr>
                <w:b/>
                <w:bCs/>
                <w:sz w:val="16"/>
                <w:szCs w:val="16"/>
                <w:lang w:val="es-ES_tradnl"/>
              </w:rPr>
              <w:t>Presup</w:t>
            </w:r>
            <w:proofErr w:type="spellEnd"/>
            <w:r w:rsidRPr="009577DE">
              <w:rPr>
                <w:b/>
                <w:bCs/>
                <w:sz w:val="16"/>
                <w:szCs w:val="16"/>
                <w:lang w:val="es-ES_tradnl"/>
              </w:rPr>
              <w:t xml:space="preserve">. por </w:t>
            </w:r>
            <w:proofErr w:type="spellStart"/>
            <w:r w:rsidRPr="009577DE">
              <w:rPr>
                <w:b/>
                <w:bCs/>
                <w:sz w:val="16"/>
                <w:szCs w:val="16"/>
                <w:lang w:val="es-ES_tradnl"/>
              </w:rPr>
              <w:t>prog</w:t>
            </w:r>
            <w:proofErr w:type="spellEnd"/>
            <w:r w:rsidRPr="009577DE">
              <w:rPr>
                <w:b/>
                <w:bCs/>
                <w:sz w:val="16"/>
                <w:szCs w:val="16"/>
                <w:lang w:val="es-ES_tradnl"/>
              </w:rPr>
              <w:t>. 2012/13)</w:t>
            </w:r>
          </w:p>
        </w:tc>
        <w:tc>
          <w:tcPr>
            <w:tcW w:w="916" w:type="pct"/>
            <w:tcBorders>
              <w:top w:val="single" w:sz="4" w:space="0" w:color="auto"/>
            </w:tcBorders>
            <w:shd w:val="clear" w:color="auto" w:fill="auto"/>
            <w:tcMar>
              <w:top w:w="110" w:type="dxa"/>
            </w:tcMar>
            <w:vAlign w:val="center"/>
          </w:tcPr>
          <w:p w:rsidR="00B070BF" w:rsidRPr="009577DE" w:rsidRDefault="00B070BF" w:rsidP="00C33D4A">
            <w:pPr>
              <w:widowControl w:val="0"/>
              <w:spacing w:after="120"/>
              <w:rPr>
                <w:b/>
                <w:sz w:val="16"/>
                <w:szCs w:val="16"/>
                <w:lang w:val="es-ES_tradnl"/>
              </w:rPr>
            </w:pPr>
            <w:r w:rsidRPr="00BF138D">
              <w:rPr>
                <w:b/>
                <w:color w:val="993300"/>
                <w:sz w:val="16"/>
                <w:szCs w:val="16"/>
                <w:lang w:val="es-ES_tradnl"/>
              </w:rPr>
              <w:t>Referencia actualizada a finales de 2011</w:t>
            </w:r>
            <w:r w:rsidRPr="009577DE">
              <w:rPr>
                <w:b/>
                <w:sz w:val="16"/>
                <w:szCs w:val="16"/>
                <w:lang w:val="es-ES_tradnl"/>
              </w:rPr>
              <w:t xml:space="preserve"> </w:t>
            </w:r>
          </w:p>
        </w:tc>
        <w:tc>
          <w:tcPr>
            <w:tcW w:w="1848" w:type="pct"/>
            <w:tcBorders>
              <w:top w:val="single" w:sz="4" w:space="0" w:color="auto"/>
            </w:tcBorders>
            <w:shd w:val="clear" w:color="auto" w:fill="FFFFFF"/>
            <w:tcMar>
              <w:top w:w="110" w:type="dxa"/>
            </w:tcMar>
            <w:vAlign w:val="center"/>
          </w:tcPr>
          <w:p w:rsidR="00B070BF" w:rsidRPr="009577DE" w:rsidRDefault="00B070BF" w:rsidP="00C33D4A">
            <w:pPr>
              <w:widowControl w:val="0"/>
              <w:spacing w:after="120"/>
              <w:rPr>
                <w:sz w:val="16"/>
                <w:szCs w:val="16"/>
                <w:lang w:val="es-ES_tradnl"/>
              </w:rPr>
            </w:pPr>
            <w:r w:rsidRPr="009577DE">
              <w:rPr>
                <w:b/>
                <w:bCs/>
                <w:sz w:val="16"/>
                <w:szCs w:val="16"/>
                <w:lang w:val="es-ES_tradnl"/>
              </w:rPr>
              <w:t>Datos sobre el rendimiento</w:t>
            </w:r>
          </w:p>
        </w:tc>
        <w:tc>
          <w:tcPr>
            <w:tcW w:w="557" w:type="pct"/>
            <w:tcBorders>
              <w:top w:val="single" w:sz="4" w:space="0" w:color="auto"/>
            </w:tcBorders>
            <w:shd w:val="clear" w:color="auto" w:fill="auto"/>
            <w:tcMar>
              <w:top w:w="110" w:type="dxa"/>
            </w:tcMar>
            <w:vAlign w:val="center"/>
          </w:tcPr>
          <w:p w:rsidR="00B070BF" w:rsidRPr="009577DE" w:rsidRDefault="00B070BF" w:rsidP="00C33D4A">
            <w:pPr>
              <w:widowControl w:val="0"/>
              <w:spacing w:after="120"/>
              <w:jc w:val="center"/>
              <w:rPr>
                <w:b/>
                <w:bCs/>
                <w:sz w:val="16"/>
                <w:szCs w:val="16"/>
                <w:lang w:val="es-ES_tradnl"/>
              </w:rPr>
            </w:pPr>
            <w:r w:rsidRPr="009577DE">
              <w:rPr>
                <w:b/>
                <w:bCs/>
                <w:sz w:val="16"/>
                <w:szCs w:val="16"/>
                <w:lang w:val="es-ES_tradnl"/>
              </w:rPr>
              <w:t>Clave de colores</w:t>
            </w:r>
          </w:p>
        </w:tc>
      </w:tr>
      <w:tr w:rsidR="00B070BF" w:rsidRPr="009577DE" w:rsidTr="00C33D4A">
        <w:trPr>
          <w:cantSplit/>
        </w:trPr>
        <w:tc>
          <w:tcPr>
            <w:tcW w:w="874" w:type="pct"/>
            <w:shd w:val="clear" w:color="auto" w:fill="auto"/>
          </w:tcPr>
          <w:p w:rsidR="00B070BF" w:rsidRPr="009577DE" w:rsidRDefault="00B070BF" w:rsidP="00C33D4A">
            <w:pPr>
              <w:widowControl w:val="0"/>
              <w:rPr>
                <w:sz w:val="16"/>
                <w:szCs w:val="16"/>
                <w:lang w:val="es-ES_tradnl" w:bidi="th-TH"/>
              </w:rPr>
            </w:pPr>
            <w:r w:rsidRPr="009577DE">
              <w:rPr>
                <w:sz w:val="16"/>
                <w:szCs w:val="16"/>
                <w:lang w:val="es-ES_tradnl" w:bidi="th-TH"/>
              </w:rPr>
              <w:t>Porcentaje de participantes satisfechos con la calidad de los talleres y seminarios sobre la innovación y su comercialización.</w:t>
            </w:r>
          </w:p>
          <w:p w:rsidR="00B070BF" w:rsidRPr="009577DE" w:rsidRDefault="00B070BF" w:rsidP="00C33D4A">
            <w:pPr>
              <w:widowControl w:val="0"/>
              <w:rPr>
                <w:sz w:val="16"/>
                <w:szCs w:val="16"/>
                <w:lang w:val="es-ES_tradnl" w:bidi="th-TH"/>
              </w:rPr>
            </w:pPr>
          </w:p>
        </w:tc>
        <w:tc>
          <w:tcPr>
            <w:tcW w:w="805" w:type="pct"/>
            <w:shd w:val="clear" w:color="auto" w:fill="C0C0C0"/>
          </w:tcPr>
          <w:p w:rsidR="00B070BF" w:rsidRPr="009577DE" w:rsidRDefault="00B070BF" w:rsidP="00C33D4A">
            <w:pPr>
              <w:widowControl w:val="0"/>
              <w:rPr>
                <w:sz w:val="16"/>
                <w:szCs w:val="16"/>
                <w:lang w:val="es-ES_tradnl" w:bidi="th-TH"/>
              </w:rPr>
            </w:pPr>
            <w:r w:rsidRPr="009577DE">
              <w:rPr>
                <w:sz w:val="16"/>
                <w:szCs w:val="16"/>
                <w:lang w:val="es-ES_tradnl" w:bidi="th-TH"/>
              </w:rPr>
              <w:t>Se dispone de información general, pero no de datos específicos.</w:t>
            </w:r>
          </w:p>
        </w:tc>
        <w:tc>
          <w:tcPr>
            <w:tcW w:w="916" w:type="pct"/>
            <w:shd w:val="clear" w:color="auto" w:fill="auto"/>
            <w:tcMar>
              <w:top w:w="110" w:type="dxa"/>
            </w:tcMar>
          </w:tcPr>
          <w:p w:rsidR="00B070BF" w:rsidRPr="009577DE" w:rsidRDefault="00B070BF" w:rsidP="00C33D4A">
            <w:pPr>
              <w:widowControl w:val="0"/>
              <w:rPr>
                <w:sz w:val="16"/>
                <w:szCs w:val="16"/>
                <w:lang w:val="es-ES_tradnl" w:bidi="th-TH"/>
              </w:rPr>
            </w:pPr>
          </w:p>
        </w:tc>
        <w:tc>
          <w:tcPr>
            <w:tcW w:w="1848" w:type="pct"/>
            <w:shd w:val="clear" w:color="auto" w:fill="FFFFFF"/>
            <w:tcMar>
              <w:top w:w="110" w:type="dxa"/>
            </w:tcMar>
          </w:tcPr>
          <w:p w:rsidR="00B070BF" w:rsidRPr="009577DE" w:rsidRDefault="00B070BF" w:rsidP="00C33D4A">
            <w:pPr>
              <w:widowControl w:val="0"/>
              <w:rPr>
                <w:sz w:val="16"/>
                <w:szCs w:val="16"/>
                <w:lang w:val="es-ES_tradnl" w:bidi="th-TH"/>
              </w:rPr>
            </w:pPr>
            <w:r w:rsidRPr="009577DE">
              <w:rPr>
                <w:sz w:val="16"/>
                <w:szCs w:val="16"/>
                <w:lang w:val="es-ES_tradnl" w:bidi="th-TH"/>
              </w:rPr>
              <w:t xml:space="preserve">El 85% de los participantes entrevistados estaba satisfecho con la calidad de los talleres y la formación. </w:t>
            </w:r>
          </w:p>
          <w:p w:rsidR="00B070BF" w:rsidRPr="009577DE" w:rsidRDefault="00B070BF" w:rsidP="00C33D4A">
            <w:pPr>
              <w:widowControl w:val="0"/>
              <w:rPr>
                <w:sz w:val="16"/>
                <w:szCs w:val="16"/>
                <w:lang w:val="es-ES_tradnl" w:bidi="th-TH"/>
              </w:rPr>
            </w:pPr>
          </w:p>
          <w:p w:rsidR="00B070BF" w:rsidRPr="009577DE" w:rsidRDefault="00B070BF" w:rsidP="00C33D4A">
            <w:pPr>
              <w:widowControl w:val="0"/>
              <w:rPr>
                <w:sz w:val="16"/>
                <w:szCs w:val="16"/>
                <w:lang w:val="es-ES_tradnl" w:bidi="th-TH"/>
              </w:rPr>
            </w:pPr>
          </w:p>
          <w:p w:rsidR="00B070BF" w:rsidRPr="009577DE" w:rsidRDefault="00B070BF" w:rsidP="00C33D4A">
            <w:pPr>
              <w:widowControl w:val="0"/>
              <w:rPr>
                <w:sz w:val="16"/>
                <w:szCs w:val="16"/>
                <w:lang w:val="es-ES_tradnl" w:bidi="th-TH"/>
              </w:rPr>
            </w:pPr>
          </w:p>
          <w:p w:rsidR="00B070BF" w:rsidRPr="009577DE" w:rsidRDefault="00B070BF" w:rsidP="00C33D4A">
            <w:pPr>
              <w:widowControl w:val="0"/>
              <w:rPr>
                <w:sz w:val="16"/>
                <w:szCs w:val="16"/>
                <w:lang w:val="es-ES_tradnl" w:bidi="th-TH"/>
              </w:rPr>
            </w:pPr>
          </w:p>
          <w:p w:rsidR="00B070BF" w:rsidRPr="009577DE" w:rsidRDefault="00B070BF" w:rsidP="00C33D4A">
            <w:pPr>
              <w:widowControl w:val="0"/>
              <w:rPr>
                <w:sz w:val="16"/>
                <w:szCs w:val="16"/>
                <w:lang w:val="es-ES_tradnl"/>
              </w:rPr>
            </w:pPr>
          </w:p>
        </w:tc>
        <w:tc>
          <w:tcPr>
            <w:tcW w:w="557" w:type="pct"/>
            <w:shd w:val="clear" w:color="auto" w:fill="auto"/>
            <w:tcMar>
              <w:top w:w="110" w:type="dxa"/>
            </w:tcMar>
          </w:tcPr>
          <w:p w:rsidR="00B070BF" w:rsidRPr="009577DE" w:rsidRDefault="00B070BF" w:rsidP="00C33D4A">
            <w:pPr>
              <w:widowControl w:val="0"/>
              <w:jc w:val="center"/>
              <w:rPr>
                <w:b/>
                <w:sz w:val="16"/>
                <w:szCs w:val="16"/>
                <w:lang w:val="es-ES_tradnl"/>
              </w:rPr>
            </w:pPr>
            <w:r w:rsidRPr="009577DE">
              <w:rPr>
                <w:b/>
                <w:color w:val="008000"/>
                <w:sz w:val="16"/>
                <w:szCs w:val="16"/>
                <w:lang w:val="es-ES_tradnl"/>
              </w:rPr>
              <w:t>Progresa con normalidad</w:t>
            </w:r>
          </w:p>
          <w:p w:rsidR="00B070BF" w:rsidRPr="009577DE" w:rsidRDefault="00B070BF" w:rsidP="00C33D4A">
            <w:pPr>
              <w:widowControl w:val="0"/>
              <w:jc w:val="center"/>
              <w:rPr>
                <w:bCs/>
                <w:sz w:val="16"/>
                <w:szCs w:val="16"/>
                <w:lang w:val="es-ES_tradnl"/>
              </w:rPr>
            </w:pPr>
          </w:p>
          <w:p w:rsidR="00B070BF" w:rsidRPr="009577DE" w:rsidRDefault="00B070BF" w:rsidP="00C33D4A">
            <w:pPr>
              <w:widowControl w:val="0"/>
              <w:jc w:val="center"/>
              <w:rPr>
                <w:bCs/>
                <w:sz w:val="16"/>
                <w:szCs w:val="16"/>
                <w:lang w:val="es-ES_tradnl"/>
              </w:rPr>
            </w:pPr>
          </w:p>
        </w:tc>
      </w:tr>
      <w:tr w:rsidR="00B070BF" w:rsidRPr="009577DE" w:rsidTr="00C33D4A">
        <w:trPr>
          <w:cantSplit/>
        </w:trPr>
        <w:tc>
          <w:tcPr>
            <w:tcW w:w="874" w:type="pct"/>
            <w:tcBorders>
              <w:bottom w:val="single" w:sz="4" w:space="0" w:color="auto"/>
            </w:tcBorders>
            <w:shd w:val="clear" w:color="auto" w:fill="auto"/>
          </w:tcPr>
          <w:p w:rsidR="00B070BF" w:rsidRPr="009577DE" w:rsidRDefault="00B070BF" w:rsidP="00C33D4A">
            <w:pPr>
              <w:widowControl w:val="0"/>
              <w:rPr>
                <w:sz w:val="16"/>
                <w:szCs w:val="16"/>
                <w:lang w:val="es-ES_tradnl" w:bidi="th-TH"/>
              </w:rPr>
            </w:pPr>
            <w:r w:rsidRPr="009577DE">
              <w:rPr>
                <w:sz w:val="16"/>
                <w:szCs w:val="16"/>
                <w:lang w:val="es-ES_tradnl" w:bidi="th-TH"/>
              </w:rPr>
              <w:t>Número de usuarios de países en desarrollo de herramientas, modelos y material elaborado por la OMPI en materia de innovación y su comercialización.</w:t>
            </w:r>
          </w:p>
        </w:tc>
        <w:tc>
          <w:tcPr>
            <w:tcW w:w="805" w:type="pct"/>
            <w:tcBorders>
              <w:bottom w:val="single" w:sz="4" w:space="0" w:color="auto"/>
            </w:tcBorders>
            <w:shd w:val="clear" w:color="auto" w:fill="C0C0C0"/>
          </w:tcPr>
          <w:p w:rsidR="00B070BF" w:rsidRPr="009577DE" w:rsidRDefault="00B070BF" w:rsidP="00C33D4A">
            <w:pPr>
              <w:widowControl w:val="0"/>
              <w:rPr>
                <w:sz w:val="16"/>
                <w:szCs w:val="16"/>
                <w:lang w:val="es-ES_tradnl" w:bidi="th-TH"/>
              </w:rPr>
            </w:pPr>
            <w:r w:rsidRPr="009577DE">
              <w:rPr>
                <w:sz w:val="16"/>
                <w:szCs w:val="16"/>
                <w:lang w:val="es-ES_tradnl" w:bidi="th-TH"/>
              </w:rPr>
              <w:t xml:space="preserve">2.400 usuarios. </w:t>
            </w:r>
          </w:p>
        </w:tc>
        <w:tc>
          <w:tcPr>
            <w:tcW w:w="916" w:type="pct"/>
            <w:tcBorders>
              <w:bottom w:val="single" w:sz="4" w:space="0" w:color="auto"/>
            </w:tcBorders>
            <w:shd w:val="clear" w:color="auto" w:fill="auto"/>
            <w:tcMar>
              <w:top w:w="110" w:type="dxa"/>
            </w:tcMar>
          </w:tcPr>
          <w:p w:rsidR="00B070BF" w:rsidRPr="009577DE" w:rsidRDefault="00B070BF" w:rsidP="00C33D4A">
            <w:pPr>
              <w:widowControl w:val="0"/>
              <w:rPr>
                <w:sz w:val="16"/>
                <w:szCs w:val="16"/>
                <w:lang w:val="es-ES_tradnl" w:bidi="th-TH"/>
              </w:rPr>
            </w:pPr>
            <w:r w:rsidRPr="00F2661C">
              <w:rPr>
                <w:color w:val="993300"/>
                <w:sz w:val="16"/>
                <w:szCs w:val="16"/>
                <w:lang w:val="es-ES_tradnl" w:bidi="th-TH"/>
              </w:rPr>
              <w:t>1.167 usuarios</w:t>
            </w:r>
            <w:r w:rsidRPr="009577DE">
              <w:rPr>
                <w:sz w:val="16"/>
                <w:szCs w:val="16"/>
                <w:lang w:val="es-ES_tradnl" w:bidi="th-TH"/>
              </w:rPr>
              <w:t>.</w:t>
            </w:r>
          </w:p>
        </w:tc>
        <w:tc>
          <w:tcPr>
            <w:tcW w:w="1848" w:type="pct"/>
            <w:tcBorders>
              <w:bottom w:val="single" w:sz="4" w:space="0" w:color="auto"/>
            </w:tcBorders>
            <w:shd w:val="clear" w:color="auto" w:fill="FFFFFF"/>
            <w:tcMar>
              <w:top w:w="110" w:type="dxa"/>
            </w:tcMar>
          </w:tcPr>
          <w:p w:rsidR="00B070BF" w:rsidRPr="009577DE" w:rsidRDefault="00B070BF" w:rsidP="00B070BF">
            <w:pPr>
              <w:widowControl w:val="0"/>
              <w:numPr>
                <w:ilvl w:val="0"/>
                <w:numId w:val="53"/>
              </w:numPr>
              <w:rPr>
                <w:sz w:val="16"/>
                <w:szCs w:val="16"/>
                <w:lang w:val="es-ES_tradnl" w:bidi="th-TH"/>
              </w:rPr>
            </w:pPr>
            <w:r w:rsidRPr="009577DE">
              <w:rPr>
                <w:sz w:val="16"/>
                <w:szCs w:val="16"/>
                <w:lang w:val="es-ES_tradnl" w:bidi="th-TH"/>
              </w:rPr>
              <w:t>12 talleres de redacción de patentes, seguidos de 8 sesiones prácticas de formación a distancia;</w:t>
            </w:r>
          </w:p>
          <w:p w:rsidR="00B070BF" w:rsidRPr="009577DE" w:rsidRDefault="00B070BF" w:rsidP="00B070BF">
            <w:pPr>
              <w:widowControl w:val="0"/>
              <w:numPr>
                <w:ilvl w:val="0"/>
                <w:numId w:val="52"/>
              </w:numPr>
              <w:rPr>
                <w:sz w:val="16"/>
                <w:szCs w:val="16"/>
                <w:lang w:val="es-ES_tradnl" w:bidi="th-TH"/>
              </w:rPr>
            </w:pPr>
            <w:r w:rsidRPr="009577DE">
              <w:rPr>
                <w:sz w:val="16"/>
                <w:szCs w:val="16"/>
                <w:lang w:val="es-ES_tradnl" w:bidi="th-TH"/>
              </w:rPr>
              <w:t>13 talleres sobre fomento de la innovación y la transferencia de tecnología;</w:t>
            </w:r>
          </w:p>
          <w:p w:rsidR="00B070BF" w:rsidRPr="009577DE" w:rsidRDefault="00B070BF" w:rsidP="00B070BF">
            <w:pPr>
              <w:widowControl w:val="0"/>
              <w:numPr>
                <w:ilvl w:val="0"/>
                <w:numId w:val="52"/>
              </w:numPr>
              <w:rPr>
                <w:sz w:val="16"/>
                <w:szCs w:val="16"/>
                <w:lang w:val="es-ES_tradnl" w:bidi="th-TH"/>
              </w:rPr>
            </w:pPr>
            <w:r w:rsidRPr="009577DE">
              <w:rPr>
                <w:sz w:val="16"/>
                <w:szCs w:val="16"/>
                <w:lang w:val="es-ES_tradnl" w:bidi="th-TH"/>
              </w:rPr>
              <w:t xml:space="preserve">6 programas de formación sobre negociación de licencias tecnológicas que tuvieron una gran acogida; y </w:t>
            </w:r>
          </w:p>
          <w:p w:rsidR="00B070BF" w:rsidRPr="009577DE" w:rsidRDefault="00B070BF" w:rsidP="00B070BF">
            <w:pPr>
              <w:widowControl w:val="0"/>
              <w:numPr>
                <w:ilvl w:val="0"/>
                <w:numId w:val="52"/>
              </w:numPr>
              <w:rPr>
                <w:sz w:val="16"/>
                <w:szCs w:val="16"/>
                <w:lang w:val="es-ES_tradnl" w:bidi="th-TH"/>
              </w:rPr>
            </w:pPr>
            <w:r w:rsidRPr="009577DE">
              <w:rPr>
                <w:sz w:val="16"/>
                <w:szCs w:val="16"/>
                <w:lang w:val="es-ES_tradnl" w:bidi="th-TH"/>
              </w:rPr>
              <w:t>2 cursos sobre valoración de la P.I.</w:t>
            </w:r>
          </w:p>
          <w:p w:rsidR="00B070BF" w:rsidRPr="009577DE" w:rsidRDefault="00B070BF" w:rsidP="00C33D4A">
            <w:pPr>
              <w:widowControl w:val="0"/>
              <w:rPr>
                <w:sz w:val="16"/>
                <w:szCs w:val="16"/>
                <w:lang w:val="es-ES_tradnl" w:bidi="th-TH"/>
              </w:rPr>
            </w:pPr>
            <w:r w:rsidRPr="009577DE">
              <w:rPr>
                <w:sz w:val="16"/>
                <w:szCs w:val="16"/>
                <w:lang w:val="es-ES_tradnl" w:bidi="th-TH"/>
              </w:rPr>
              <w:t>1.167 participantes aproximadamente.</w:t>
            </w:r>
          </w:p>
          <w:p w:rsidR="00B070BF" w:rsidRPr="009577DE" w:rsidRDefault="00B070BF" w:rsidP="00C33D4A">
            <w:pPr>
              <w:widowControl w:val="0"/>
              <w:rPr>
                <w:sz w:val="16"/>
                <w:szCs w:val="16"/>
                <w:lang w:val="es-ES_tradnl" w:bidi="th-TH"/>
              </w:rPr>
            </w:pPr>
          </w:p>
          <w:p w:rsidR="00B070BF" w:rsidRPr="009577DE" w:rsidRDefault="00B070BF" w:rsidP="00C33D4A">
            <w:pPr>
              <w:widowControl w:val="0"/>
              <w:rPr>
                <w:sz w:val="16"/>
                <w:szCs w:val="16"/>
                <w:lang w:val="es-ES_tradnl" w:bidi="th-TH"/>
              </w:rPr>
            </w:pPr>
            <w:r w:rsidRPr="009577DE">
              <w:rPr>
                <w:sz w:val="16"/>
                <w:szCs w:val="16"/>
                <w:lang w:val="es-ES_tradnl" w:bidi="th-TH"/>
              </w:rPr>
              <w:t>Nota:  En 2012 no se había preparado la encuesta necesaria para determinar el número de usuarios y, en consecuencia, se dispone de información insuficiente para evaluar el número de usuarios ese año.  Ya se ha terminado su elaboración y se cuenta con un cuestionario para la encuesta relativa a 2013.</w:t>
            </w:r>
          </w:p>
          <w:p w:rsidR="00B070BF" w:rsidRPr="009577DE" w:rsidRDefault="00B070BF" w:rsidP="00C33D4A">
            <w:pPr>
              <w:widowControl w:val="0"/>
              <w:rPr>
                <w:sz w:val="16"/>
                <w:szCs w:val="16"/>
                <w:lang w:val="es-ES_tradnl"/>
              </w:rPr>
            </w:pPr>
          </w:p>
        </w:tc>
        <w:tc>
          <w:tcPr>
            <w:tcW w:w="557" w:type="pct"/>
            <w:tcBorders>
              <w:bottom w:val="single" w:sz="4" w:space="0" w:color="auto"/>
            </w:tcBorders>
            <w:shd w:val="clear" w:color="auto" w:fill="auto"/>
            <w:tcMar>
              <w:top w:w="110" w:type="dxa"/>
            </w:tcMar>
          </w:tcPr>
          <w:p w:rsidR="00B070BF" w:rsidRPr="009577DE" w:rsidRDefault="00B070BF" w:rsidP="00C33D4A">
            <w:pPr>
              <w:widowControl w:val="0"/>
              <w:jc w:val="center"/>
              <w:rPr>
                <w:b/>
                <w:sz w:val="16"/>
                <w:szCs w:val="16"/>
                <w:lang w:val="es-ES_tradnl"/>
              </w:rPr>
            </w:pPr>
            <w:r w:rsidRPr="009577DE">
              <w:rPr>
                <w:b/>
                <w:color w:val="FF0000"/>
                <w:sz w:val="16"/>
                <w:szCs w:val="16"/>
                <w:lang w:val="es-ES_tradnl"/>
              </w:rPr>
              <w:t>Sin avances significativos</w:t>
            </w:r>
          </w:p>
          <w:p w:rsidR="00B070BF" w:rsidRPr="009577DE" w:rsidRDefault="00B070BF" w:rsidP="00C33D4A">
            <w:pPr>
              <w:widowControl w:val="0"/>
              <w:jc w:val="center"/>
              <w:rPr>
                <w:bCs/>
                <w:sz w:val="16"/>
                <w:szCs w:val="16"/>
                <w:lang w:val="es-ES_tradnl"/>
              </w:rPr>
            </w:pPr>
          </w:p>
          <w:p w:rsidR="00B070BF" w:rsidRPr="009577DE" w:rsidRDefault="00B070BF" w:rsidP="00C33D4A">
            <w:pPr>
              <w:widowControl w:val="0"/>
              <w:jc w:val="center"/>
              <w:rPr>
                <w:bCs/>
                <w:sz w:val="16"/>
                <w:szCs w:val="16"/>
                <w:lang w:val="es-ES_tradnl"/>
              </w:rPr>
            </w:pPr>
          </w:p>
        </w:tc>
      </w:tr>
      <w:tr w:rsidR="00B070BF" w:rsidRPr="009577DE" w:rsidTr="00C33D4A">
        <w:trPr>
          <w:cantSplit/>
        </w:trPr>
        <w:tc>
          <w:tcPr>
            <w:tcW w:w="5000" w:type="pct"/>
            <w:gridSpan w:val="5"/>
            <w:tcBorders>
              <w:top w:val="single" w:sz="4" w:space="0" w:color="auto"/>
              <w:bottom w:val="single" w:sz="4" w:space="0" w:color="auto"/>
            </w:tcBorders>
            <w:shd w:val="clear" w:color="auto" w:fill="CCFFFF"/>
            <w:vAlign w:val="center"/>
          </w:tcPr>
          <w:p w:rsidR="00B070BF" w:rsidRPr="009577DE" w:rsidRDefault="00B070BF" w:rsidP="00C33D4A">
            <w:pPr>
              <w:widowControl w:val="0"/>
              <w:tabs>
                <w:tab w:val="left" w:pos="1735"/>
              </w:tabs>
              <w:spacing w:before="120" w:after="120"/>
              <w:ind w:left="1735" w:hanging="1735"/>
              <w:rPr>
                <w:b/>
                <w:bCs/>
                <w:sz w:val="16"/>
                <w:szCs w:val="16"/>
                <w:lang w:val="es-ES_tradnl"/>
              </w:rPr>
            </w:pPr>
            <w:r w:rsidRPr="009577DE">
              <w:rPr>
                <w:b/>
                <w:bCs/>
                <w:sz w:val="16"/>
                <w:szCs w:val="16"/>
                <w:lang w:val="es-ES_tradnl"/>
              </w:rPr>
              <w:t>Resultado previsto:</w:t>
            </w:r>
            <w:r w:rsidRPr="009577DE">
              <w:rPr>
                <w:b/>
                <w:bCs/>
                <w:sz w:val="16"/>
                <w:szCs w:val="16"/>
                <w:lang w:val="es-ES_tradnl"/>
              </w:rPr>
              <w:tab/>
            </w:r>
            <w:r w:rsidRPr="009577DE">
              <w:rPr>
                <w:bCs/>
                <w:sz w:val="16"/>
                <w:szCs w:val="16"/>
                <w:lang w:val="es-ES_tradnl"/>
              </w:rPr>
              <w:t>Mejor comprensión/capacidad de las Pymes y de las instituciones de respaldo a las Pymes en lo que atañe a utilizar con éxito la P.I. para respaldar la innovación y la comercialización.</w:t>
            </w:r>
          </w:p>
        </w:tc>
      </w:tr>
      <w:tr w:rsidR="00B070BF" w:rsidRPr="009577DE" w:rsidTr="00C33D4A">
        <w:trPr>
          <w:cantSplit/>
        </w:trPr>
        <w:tc>
          <w:tcPr>
            <w:tcW w:w="874" w:type="pct"/>
            <w:tcBorders>
              <w:top w:val="single" w:sz="4" w:space="0" w:color="auto"/>
            </w:tcBorders>
            <w:shd w:val="clear" w:color="auto" w:fill="auto"/>
            <w:vAlign w:val="center"/>
          </w:tcPr>
          <w:p w:rsidR="00B070BF" w:rsidRPr="009577DE" w:rsidRDefault="00B070BF" w:rsidP="00C33D4A">
            <w:pPr>
              <w:widowControl w:val="0"/>
              <w:spacing w:after="120"/>
              <w:rPr>
                <w:sz w:val="16"/>
                <w:szCs w:val="16"/>
                <w:lang w:val="es-ES_tradnl"/>
              </w:rPr>
            </w:pPr>
            <w:r w:rsidRPr="009577DE">
              <w:rPr>
                <w:b/>
                <w:bCs/>
                <w:sz w:val="16"/>
                <w:szCs w:val="16"/>
                <w:lang w:val="es-ES_tradnl"/>
              </w:rPr>
              <w:t>Indicadores de rendimiento</w:t>
            </w:r>
          </w:p>
        </w:tc>
        <w:tc>
          <w:tcPr>
            <w:tcW w:w="805" w:type="pct"/>
            <w:tcBorders>
              <w:top w:val="single" w:sz="4" w:space="0" w:color="auto"/>
            </w:tcBorders>
            <w:shd w:val="clear" w:color="auto" w:fill="C0C0C0"/>
          </w:tcPr>
          <w:p w:rsidR="00B070BF" w:rsidRPr="009577DE" w:rsidRDefault="00B070BF" w:rsidP="00C33D4A">
            <w:pPr>
              <w:widowControl w:val="0"/>
              <w:spacing w:after="120"/>
              <w:rPr>
                <w:b/>
                <w:bCs/>
                <w:sz w:val="16"/>
                <w:szCs w:val="16"/>
                <w:lang w:val="es-ES_tradnl"/>
              </w:rPr>
            </w:pPr>
            <w:r w:rsidRPr="009577DE">
              <w:rPr>
                <w:b/>
                <w:bCs/>
                <w:sz w:val="16"/>
                <w:szCs w:val="16"/>
                <w:lang w:val="es-ES_tradnl"/>
              </w:rPr>
              <w:t>Referencia (</w:t>
            </w:r>
            <w:proofErr w:type="spellStart"/>
            <w:r w:rsidRPr="009577DE">
              <w:rPr>
                <w:b/>
                <w:bCs/>
                <w:sz w:val="16"/>
                <w:szCs w:val="16"/>
                <w:lang w:val="es-ES_tradnl"/>
              </w:rPr>
              <w:t>Presup</w:t>
            </w:r>
            <w:proofErr w:type="spellEnd"/>
            <w:r w:rsidRPr="009577DE">
              <w:rPr>
                <w:b/>
                <w:bCs/>
                <w:sz w:val="16"/>
                <w:szCs w:val="16"/>
                <w:lang w:val="es-ES_tradnl"/>
              </w:rPr>
              <w:t xml:space="preserve">. por </w:t>
            </w:r>
            <w:proofErr w:type="spellStart"/>
            <w:r w:rsidRPr="009577DE">
              <w:rPr>
                <w:b/>
                <w:bCs/>
                <w:sz w:val="16"/>
                <w:szCs w:val="16"/>
                <w:lang w:val="es-ES_tradnl"/>
              </w:rPr>
              <w:t>prog</w:t>
            </w:r>
            <w:proofErr w:type="spellEnd"/>
            <w:r w:rsidRPr="009577DE">
              <w:rPr>
                <w:b/>
                <w:bCs/>
                <w:sz w:val="16"/>
                <w:szCs w:val="16"/>
                <w:lang w:val="es-ES_tradnl"/>
              </w:rPr>
              <w:t>. 2012/13)</w:t>
            </w:r>
          </w:p>
        </w:tc>
        <w:tc>
          <w:tcPr>
            <w:tcW w:w="916" w:type="pct"/>
            <w:tcBorders>
              <w:top w:val="single" w:sz="4" w:space="0" w:color="auto"/>
            </w:tcBorders>
            <w:shd w:val="clear" w:color="auto" w:fill="auto"/>
            <w:tcMar>
              <w:top w:w="110" w:type="dxa"/>
            </w:tcMar>
            <w:vAlign w:val="center"/>
          </w:tcPr>
          <w:p w:rsidR="00B070BF" w:rsidRPr="009577DE" w:rsidRDefault="00B070BF" w:rsidP="00C33D4A">
            <w:pPr>
              <w:widowControl w:val="0"/>
              <w:spacing w:after="120"/>
              <w:rPr>
                <w:b/>
                <w:sz w:val="16"/>
                <w:szCs w:val="16"/>
                <w:lang w:val="es-ES_tradnl"/>
              </w:rPr>
            </w:pPr>
            <w:r w:rsidRPr="00BF138D">
              <w:rPr>
                <w:b/>
                <w:color w:val="993300"/>
                <w:sz w:val="16"/>
                <w:szCs w:val="16"/>
                <w:lang w:val="es-ES_tradnl"/>
              </w:rPr>
              <w:t>Referencia actualizada a finales de 2011</w:t>
            </w:r>
            <w:r w:rsidRPr="009577DE">
              <w:rPr>
                <w:b/>
                <w:sz w:val="16"/>
                <w:szCs w:val="16"/>
                <w:lang w:val="es-ES_tradnl"/>
              </w:rPr>
              <w:t xml:space="preserve"> </w:t>
            </w:r>
          </w:p>
        </w:tc>
        <w:tc>
          <w:tcPr>
            <w:tcW w:w="1848" w:type="pct"/>
            <w:tcBorders>
              <w:top w:val="single" w:sz="4" w:space="0" w:color="auto"/>
            </w:tcBorders>
            <w:shd w:val="clear" w:color="auto" w:fill="FFFFFF"/>
            <w:tcMar>
              <w:top w:w="110" w:type="dxa"/>
            </w:tcMar>
            <w:vAlign w:val="center"/>
          </w:tcPr>
          <w:p w:rsidR="00B070BF" w:rsidRPr="009577DE" w:rsidRDefault="00B070BF" w:rsidP="00C33D4A">
            <w:pPr>
              <w:widowControl w:val="0"/>
              <w:spacing w:after="120"/>
              <w:rPr>
                <w:sz w:val="16"/>
                <w:szCs w:val="16"/>
                <w:lang w:val="es-ES_tradnl"/>
              </w:rPr>
            </w:pPr>
            <w:r w:rsidRPr="009577DE">
              <w:rPr>
                <w:b/>
                <w:bCs/>
                <w:sz w:val="16"/>
                <w:szCs w:val="16"/>
                <w:lang w:val="es-ES_tradnl"/>
              </w:rPr>
              <w:t>Datos sobre el rendimiento</w:t>
            </w:r>
          </w:p>
        </w:tc>
        <w:tc>
          <w:tcPr>
            <w:tcW w:w="557" w:type="pct"/>
            <w:tcBorders>
              <w:top w:val="single" w:sz="4" w:space="0" w:color="auto"/>
            </w:tcBorders>
            <w:shd w:val="clear" w:color="auto" w:fill="auto"/>
            <w:tcMar>
              <w:top w:w="110" w:type="dxa"/>
            </w:tcMar>
            <w:vAlign w:val="center"/>
          </w:tcPr>
          <w:p w:rsidR="00B070BF" w:rsidRPr="009577DE" w:rsidRDefault="00B070BF" w:rsidP="00C33D4A">
            <w:pPr>
              <w:widowControl w:val="0"/>
              <w:spacing w:after="120"/>
              <w:jc w:val="center"/>
              <w:rPr>
                <w:b/>
                <w:bCs/>
                <w:sz w:val="16"/>
                <w:szCs w:val="16"/>
                <w:lang w:val="es-ES_tradnl"/>
              </w:rPr>
            </w:pPr>
            <w:r w:rsidRPr="009577DE">
              <w:rPr>
                <w:b/>
                <w:bCs/>
                <w:sz w:val="16"/>
                <w:szCs w:val="16"/>
                <w:lang w:val="es-ES_tradnl"/>
              </w:rPr>
              <w:t>Clave de colores</w:t>
            </w:r>
          </w:p>
        </w:tc>
      </w:tr>
      <w:tr w:rsidR="00B070BF" w:rsidRPr="009577DE" w:rsidTr="00C33D4A">
        <w:trPr>
          <w:cantSplit/>
        </w:trPr>
        <w:tc>
          <w:tcPr>
            <w:tcW w:w="874" w:type="pct"/>
            <w:shd w:val="clear" w:color="auto" w:fill="auto"/>
          </w:tcPr>
          <w:p w:rsidR="00B070BF" w:rsidRPr="009577DE" w:rsidRDefault="00B070BF" w:rsidP="00C33D4A">
            <w:pPr>
              <w:widowControl w:val="0"/>
              <w:rPr>
                <w:sz w:val="16"/>
                <w:szCs w:val="16"/>
                <w:lang w:val="es-ES_tradnl" w:bidi="th-TH"/>
              </w:rPr>
            </w:pPr>
            <w:r w:rsidRPr="009577DE">
              <w:rPr>
                <w:sz w:val="16"/>
                <w:szCs w:val="16"/>
                <w:lang w:val="es-ES_tradnl" w:bidi="th-TH"/>
              </w:rPr>
              <w:t>Porcentaje de instituciones de respaldo a las Pymes que recibieron asistencia y proporcionan información, respaldo y servicios de asesoramiento sobre la gestión de activos de P.I.</w:t>
            </w:r>
          </w:p>
          <w:p w:rsidR="00B070BF" w:rsidRPr="009577DE" w:rsidRDefault="00B070BF" w:rsidP="00C33D4A">
            <w:pPr>
              <w:widowControl w:val="0"/>
              <w:rPr>
                <w:sz w:val="16"/>
                <w:szCs w:val="16"/>
                <w:lang w:val="es-ES_tradnl" w:bidi="th-TH"/>
              </w:rPr>
            </w:pPr>
            <w:r w:rsidRPr="009577DE">
              <w:rPr>
                <w:sz w:val="16"/>
                <w:szCs w:val="16"/>
                <w:lang w:val="es-ES_tradnl" w:bidi="th-TH"/>
              </w:rPr>
              <w:t xml:space="preserve"> </w:t>
            </w:r>
          </w:p>
        </w:tc>
        <w:tc>
          <w:tcPr>
            <w:tcW w:w="805" w:type="pct"/>
            <w:shd w:val="clear" w:color="auto" w:fill="C0C0C0"/>
          </w:tcPr>
          <w:p w:rsidR="00B070BF" w:rsidRPr="009577DE" w:rsidRDefault="00B070BF" w:rsidP="00C33D4A">
            <w:pPr>
              <w:widowControl w:val="0"/>
              <w:rPr>
                <w:sz w:val="16"/>
                <w:szCs w:val="16"/>
                <w:lang w:val="es-ES_tradnl" w:bidi="th-TH"/>
              </w:rPr>
            </w:pPr>
            <w:r w:rsidRPr="009577DE">
              <w:rPr>
                <w:sz w:val="16"/>
                <w:szCs w:val="16"/>
                <w:lang w:val="es-ES_tradnl" w:bidi="th-TH"/>
              </w:rPr>
              <w:t xml:space="preserve">No se dispone de datos. </w:t>
            </w:r>
          </w:p>
        </w:tc>
        <w:tc>
          <w:tcPr>
            <w:tcW w:w="916" w:type="pct"/>
            <w:shd w:val="clear" w:color="auto" w:fill="auto"/>
            <w:tcMar>
              <w:top w:w="110" w:type="dxa"/>
            </w:tcMar>
          </w:tcPr>
          <w:p w:rsidR="00B070BF" w:rsidRPr="009577DE" w:rsidRDefault="00B070BF" w:rsidP="00C33D4A">
            <w:pPr>
              <w:widowControl w:val="0"/>
              <w:rPr>
                <w:sz w:val="16"/>
                <w:szCs w:val="16"/>
                <w:lang w:val="es-ES_tradnl" w:bidi="th-TH"/>
              </w:rPr>
            </w:pPr>
          </w:p>
        </w:tc>
        <w:tc>
          <w:tcPr>
            <w:tcW w:w="1848" w:type="pct"/>
            <w:shd w:val="clear" w:color="auto" w:fill="FFFFFF"/>
            <w:tcMar>
              <w:top w:w="110" w:type="dxa"/>
            </w:tcMar>
          </w:tcPr>
          <w:p w:rsidR="00B070BF" w:rsidRPr="009577DE" w:rsidRDefault="00B070BF" w:rsidP="00C33D4A">
            <w:pPr>
              <w:widowControl w:val="0"/>
              <w:rPr>
                <w:sz w:val="16"/>
                <w:szCs w:val="16"/>
                <w:lang w:val="es-ES_tradnl" w:bidi="th-TH"/>
              </w:rPr>
            </w:pPr>
            <w:r w:rsidRPr="009577DE">
              <w:rPr>
                <w:sz w:val="16"/>
                <w:szCs w:val="16"/>
                <w:lang w:val="es-ES_tradnl" w:bidi="th-TH"/>
              </w:rPr>
              <w:t>No se dispone de datos.</w:t>
            </w:r>
          </w:p>
          <w:p w:rsidR="00B070BF" w:rsidRPr="009577DE" w:rsidRDefault="00B070BF" w:rsidP="00C33D4A">
            <w:pPr>
              <w:widowControl w:val="0"/>
              <w:rPr>
                <w:sz w:val="16"/>
                <w:szCs w:val="16"/>
                <w:lang w:val="es-ES_tradnl" w:bidi="th-TH"/>
              </w:rPr>
            </w:pPr>
          </w:p>
          <w:p w:rsidR="00B070BF" w:rsidRPr="009577DE" w:rsidRDefault="00B070BF" w:rsidP="00C33D4A">
            <w:pPr>
              <w:widowControl w:val="0"/>
              <w:rPr>
                <w:sz w:val="16"/>
                <w:szCs w:val="16"/>
                <w:lang w:val="es-ES_tradnl" w:bidi="th-TH"/>
              </w:rPr>
            </w:pPr>
          </w:p>
          <w:p w:rsidR="00B070BF" w:rsidRPr="009577DE" w:rsidRDefault="00B070BF" w:rsidP="00C33D4A">
            <w:pPr>
              <w:widowControl w:val="0"/>
              <w:rPr>
                <w:sz w:val="16"/>
                <w:szCs w:val="16"/>
                <w:lang w:val="es-ES_tradnl" w:bidi="th-TH"/>
              </w:rPr>
            </w:pPr>
          </w:p>
          <w:p w:rsidR="00B070BF" w:rsidRPr="009577DE" w:rsidRDefault="00B070BF" w:rsidP="00C33D4A">
            <w:pPr>
              <w:widowControl w:val="0"/>
              <w:rPr>
                <w:sz w:val="16"/>
                <w:szCs w:val="16"/>
                <w:lang w:val="es-ES_tradnl" w:bidi="th-TH"/>
              </w:rPr>
            </w:pPr>
          </w:p>
          <w:p w:rsidR="00B070BF" w:rsidRPr="009577DE" w:rsidRDefault="00B070BF" w:rsidP="00C33D4A">
            <w:pPr>
              <w:widowControl w:val="0"/>
              <w:rPr>
                <w:sz w:val="16"/>
                <w:szCs w:val="16"/>
                <w:lang w:val="es-ES_tradnl"/>
              </w:rPr>
            </w:pPr>
          </w:p>
        </w:tc>
        <w:tc>
          <w:tcPr>
            <w:tcW w:w="557" w:type="pct"/>
            <w:shd w:val="clear" w:color="auto" w:fill="auto"/>
            <w:tcMar>
              <w:top w:w="110" w:type="dxa"/>
            </w:tcMar>
          </w:tcPr>
          <w:p w:rsidR="00B070BF" w:rsidRPr="009577DE" w:rsidRDefault="00B070BF" w:rsidP="00C33D4A">
            <w:pPr>
              <w:widowControl w:val="0"/>
              <w:jc w:val="center"/>
              <w:rPr>
                <w:bCs/>
                <w:sz w:val="16"/>
                <w:szCs w:val="16"/>
                <w:lang w:val="es-ES_tradnl"/>
              </w:rPr>
            </w:pPr>
            <w:r w:rsidRPr="009577DE">
              <w:rPr>
                <w:b/>
                <w:sz w:val="16"/>
                <w:szCs w:val="16"/>
                <w:lang w:val="es-ES_tradnl"/>
              </w:rPr>
              <w:t>No disponible para 2012</w:t>
            </w:r>
          </w:p>
        </w:tc>
      </w:tr>
      <w:tr w:rsidR="00B070BF" w:rsidRPr="009577DE" w:rsidTr="00C33D4A">
        <w:trPr>
          <w:cantSplit/>
        </w:trPr>
        <w:tc>
          <w:tcPr>
            <w:tcW w:w="874" w:type="pct"/>
            <w:shd w:val="clear" w:color="auto" w:fill="auto"/>
          </w:tcPr>
          <w:p w:rsidR="00B070BF" w:rsidRPr="009577DE" w:rsidRDefault="00B070BF" w:rsidP="00C33D4A">
            <w:pPr>
              <w:widowControl w:val="0"/>
              <w:rPr>
                <w:sz w:val="16"/>
                <w:szCs w:val="16"/>
                <w:lang w:val="es-ES_tradnl" w:bidi="th-TH"/>
              </w:rPr>
            </w:pPr>
            <w:r w:rsidRPr="009577DE">
              <w:rPr>
                <w:sz w:val="16"/>
                <w:szCs w:val="16"/>
                <w:lang w:val="es-ES_tradnl" w:bidi="th-TH"/>
              </w:rPr>
              <w:t xml:space="preserve">Número de programas nacionales/regionales de formación en gestión de activos de P.I. </w:t>
            </w:r>
          </w:p>
          <w:p w:rsidR="00B070BF" w:rsidRPr="009577DE" w:rsidRDefault="00B070BF" w:rsidP="00C33D4A">
            <w:pPr>
              <w:widowControl w:val="0"/>
              <w:rPr>
                <w:sz w:val="16"/>
                <w:szCs w:val="16"/>
                <w:lang w:val="es-ES_tradnl" w:bidi="th-TH"/>
              </w:rPr>
            </w:pPr>
          </w:p>
        </w:tc>
        <w:tc>
          <w:tcPr>
            <w:tcW w:w="805" w:type="pct"/>
            <w:shd w:val="clear" w:color="auto" w:fill="C0C0C0"/>
          </w:tcPr>
          <w:p w:rsidR="00B070BF" w:rsidRPr="009577DE" w:rsidRDefault="00B070BF" w:rsidP="00C33D4A">
            <w:pPr>
              <w:widowControl w:val="0"/>
              <w:rPr>
                <w:sz w:val="16"/>
                <w:szCs w:val="16"/>
                <w:lang w:val="es-ES_tradnl" w:bidi="th-TH"/>
              </w:rPr>
            </w:pPr>
            <w:r w:rsidRPr="009577DE">
              <w:rPr>
                <w:sz w:val="16"/>
                <w:szCs w:val="16"/>
                <w:lang w:val="es-ES_tradnl" w:bidi="th-TH"/>
              </w:rPr>
              <w:t>24</w:t>
            </w:r>
          </w:p>
        </w:tc>
        <w:tc>
          <w:tcPr>
            <w:tcW w:w="916" w:type="pct"/>
            <w:shd w:val="clear" w:color="auto" w:fill="auto"/>
            <w:tcMar>
              <w:top w:w="110" w:type="dxa"/>
            </w:tcMar>
          </w:tcPr>
          <w:p w:rsidR="00B070BF" w:rsidRPr="009577DE" w:rsidRDefault="00B070BF" w:rsidP="00C33D4A">
            <w:pPr>
              <w:widowControl w:val="0"/>
              <w:rPr>
                <w:sz w:val="16"/>
                <w:szCs w:val="16"/>
                <w:lang w:val="es-ES_tradnl" w:bidi="th-TH"/>
              </w:rPr>
            </w:pPr>
            <w:r w:rsidRPr="00F2661C">
              <w:rPr>
                <w:color w:val="993300"/>
                <w:sz w:val="16"/>
                <w:szCs w:val="16"/>
                <w:lang w:val="es-ES_tradnl" w:bidi="th-TH"/>
              </w:rPr>
              <w:t>24</w:t>
            </w:r>
          </w:p>
        </w:tc>
        <w:tc>
          <w:tcPr>
            <w:tcW w:w="1848" w:type="pct"/>
            <w:shd w:val="clear" w:color="auto" w:fill="FFFFFF"/>
            <w:tcMar>
              <w:top w:w="110" w:type="dxa"/>
            </w:tcMar>
          </w:tcPr>
          <w:p w:rsidR="00B070BF" w:rsidRPr="009577DE" w:rsidRDefault="00B070BF" w:rsidP="00C33D4A">
            <w:pPr>
              <w:widowControl w:val="0"/>
              <w:rPr>
                <w:sz w:val="16"/>
                <w:szCs w:val="16"/>
                <w:lang w:val="es-ES_tradnl" w:bidi="th-TH"/>
              </w:rPr>
            </w:pPr>
            <w:r w:rsidRPr="009577DE">
              <w:rPr>
                <w:sz w:val="16"/>
                <w:szCs w:val="16"/>
                <w:lang w:val="es-ES_tradnl" w:bidi="th-TH"/>
              </w:rPr>
              <w:t>Se completaron 7 programas de formación de formadores (están pendientes de su finalización otros 17 programas previstos para 2013).</w:t>
            </w:r>
          </w:p>
          <w:p w:rsidR="00B070BF" w:rsidRPr="009577DE" w:rsidRDefault="00B070BF" w:rsidP="00C33D4A">
            <w:pPr>
              <w:widowControl w:val="0"/>
              <w:rPr>
                <w:sz w:val="16"/>
                <w:szCs w:val="16"/>
                <w:lang w:val="es-ES_tradnl"/>
              </w:rPr>
            </w:pPr>
          </w:p>
        </w:tc>
        <w:tc>
          <w:tcPr>
            <w:tcW w:w="557" w:type="pct"/>
            <w:shd w:val="clear" w:color="auto" w:fill="auto"/>
            <w:tcMar>
              <w:top w:w="110" w:type="dxa"/>
            </w:tcMar>
          </w:tcPr>
          <w:p w:rsidR="00B070BF" w:rsidRPr="009577DE" w:rsidRDefault="00B070BF" w:rsidP="00C33D4A">
            <w:pPr>
              <w:widowControl w:val="0"/>
              <w:jc w:val="center"/>
              <w:rPr>
                <w:b/>
                <w:sz w:val="16"/>
                <w:szCs w:val="16"/>
                <w:lang w:val="es-ES_tradnl"/>
              </w:rPr>
            </w:pPr>
            <w:r w:rsidRPr="009577DE">
              <w:rPr>
                <w:b/>
                <w:color w:val="FF0000"/>
                <w:sz w:val="16"/>
                <w:szCs w:val="16"/>
                <w:lang w:val="es-ES_tradnl"/>
              </w:rPr>
              <w:t>Sin avances significativos</w:t>
            </w:r>
          </w:p>
          <w:p w:rsidR="00B070BF" w:rsidRPr="009577DE" w:rsidRDefault="00B070BF" w:rsidP="00C33D4A">
            <w:pPr>
              <w:widowControl w:val="0"/>
              <w:jc w:val="center"/>
              <w:rPr>
                <w:bCs/>
                <w:sz w:val="16"/>
                <w:szCs w:val="16"/>
                <w:lang w:val="es-ES_tradnl"/>
              </w:rPr>
            </w:pPr>
          </w:p>
          <w:p w:rsidR="00B070BF" w:rsidRPr="009577DE" w:rsidRDefault="00B070BF" w:rsidP="00C33D4A">
            <w:pPr>
              <w:widowControl w:val="0"/>
              <w:jc w:val="center"/>
              <w:rPr>
                <w:bCs/>
                <w:sz w:val="16"/>
                <w:szCs w:val="16"/>
                <w:lang w:val="es-ES_tradnl"/>
              </w:rPr>
            </w:pPr>
          </w:p>
        </w:tc>
      </w:tr>
      <w:tr w:rsidR="00B070BF" w:rsidRPr="009577DE" w:rsidTr="00C33D4A">
        <w:trPr>
          <w:cantSplit/>
        </w:trPr>
        <w:tc>
          <w:tcPr>
            <w:tcW w:w="874" w:type="pct"/>
            <w:shd w:val="clear" w:color="auto" w:fill="auto"/>
          </w:tcPr>
          <w:p w:rsidR="00B070BF" w:rsidRPr="009577DE" w:rsidRDefault="00B070BF" w:rsidP="00C33D4A">
            <w:pPr>
              <w:widowControl w:val="0"/>
              <w:rPr>
                <w:sz w:val="16"/>
                <w:szCs w:val="16"/>
                <w:lang w:val="es-ES_tradnl" w:bidi="th-TH"/>
              </w:rPr>
            </w:pPr>
            <w:r w:rsidRPr="009577DE">
              <w:rPr>
                <w:sz w:val="16"/>
                <w:szCs w:val="16"/>
                <w:lang w:val="es-ES_tradnl" w:bidi="th-TH"/>
              </w:rPr>
              <w:t xml:space="preserve">Programa 30  </w:t>
            </w:r>
          </w:p>
        </w:tc>
        <w:tc>
          <w:tcPr>
            <w:tcW w:w="805" w:type="pct"/>
            <w:shd w:val="clear" w:color="auto" w:fill="C0C0C0"/>
          </w:tcPr>
          <w:p w:rsidR="00B070BF" w:rsidRPr="009577DE" w:rsidRDefault="00B070BF" w:rsidP="00C33D4A">
            <w:pPr>
              <w:widowControl w:val="0"/>
              <w:rPr>
                <w:sz w:val="16"/>
                <w:szCs w:val="16"/>
                <w:lang w:val="es-ES_tradnl" w:bidi="th-TH"/>
              </w:rPr>
            </w:pPr>
            <w:r w:rsidRPr="009577DE">
              <w:rPr>
                <w:sz w:val="16"/>
                <w:szCs w:val="16"/>
                <w:lang w:val="es-ES_tradnl" w:bidi="th-TH"/>
              </w:rPr>
              <w:t>No se dispone de datos.</w:t>
            </w:r>
          </w:p>
        </w:tc>
        <w:tc>
          <w:tcPr>
            <w:tcW w:w="916" w:type="pct"/>
            <w:shd w:val="clear" w:color="auto" w:fill="auto"/>
            <w:tcMar>
              <w:top w:w="110" w:type="dxa"/>
            </w:tcMar>
          </w:tcPr>
          <w:p w:rsidR="00B070BF" w:rsidRPr="009577DE" w:rsidRDefault="00B070BF" w:rsidP="00C33D4A">
            <w:pPr>
              <w:widowControl w:val="0"/>
              <w:rPr>
                <w:sz w:val="16"/>
                <w:szCs w:val="16"/>
                <w:lang w:val="es-ES_tradnl" w:bidi="th-TH"/>
              </w:rPr>
            </w:pPr>
          </w:p>
        </w:tc>
        <w:tc>
          <w:tcPr>
            <w:tcW w:w="1848" w:type="pct"/>
            <w:shd w:val="clear" w:color="auto" w:fill="FFFFFF"/>
            <w:tcMar>
              <w:top w:w="110" w:type="dxa"/>
            </w:tcMar>
          </w:tcPr>
          <w:p w:rsidR="00B070BF" w:rsidRPr="009577DE" w:rsidRDefault="00B070BF" w:rsidP="00C33D4A">
            <w:pPr>
              <w:widowControl w:val="0"/>
              <w:rPr>
                <w:sz w:val="16"/>
                <w:szCs w:val="16"/>
                <w:lang w:val="es-ES_tradnl" w:bidi="th-TH"/>
              </w:rPr>
            </w:pPr>
            <w:r w:rsidRPr="009577DE">
              <w:rPr>
                <w:sz w:val="16"/>
                <w:szCs w:val="16"/>
                <w:lang w:val="es-ES_tradnl" w:bidi="th-TH"/>
              </w:rPr>
              <w:t>No se dispone de datos.</w:t>
            </w:r>
          </w:p>
          <w:p w:rsidR="00B070BF" w:rsidRPr="009577DE" w:rsidRDefault="00B070BF" w:rsidP="00C33D4A">
            <w:pPr>
              <w:widowControl w:val="0"/>
              <w:rPr>
                <w:sz w:val="16"/>
                <w:szCs w:val="16"/>
                <w:lang w:val="es-ES_tradnl" w:bidi="th-TH"/>
              </w:rPr>
            </w:pPr>
          </w:p>
          <w:p w:rsidR="00B070BF" w:rsidRPr="009577DE" w:rsidRDefault="00B070BF" w:rsidP="00C33D4A">
            <w:pPr>
              <w:widowControl w:val="0"/>
              <w:rPr>
                <w:sz w:val="16"/>
                <w:szCs w:val="16"/>
                <w:lang w:val="es-ES_tradnl" w:bidi="th-TH"/>
              </w:rPr>
            </w:pPr>
          </w:p>
          <w:p w:rsidR="00B070BF" w:rsidRPr="009577DE" w:rsidRDefault="00B070BF" w:rsidP="00C33D4A">
            <w:pPr>
              <w:widowControl w:val="0"/>
              <w:rPr>
                <w:sz w:val="16"/>
                <w:szCs w:val="16"/>
                <w:lang w:val="es-ES_tradnl" w:bidi="th-TH"/>
              </w:rPr>
            </w:pPr>
          </w:p>
          <w:p w:rsidR="00B070BF" w:rsidRPr="009577DE" w:rsidRDefault="00B070BF" w:rsidP="00C33D4A">
            <w:pPr>
              <w:widowControl w:val="0"/>
              <w:rPr>
                <w:sz w:val="16"/>
                <w:szCs w:val="16"/>
                <w:lang w:val="es-ES_tradnl" w:bidi="th-TH"/>
              </w:rPr>
            </w:pPr>
          </w:p>
          <w:p w:rsidR="00B070BF" w:rsidRPr="009577DE" w:rsidRDefault="00B070BF" w:rsidP="00C33D4A">
            <w:pPr>
              <w:widowControl w:val="0"/>
              <w:rPr>
                <w:sz w:val="16"/>
                <w:szCs w:val="16"/>
                <w:lang w:val="es-ES_tradnl"/>
              </w:rPr>
            </w:pPr>
          </w:p>
        </w:tc>
        <w:tc>
          <w:tcPr>
            <w:tcW w:w="557" w:type="pct"/>
            <w:shd w:val="clear" w:color="auto" w:fill="auto"/>
            <w:tcMar>
              <w:top w:w="110" w:type="dxa"/>
            </w:tcMar>
          </w:tcPr>
          <w:p w:rsidR="00B070BF" w:rsidRPr="009577DE" w:rsidRDefault="00B070BF" w:rsidP="00C33D4A">
            <w:pPr>
              <w:widowControl w:val="0"/>
              <w:jc w:val="center"/>
              <w:rPr>
                <w:bCs/>
                <w:sz w:val="16"/>
                <w:szCs w:val="16"/>
                <w:lang w:val="es-ES_tradnl"/>
              </w:rPr>
            </w:pPr>
          </w:p>
          <w:p w:rsidR="00B070BF" w:rsidRPr="009577DE" w:rsidRDefault="00B070BF" w:rsidP="00C33D4A">
            <w:pPr>
              <w:widowControl w:val="0"/>
              <w:jc w:val="center"/>
              <w:rPr>
                <w:bCs/>
                <w:sz w:val="16"/>
                <w:szCs w:val="16"/>
                <w:lang w:val="es-ES_tradnl"/>
              </w:rPr>
            </w:pPr>
            <w:r w:rsidRPr="009577DE">
              <w:rPr>
                <w:b/>
                <w:sz w:val="16"/>
                <w:szCs w:val="16"/>
                <w:lang w:val="es-ES_tradnl"/>
              </w:rPr>
              <w:t>No disponible para 2012</w:t>
            </w:r>
          </w:p>
        </w:tc>
      </w:tr>
    </w:tbl>
    <w:p w:rsidR="00B070BF" w:rsidRPr="009577DE" w:rsidRDefault="00B070BF" w:rsidP="00B070BF">
      <w:pPr>
        <w:widowControl w:val="0"/>
        <w:rPr>
          <w:sz w:val="20"/>
          <w:lang w:val="es-ES_tradnl"/>
        </w:rPr>
      </w:pPr>
    </w:p>
    <w:p w:rsidR="00B070BF" w:rsidRPr="009577DE" w:rsidRDefault="00B070BF" w:rsidP="00B070BF">
      <w:pPr>
        <w:widowControl w:val="0"/>
        <w:rPr>
          <w:sz w:val="20"/>
          <w:lang w:val="es-ES_tradnl"/>
        </w:rPr>
      </w:pPr>
    </w:p>
    <w:p w:rsidR="00B070BF" w:rsidRPr="009577DE" w:rsidRDefault="00B070BF" w:rsidP="00B070BF">
      <w:pPr>
        <w:keepNext/>
        <w:widowControl w:val="0"/>
        <w:rPr>
          <w:sz w:val="20"/>
          <w:lang w:val="es-ES_tradnl"/>
        </w:rPr>
      </w:pPr>
      <w:r w:rsidRPr="009577DE">
        <w:rPr>
          <w:sz w:val="20"/>
          <w:lang w:val="es-ES_tradnl"/>
        </w:rPr>
        <w:t>PRESUPUESTO Y GASTOS REALES</w:t>
      </w:r>
    </w:p>
    <w:p w:rsidR="00B070BF" w:rsidRPr="006964C6" w:rsidRDefault="00B070BF" w:rsidP="00B070BF">
      <w:pPr>
        <w:widowControl w:val="0"/>
        <w:rPr>
          <w:sz w:val="20"/>
          <w:lang w:val="es-ES_tradnl"/>
        </w:rPr>
      </w:pPr>
    </w:p>
    <w:p w:rsidR="00B070BF" w:rsidRPr="006964C6" w:rsidRDefault="00B070BF" w:rsidP="00B070BF">
      <w:pPr>
        <w:widowControl w:val="0"/>
        <w:jc w:val="center"/>
        <w:rPr>
          <w:sz w:val="20"/>
          <w:lang w:val="es-ES_tradnl"/>
        </w:rPr>
      </w:pPr>
      <w:r w:rsidRPr="006964C6">
        <w:rPr>
          <w:sz w:val="20"/>
          <w:lang w:val="es-ES_tradnl"/>
        </w:rPr>
        <w:lastRenderedPageBreak/>
        <w:t>Presupuesto y gastos reales (por resultado)</w:t>
      </w:r>
    </w:p>
    <w:p w:rsidR="00B070BF" w:rsidRPr="009577DE" w:rsidRDefault="00B070BF" w:rsidP="00B070BF">
      <w:pPr>
        <w:widowControl w:val="0"/>
        <w:jc w:val="center"/>
        <w:rPr>
          <w:szCs w:val="22"/>
          <w:lang w:val="es-ES_tradnl"/>
        </w:rPr>
      </w:pPr>
      <w:r w:rsidRPr="006964C6">
        <w:rPr>
          <w:i/>
          <w:iCs/>
          <w:sz w:val="20"/>
          <w:lang w:val="es-ES_tradnl"/>
        </w:rPr>
        <w:t>(en miles de francos suizos)</w:t>
      </w:r>
      <w:r w:rsidRPr="006964C6">
        <w:rPr>
          <w:i/>
          <w:iCs/>
          <w:sz w:val="20"/>
          <w:lang w:val="es-ES_tradnl"/>
        </w:rPr>
        <w:br/>
      </w:r>
      <w:r w:rsidRPr="006964C6">
        <w:rPr>
          <w:i/>
          <w:iCs/>
          <w:sz w:val="20"/>
          <w:lang w:val="es-ES_tradnl"/>
        </w:rPr>
        <w:br/>
      </w:r>
      <w:r w:rsidRPr="009577DE">
        <w:rPr>
          <w:noProof/>
          <w:lang w:val="en-US" w:eastAsia="en-US"/>
        </w:rPr>
        <w:drawing>
          <wp:inline distT="0" distB="0" distL="0" distR="0" wp14:anchorId="1BA604F8" wp14:editId="4B194D86">
            <wp:extent cx="5902325" cy="3277870"/>
            <wp:effectExtent l="0" t="0" r="3175" b="0"/>
            <wp:docPr id="216" name="Pictur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902325" cy="3277870"/>
                    </a:xfrm>
                    <a:prstGeom prst="rect">
                      <a:avLst/>
                    </a:prstGeom>
                    <a:noFill/>
                    <a:ln>
                      <a:noFill/>
                    </a:ln>
                  </pic:spPr>
                </pic:pic>
              </a:graphicData>
            </a:graphic>
          </wp:inline>
        </w:drawing>
      </w:r>
    </w:p>
    <w:p w:rsidR="00B070BF" w:rsidRPr="006964C6" w:rsidRDefault="00B070BF" w:rsidP="00B070BF">
      <w:pPr>
        <w:widowControl w:val="0"/>
        <w:jc w:val="center"/>
        <w:rPr>
          <w:sz w:val="20"/>
          <w:lang w:val="es-ES_tradnl"/>
        </w:rPr>
      </w:pPr>
    </w:p>
    <w:p w:rsidR="00B070BF" w:rsidRPr="006964C6" w:rsidRDefault="00B070BF" w:rsidP="00B070BF">
      <w:pPr>
        <w:widowControl w:val="0"/>
        <w:jc w:val="center"/>
        <w:rPr>
          <w:sz w:val="20"/>
          <w:lang w:val="es-ES_tradnl"/>
        </w:rPr>
      </w:pPr>
    </w:p>
    <w:p w:rsidR="00B070BF" w:rsidRPr="009577DE" w:rsidRDefault="00B070BF" w:rsidP="00B070BF">
      <w:pPr>
        <w:widowControl w:val="0"/>
        <w:jc w:val="center"/>
        <w:rPr>
          <w:sz w:val="20"/>
          <w:lang w:val="es-ES_tradnl"/>
        </w:rPr>
      </w:pPr>
      <w:r w:rsidRPr="006964C6">
        <w:rPr>
          <w:sz w:val="20"/>
          <w:lang w:val="es-ES_tradnl"/>
        </w:rPr>
        <w:t>Presupuesto y gastos reales (de personal y no relativos al personal)</w:t>
      </w:r>
      <w:r w:rsidRPr="006964C6">
        <w:rPr>
          <w:sz w:val="20"/>
          <w:lang w:val="es-ES_tradnl"/>
        </w:rPr>
        <w:br/>
      </w:r>
      <w:r w:rsidRPr="006964C6">
        <w:rPr>
          <w:i/>
          <w:sz w:val="20"/>
          <w:lang w:val="es-ES_tradnl"/>
        </w:rPr>
        <w:t>(en miles de francos suizos)</w:t>
      </w:r>
      <w:r w:rsidRPr="006964C6">
        <w:rPr>
          <w:sz w:val="20"/>
          <w:lang w:val="es-ES_tradnl"/>
        </w:rPr>
        <w:br/>
      </w:r>
      <w:r w:rsidRPr="006964C6">
        <w:rPr>
          <w:sz w:val="20"/>
          <w:lang w:val="es-ES_tradnl"/>
        </w:rPr>
        <w:br/>
      </w:r>
      <w:r w:rsidRPr="009577DE">
        <w:rPr>
          <w:noProof/>
          <w:lang w:val="en-US" w:eastAsia="en-US"/>
        </w:rPr>
        <w:drawing>
          <wp:inline distT="0" distB="0" distL="0" distR="0" wp14:anchorId="24BFE6B2" wp14:editId="71020C68">
            <wp:extent cx="5902325" cy="1270635"/>
            <wp:effectExtent l="0" t="0" r="3175" b="5715"/>
            <wp:docPr id="215" name="Picture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902325" cy="1270635"/>
                    </a:xfrm>
                    <a:prstGeom prst="rect">
                      <a:avLst/>
                    </a:prstGeom>
                    <a:noFill/>
                    <a:ln>
                      <a:noFill/>
                    </a:ln>
                  </pic:spPr>
                </pic:pic>
              </a:graphicData>
            </a:graphic>
          </wp:inline>
        </w:drawing>
      </w:r>
    </w:p>
    <w:p w:rsidR="00B070BF" w:rsidRPr="009577DE" w:rsidRDefault="00B070BF" w:rsidP="00B070BF">
      <w:pPr>
        <w:widowControl w:val="0"/>
        <w:rPr>
          <w:sz w:val="20"/>
          <w:lang w:val="es-ES_tradnl"/>
        </w:rPr>
      </w:pPr>
    </w:p>
    <w:p w:rsidR="00B070BF" w:rsidRPr="009577DE" w:rsidRDefault="00B070BF" w:rsidP="00B070BF">
      <w:pPr>
        <w:widowControl w:val="0"/>
        <w:autoSpaceDE w:val="0"/>
        <w:autoSpaceDN w:val="0"/>
        <w:adjustRightInd w:val="0"/>
        <w:rPr>
          <w:sz w:val="16"/>
          <w:szCs w:val="16"/>
          <w:lang w:val="es-ES_tradnl"/>
        </w:rPr>
      </w:pPr>
      <w:r w:rsidRPr="007C3E0F">
        <w:rPr>
          <w:sz w:val="16"/>
          <w:szCs w:val="16"/>
          <w:lang w:val="es-ES_tradnl"/>
        </w:rPr>
        <w:t>NOTAS:</w:t>
      </w:r>
    </w:p>
    <w:p w:rsidR="00B070BF" w:rsidRPr="009577DE" w:rsidRDefault="00B070BF" w:rsidP="00B070BF">
      <w:pPr>
        <w:widowControl w:val="0"/>
        <w:autoSpaceDE w:val="0"/>
        <w:autoSpaceDN w:val="0"/>
        <w:adjustRightInd w:val="0"/>
        <w:rPr>
          <w:sz w:val="16"/>
          <w:szCs w:val="16"/>
          <w:lang w:val="es-ES_tradnl"/>
        </w:rPr>
      </w:pPr>
    </w:p>
    <w:p w:rsidR="00B070BF" w:rsidRPr="009577DE" w:rsidRDefault="00B070BF" w:rsidP="00B070BF">
      <w:pPr>
        <w:widowControl w:val="0"/>
        <w:autoSpaceDE w:val="0"/>
        <w:autoSpaceDN w:val="0"/>
        <w:adjustRightInd w:val="0"/>
        <w:rPr>
          <w:sz w:val="16"/>
          <w:szCs w:val="16"/>
          <w:lang w:val="es-ES_tradnl"/>
        </w:rPr>
      </w:pPr>
      <w:r w:rsidRPr="009577DE">
        <w:rPr>
          <w:sz w:val="16"/>
          <w:szCs w:val="16"/>
          <w:lang w:val="es-ES_tradnl"/>
        </w:rPr>
        <w:t>1) El presupuesto después de las transferencias refleja el presupuesto de los programas ajustado después de las transferencias efectuadas en 2012/13 en virtud del artículo 5.5 del Reglamento Financiero.</w:t>
      </w:r>
    </w:p>
    <w:p w:rsidR="00B070BF" w:rsidRPr="009577DE" w:rsidRDefault="00B070BF" w:rsidP="00B070BF">
      <w:pPr>
        <w:widowControl w:val="0"/>
        <w:autoSpaceDE w:val="0"/>
        <w:autoSpaceDN w:val="0"/>
        <w:adjustRightInd w:val="0"/>
        <w:rPr>
          <w:sz w:val="16"/>
          <w:szCs w:val="16"/>
          <w:lang w:val="es-ES_tradnl"/>
        </w:rPr>
      </w:pPr>
    </w:p>
    <w:p w:rsidR="00B070BF" w:rsidRPr="009577DE" w:rsidRDefault="00B070BF" w:rsidP="00B070BF">
      <w:pPr>
        <w:widowControl w:val="0"/>
        <w:autoSpaceDE w:val="0"/>
        <w:autoSpaceDN w:val="0"/>
        <w:adjustRightInd w:val="0"/>
        <w:rPr>
          <w:sz w:val="16"/>
          <w:szCs w:val="16"/>
          <w:lang w:val="es-ES_tradnl"/>
        </w:rPr>
      </w:pPr>
      <w:r w:rsidRPr="009577DE">
        <w:rPr>
          <w:sz w:val="16"/>
          <w:szCs w:val="16"/>
          <w:lang w:val="es-ES_tradnl"/>
        </w:rPr>
        <w:t xml:space="preserve">2) La asignación para el personal del presupuesto de 2012/13 después de las transferencias representa los gastos reales efectuados hasta el 31 de marzo de 2013 y los importes presupuestados para los nueve meses restantes de 2013, sobre la base de costos estándar. </w:t>
      </w:r>
    </w:p>
    <w:p w:rsidR="00B070BF" w:rsidRPr="009577DE" w:rsidRDefault="00B070BF" w:rsidP="00B070BF">
      <w:pPr>
        <w:widowControl w:val="0"/>
        <w:autoSpaceDE w:val="0"/>
        <w:autoSpaceDN w:val="0"/>
        <w:adjustRightInd w:val="0"/>
        <w:rPr>
          <w:sz w:val="16"/>
          <w:szCs w:val="16"/>
          <w:lang w:val="es-ES_tradnl"/>
        </w:rPr>
      </w:pPr>
    </w:p>
    <w:p w:rsidR="00B070BF" w:rsidRPr="009577DE" w:rsidRDefault="00B070BF" w:rsidP="00B070BF">
      <w:pPr>
        <w:widowControl w:val="0"/>
        <w:autoSpaceDE w:val="0"/>
        <w:autoSpaceDN w:val="0"/>
        <w:adjustRightInd w:val="0"/>
        <w:rPr>
          <w:sz w:val="16"/>
          <w:szCs w:val="16"/>
          <w:lang w:val="es-ES_tradnl"/>
        </w:rPr>
      </w:pPr>
      <w:r w:rsidRPr="009577DE">
        <w:rPr>
          <w:sz w:val="16"/>
          <w:szCs w:val="16"/>
          <w:lang w:val="es-ES_tradnl"/>
        </w:rPr>
        <w:t>3) La asignación no relativa al personal del presupuesto de 2012/13 después de las transferencias refleja los ajustes a la baja efectuados para aumentar la eficacia en función de los costos, de conformidad con el compromiso de la Organización de reducir gastos por un importe de 10,2 millones de francos suizos en el bienio 2012/13.</w:t>
      </w:r>
    </w:p>
    <w:p w:rsidR="00B070BF" w:rsidRPr="009577DE" w:rsidRDefault="00B070BF" w:rsidP="00B070BF">
      <w:pPr>
        <w:widowControl w:val="0"/>
        <w:rPr>
          <w:sz w:val="20"/>
          <w:lang w:val="es-ES_tradnl"/>
        </w:rPr>
      </w:pPr>
    </w:p>
    <w:p w:rsidR="00B070BF" w:rsidRPr="009577DE" w:rsidRDefault="00B070BF" w:rsidP="00B070BF">
      <w:pPr>
        <w:widowControl w:val="0"/>
        <w:rPr>
          <w:sz w:val="20"/>
          <w:lang w:val="es-ES_tradnl"/>
        </w:rPr>
      </w:pPr>
    </w:p>
    <w:p w:rsidR="00B070BF" w:rsidRPr="009577DE" w:rsidRDefault="00B070BF" w:rsidP="00B070BF">
      <w:pPr>
        <w:widowControl w:val="0"/>
        <w:rPr>
          <w:sz w:val="20"/>
          <w:u w:val="single"/>
          <w:lang w:val="es-ES_tradnl"/>
        </w:rPr>
      </w:pPr>
      <w:r>
        <w:rPr>
          <w:sz w:val="20"/>
          <w:lang w:val="es-ES_tradnl"/>
        </w:rPr>
        <w:t xml:space="preserve">A.  </w:t>
      </w:r>
      <w:r w:rsidRPr="009577DE">
        <w:rPr>
          <w:sz w:val="20"/>
          <w:u w:val="single"/>
          <w:lang w:val="es-ES_tradnl"/>
        </w:rPr>
        <w:t xml:space="preserve">Presupuesto </w:t>
      </w:r>
      <w:r>
        <w:rPr>
          <w:sz w:val="20"/>
          <w:u w:val="single"/>
          <w:lang w:val="es-ES_tradnl"/>
        </w:rPr>
        <w:t>2012/13</w:t>
      </w:r>
      <w:r w:rsidRPr="009577DE">
        <w:rPr>
          <w:sz w:val="20"/>
          <w:u w:val="single"/>
          <w:lang w:val="es-ES_tradnl"/>
        </w:rPr>
        <w:t xml:space="preserve"> después de las transferencias</w:t>
      </w:r>
    </w:p>
    <w:p w:rsidR="00B070BF" w:rsidRPr="009577DE" w:rsidRDefault="00B070BF" w:rsidP="00B070BF">
      <w:pPr>
        <w:widowControl w:val="0"/>
        <w:rPr>
          <w:sz w:val="20"/>
          <w:lang w:val="es-ES_tradnl"/>
        </w:rPr>
      </w:pPr>
    </w:p>
    <w:p w:rsidR="00B070BF" w:rsidRPr="009577DE" w:rsidRDefault="00B070BF" w:rsidP="00B070BF">
      <w:pPr>
        <w:widowControl w:val="0"/>
        <w:numPr>
          <w:ilvl w:val="0"/>
          <w:numId w:val="32"/>
        </w:numPr>
        <w:autoSpaceDE w:val="0"/>
        <w:autoSpaceDN w:val="0"/>
        <w:adjustRightInd w:val="0"/>
        <w:ind w:left="0" w:firstLine="0"/>
        <w:jc w:val="both"/>
        <w:rPr>
          <w:sz w:val="20"/>
          <w:lang w:val="es-ES_tradnl"/>
        </w:rPr>
      </w:pPr>
      <w:r w:rsidRPr="009577DE">
        <w:rPr>
          <w:sz w:val="20"/>
          <w:lang w:val="es-ES_tradnl"/>
        </w:rPr>
        <w:t xml:space="preserve">La disminución global neta de los recursos asignados a este programa refleja la combinación de:  i) una disminución neta consecuencia de la reasignación de personal a otros programas y puestos vacantes y de un aumento de los recursos no relativos al personal relacionados con el proyecto de la Agenda para el Desarrollo denominado “P.I. y la transferencia de la tecnología:  desafíos comunes y búsqueda de soluciones”.  Esto se refleja en los resultados III.2 (Mejora de las capacidades en el ámbito de los recursos humanos), III.11 (Mejor comprensión/capacidad de las Pymes) y IV.2 (Mejora en el acceso y la utilización de la información y los conocimientos sobre P.I.);  y ii) un aumento de los recursos no relativos al personal relacionados con el resultado VII.3 (Uso de las herramientas de P.I. para la </w:t>
      </w:r>
      <w:r w:rsidRPr="009577DE">
        <w:rPr>
          <w:sz w:val="20"/>
          <w:lang w:val="es-ES_tradnl"/>
        </w:rPr>
        <w:lastRenderedPageBreak/>
        <w:t>transferencia de tecnología) ocasionado por la reasignación de ciertas actividades vinculadas con proyectos de colaboración abierta y modelos de P.I. en el marco de ese resultado, que previamente se habían incluido en el resultado IV.2 (Mejora en el acceso y la utilización de la información y los conocimientos sobre P.I.).</w:t>
      </w:r>
    </w:p>
    <w:p w:rsidR="00B070BF" w:rsidRPr="009577DE" w:rsidRDefault="00B070BF" w:rsidP="00B070BF">
      <w:pPr>
        <w:widowControl w:val="0"/>
        <w:rPr>
          <w:sz w:val="20"/>
          <w:lang w:val="es-ES_tradnl"/>
        </w:rPr>
      </w:pPr>
    </w:p>
    <w:p w:rsidR="00B070BF" w:rsidRPr="009577DE" w:rsidRDefault="00B070BF" w:rsidP="00B070BF">
      <w:pPr>
        <w:widowControl w:val="0"/>
        <w:jc w:val="both"/>
        <w:rPr>
          <w:rFonts w:eastAsia="Batang"/>
          <w:sz w:val="20"/>
          <w:u w:val="single"/>
          <w:lang w:val="es-ES_tradnl" w:eastAsia="ko-KR"/>
        </w:rPr>
      </w:pPr>
      <w:r w:rsidRPr="009577DE">
        <w:rPr>
          <w:rFonts w:eastAsia="Batang"/>
          <w:sz w:val="20"/>
          <w:lang w:val="es-ES_tradnl" w:eastAsia="ko-KR"/>
        </w:rPr>
        <w:t>B.</w:t>
      </w:r>
      <w:r>
        <w:rPr>
          <w:rFonts w:eastAsia="Batang"/>
          <w:sz w:val="20"/>
          <w:lang w:val="es-ES_tradnl" w:eastAsia="ko-KR"/>
        </w:rPr>
        <w:t xml:space="preserve">  </w:t>
      </w:r>
      <w:r w:rsidRPr="009577DE">
        <w:rPr>
          <w:rFonts w:eastAsia="Batang"/>
          <w:sz w:val="20"/>
          <w:u w:val="single"/>
          <w:lang w:val="es-ES_tradnl" w:eastAsia="ko-KR"/>
        </w:rPr>
        <w:t>Utilización del presupuesto 2012</w:t>
      </w:r>
    </w:p>
    <w:p w:rsidR="00B070BF" w:rsidRPr="009577DE" w:rsidRDefault="00B070BF" w:rsidP="00B070BF">
      <w:pPr>
        <w:widowControl w:val="0"/>
        <w:jc w:val="both"/>
        <w:rPr>
          <w:rFonts w:eastAsia="Batang"/>
          <w:sz w:val="20"/>
          <w:lang w:val="es-ES_tradnl" w:eastAsia="ko-KR"/>
        </w:rPr>
      </w:pPr>
    </w:p>
    <w:p w:rsidR="00B070BF" w:rsidRPr="009577DE" w:rsidRDefault="00B070BF" w:rsidP="00B070BF">
      <w:pPr>
        <w:widowControl w:val="0"/>
        <w:numPr>
          <w:ilvl w:val="0"/>
          <w:numId w:val="32"/>
        </w:numPr>
        <w:tabs>
          <w:tab w:val="left" w:pos="709"/>
        </w:tabs>
        <w:autoSpaceDE w:val="0"/>
        <w:autoSpaceDN w:val="0"/>
        <w:adjustRightInd w:val="0"/>
        <w:ind w:left="0" w:firstLine="0"/>
        <w:jc w:val="both"/>
        <w:rPr>
          <w:sz w:val="20"/>
          <w:lang w:val="es-ES_tradnl"/>
        </w:rPr>
      </w:pPr>
      <w:r w:rsidRPr="009577DE">
        <w:rPr>
          <w:sz w:val="20"/>
          <w:lang w:val="es-ES_tradnl"/>
        </w:rPr>
        <w:t xml:space="preserve">La escasa utilización de los recursos no relativos al personal se debe, sobre todo, a la reorientación de la política de innovación relacionada con la labor llevada a cabo en el marco del resultado IV.2 (Mejora en el acceso y la utilización de la información y los conocimientos sobre P.I.), así como a un ritmo de ejecución de los proyectos de la Agenda para el Desarrollo más lento de lo previsto en lo tocante a los resultados III.2 (Mejora de las capacidades en el ámbito de los recursos humanos) y III.11 (Mejor comprensión/capacidad de las Pymes). </w:t>
      </w:r>
    </w:p>
    <w:p w:rsidR="00B070BF" w:rsidRPr="009577DE" w:rsidRDefault="00B070BF" w:rsidP="00B070BF">
      <w:pPr>
        <w:widowControl w:val="0"/>
        <w:tabs>
          <w:tab w:val="left" w:pos="709"/>
        </w:tabs>
        <w:autoSpaceDE w:val="0"/>
        <w:autoSpaceDN w:val="0"/>
        <w:adjustRightInd w:val="0"/>
        <w:jc w:val="both"/>
        <w:rPr>
          <w:sz w:val="20"/>
          <w:lang w:val="es-ES_tradnl"/>
        </w:rPr>
      </w:pPr>
    </w:p>
    <w:p w:rsidR="00B070BF" w:rsidRPr="009577DE" w:rsidRDefault="00B070BF" w:rsidP="00B070BF">
      <w:pPr>
        <w:widowControl w:val="0"/>
        <w:rPr>
          <w:sz w:val="20"/>
          <w:lang w:val="es-ES_tradnl"/>
        </w:rPr>
      </w:pPr>
    </w:p>
    <w:p w:rsidR="00B070BF" w:rsidRPr="009577DE" w:rsidRDefault="00B070BF" w:rsidP="00B070BF">
      <w:pPr>
        <w:pStyle w:val="Heading2"/>
        <w:ind w:left="2835" w:hanging="2835"/>
        <w:rPr>
          <w:b/>
          <w:lang w:val="es-ES_tradnl"/>
        </w:rPr>
      </w:pPr>
      <w:r w:rsidRPr="009577DE">
        <w:rPr>
          <w:lang w:val="es-ES_tradnl"/>
        </w:rPr>
        <w:br w:type="page"/>
      </w:r>
      <w:bookmarkStart w:id="36" w:name="_Toc359846798"/>
      <w:bookmarkStart w:id="37" w:name="_Toc359949322"/>
      <w:r w:rsidRPr="009577DE">
        <w:rPr>
          <w:b/>
          <w:lang w:val="es-ES_tradnl"/>
        </w:rPr>
        <w:lastRenderedPageBreak/>
        <w:t>PROGRAMA 12</w:t>
      </w:r>
      <w:r w:rsidRPr="009577DE">
        <w:rPr>
          <w:b/>
          <w:lang w:val="es-ES_tradnl"/>
        </w:rPr>
        <w:tab/>
        <w:t>CLASIFICACIONES INTERNACIONALES Y NORMAS TÉCNICAS DE LA OMPI</w:t>
      </w:r>
      <w:bookmarkEnd w:id="36"/>
      <w:bookmarkEnd w:id="37"/>
    </w:p>
    <w:p w:rsidR="00B070BF" w:rsidRPr="009577DE" w:rsidRDefault="00B070BF" w:rsidP="00B070BF">
      <w:pPr>
        <w:widowControl w:val="0"/>
        <w:tabs>
          <w:tab w:val="left" w:pos="2835"/>
        </w:tabs>
        <w:rPr>
          <w:bCs/>
          <w:sz w:val="20"/>
          <w:lang w:val="es-ES_tradnl"/>
        </w:rPr>
      </w:pPr>
    </w:p>
    <w:p w:rsidR="00B070BF" w:rsidRPr="009577DE" w:rsidRDefault="00B070BF" w:rsidP="00B070BF">
      <w:pPr>
        <w:widowControl w:val="0"/>
        <w:tabs>
          <w:tab w:val="left" w:pos="2835"/>
        </w:tabs>
        <w:rPr>
          <w:bCs/>
          <w:sz w:val="20"/>
          <w:lang w:val="es-ES_tradnl"/>
        </w:rPr>
      </w:pPr>
    </w:p>
    <w:p w:rsidR="00B070BF" w:rsidRPr="009577DE" w:rsidRDefault="00B070BF" w:rsidP="00B070BF">
      <w:pPr>
        <w:widowControl w:val="0"/>
        <w:tabs>
          <w:tab w:val="left" w:pos="2835"/>
        </w:tabs>
        <w:rPr>
          <w:b/>
          <w:szCs w:val="22"/>
          <w:lang w:val="es-ES_tradnl"/>
        </w:rPr>
      </w:pPr>
      <w:r w:rsidRPr="009577DE">
        <w:rPr>
          <w:b/>
          <w:szCs w:val="22"/>
          <w:lang w:val="es-ES_tradnl"/>
        </w:rPr>
        <w:t>Director del Programa</w:t>
      </w:r>
      <w:r w:rsidRPr="009577DE">
        <w:rPr>
          <w:szCs w:val="22"/>
          <w:lang w:val="es-ES_tradnl"/>
        </w:rPr>
        <w:tab/>
      </w:r>
      <w:r w:rsidRPr="009577DE">
        <w:rPr>
          <w:b/>
          <w:szCs w:val="22"/>
          <w:lang w:val="es-ES_tradnl"/>
        </w:rPr>
        <w:t>Sr Y. Takagi</w:t>
      </w:r>
    </w:p>
    <w:p w:rsidR="00B070BF" w:rsidRPr="009577DE" w:rsidRDefault="00B070BF" w:rsidP="00B070BF">
      <w:pPr>
        <w:widowControl w:val="0"/>
        <w:rPr>
          <w:sz w:val="20"/>
          <w:lang w:val="es-ES_tradnl"/>
        </w:rPr>
      </w:pPr>
    </w:p>
    <w:p w:rsidR="00B070BF" w:rsidRPr="009577DE" w:rsidRDefault="00B070BF" w:rsidP="00B070BF">
      <w:pPr>
        <w:widowControl w:val="0"/>
        <w:rPr>
          <w:bCs/>
          <w:sz w:val="20"/>
          <w:lang w:val="es-ES_tradnl"/>
        </w:rPr>
      </w:pPr>
    </w:p>
    <w:p w:rsidR="00B070BF" w:rsidRPr="009577DE" w:rsidRDefault="00B070BF" w:rsidP="00B070BF">
      <w:pPr>
        <w:widowControl w:val="0"/>
        <w:spacing w:line="260" w:lineRule="atLeast"/>
        <w:rPr>
          <w:bCs/>
          <w:szCs w:val="22"/>
          <w:lang w:val="es-ES_tradnl"/>
        </w:rPr>
      </w:pPr>
      <w:r w:rsidRPr="009577DE">
        <w:rPr>
          <w:bCs/>
          <w:sz w:val="20"/>
          <w:szCs w:val="22"/>
          <w:lang w:val="es-ES_tradnl"/>
        </w:rPr>
        <w:t>RESEÑA DE LOS AVANCES LOGRADOS EN 2012</w:t>
      </w:r>
    </w:p>
    <w:p w:rsidR="00B070BF" w:rsidRPr="009577DE" w:rsidRDefault="00B070BF" w:rsidP="00B070BF">
      <w:pPr>
        <w:widowControl w:val="0"/>
        <w:jc w:val="both"/>
        <w:rPr>
          <w:szCs w:val="22"/>
          <w:lang w:val="es-ES_tradnl"/>
        </w:rPr>
      </w:pPr>
    </w:p>
    <w:p w:rsidR="00B070BF" w:rsidRPr="009577DE" w:rsidRDefault="00B070BF" w:rsidP="00B070BF">
      <w:pPr>
        <w:widowControl w:val="0"/>
        <w:numPr>
          <w:ilvl w:val="0"/>
          <w:numId w:val="8"/>
        </w:numPr>
        <w:autoSpaceDE w:val="0"/>
        <w:autoSpaceDN w:val="0"/>
        <w:adjustRightInd w:val="0"/>
        <w:jc w:val="both"/>
        <w:rPr>
          <w:sz w:val="20"/>
          <w:lang w:val="es-ES_tradnl"/>
        </w:rPr>
      </w:pPr>
      <w:r w:rsidRPr="009577DE">
        <w:rPr>
          <w:sz w:val="20"/>
          <w:lang w:val="es-ES_tradnl"/>
        </w:rPr>
        <w:t>Durante el año 2012 se registraron avances sustanciales en el ámbito de las clasificaciones internacionales y las normas de la OMPI sobre propiedad intelectual.</w:t>
      </w:r>
    </w:p>
    <w:p w:rsidR="00B070BF" w:rsidRPr="009577DE" w:rsidRDefault="00B070BF" w:rsidP="00B070BF">
      <w:pPr>
        <w:widowControl w:val="0"/>
        <w:autoSpaceDE w:val="0"/>
        <w:autoSpaceDN w:val="0"/>
        <w:adjustRightInd w:val="0"/>
        <w:jc w:val="both"/>
        <w:rPr>
          <w:sz w:val="20"/>
          <w:lang w:val="es-ES_tradnl"/>
        </w:rPr>
      </w:pPr>
    </w:p>
    <w:p w:rsidR="00B070BF" w:rsidRPr="009577DE" w:rsidRDefault="00B070BF" w:rsidP="00B070BF">
      <w:pPr>
        <w:widowControl w:val="0"/>
        <w:numPr>
          <w:ilvl w:val="0"/>
          <w:numId w:val="8"/>
        </w:numPr>
        <w:autoSpaceDE w:val="0"/>
        <w:autoSpaceDN w:val="0"/>
        <w:adjustRightInd w:val="0"/>
        <w:jc w:val="both"/>
        <w:rPr>
          <w:sz w:val="20"/>
          <w:lang w:val="es-ES_tradnl"/>
        </w:rPr>
      </w:pPr>
      <w:r w:rsidRPr="009577DE">
        <w:rPr>
          <w:sz w:val="20"/>
          <w:lang w:val="es-ES_tradnl"/>
        </w:rPr>
        <w:t>Se llevó a cabo el procedimiento de revisión de la Clasificación de Niza y el Comité de Expertos se reunió por vez primera en su sesión anual para aprobar las modificaciones publicadas en la Clasificación, que a partir de 2013 será de carácter anual.  El Comité aprobó un nuevo procedimiento para debatir las propuestas de modificación de la Clasificación que prevé la celebración de una ronda de debates en línea a través de un foro electrónico antes de someter las propuestas a consideración durante el plenario.  Se espera que, de este modo, las deliberaciones mantenidas durante la sesión plenaria discurran de forma más fluida y eficaz.  Se puso en funcionamiento con éxito la nueva plataforma de publicación para la Clasificación de Niza, en la que se alojan las versiones nuevas todos los años.  Esta novedosa plataforma incluirá además la Taxonomía creada en 2012 en colaboración con la OAMI.</w:t>
      </w:r>
    </w:p>
    <w:p w:rsidR="00B070BF" w:rsidRPr="009577DE" w:rsidRDefault="00B070BF" w:rsidP="00B070BF">
      <w:pPr>
        <w:widowControl w:val="0"/>
        <w:autoSpaceDE w:val="0"/>
        <w:autoSpaceDN w:val="0"/>
        <w:adjustRightInd w:val="0"/>
        <w:jc w:val="both"/>
        <w:rPr>
          <w:sz w:val="20"/>
          <w:lang w:val="es-ES_tradnl"/>
        </w:rPr>
      </w:pPr>
    </w:p>
    <w:p w:rsidR="00B070BF" w:rsidRPr="009577DE" w:rsidRDefault="00B070BF" w:rsidP="00B070BF">
      <w:pPr>
        <w:widowControl w:val="0"/>
        <w:numPr>
          <w:ilvl w:val="0"/>
          <w:numId w:val="8"/>
        </w:numPr>
        <w:autoSpaceDE w:val="0"/>
        <w:autoSpaceDN w:val="0"/>
        <w:adjustRightInd w:val="0"/>
        <w:jc w:val="both"/>
        <w:rPr>
          <w:sz w:val="20"/>
          <w:lang w:val="es-ES_tradnl"/>
        </w:rPr>
      </w:pPr>
      <w:r w:rsidRPr="009577DE">
        <w:rPr>
          <w:sz w:val="20"/>
          <w:lang w:val="es-ES_tradnl"/>
        </w:rPr>
        <w:t xml:space="preserve">La séptima edición de la Clasificación de Viena se publicó en la fecha prevista.  El Comité de Expertos de la Clasificación de </w:t>
      </w:r>
      <w:proofErr w:type="spellStart"/>
      <w:r w:rsidRPr="009577DE">
        <w:rPr>
          <w:sz w:val="20"/>
          <w:lang w:val="es-ES_tradnl"/>
        </w:rPr>
        <w:t>Locarno</w:t>
      </w:r>
      <w:proofErr w:type="spellEnd"/>
      <w:r w:rsidRPr="009577DE">
        <w:rPr>
          <w:sz w:val="20"/>
          <w:lang w:val="es-ES_tradnl"/>
        </w:rPr>
        <w:t xml:space="preserve"> se reunió durante el mes de noviembre y aprobó las modificaciones a la décima edición de la Clasificación de 2013.  El Comité de Expertos de la Unión de </w:t>
      </w:r>
      <w:proofErr w:type="spellStart"/>
      <w:r w:rsidRPr="009577DE">
        <w:rPr>
          <w:sz w:val="20"/>
          <w:lang w:val="es-ES_tradnl"/>
        </w:rPr>
        <w:t>Locarno</w:t>
      </w:r>
      <w:proofErr w:type="spellEnd"/>
      <w:r w:rsidRPr="009577DE">
        <w:rPr>
          <w:sz w:val="20"/>
          <w:lang w:val="es-ES_tradnl"/>
        </w:rPr>
        <w:t xml:space="preserve"> solicitó además la reactivación del Grupo Piloto, que no se había reunido desde hacía más de un año debido a los retrasos en el proyecto, para seguir trabajando en el diseño de una herramienta con la que efectuar búsquedas de características visuales en las solicitudes de dibujos o modelos.</w:t>
      </w:r>
    </w:p>
    <w:p w:rsidR="00B070BF" w:rsidRPr="009577DE" w:rsidRDefault="00B070BF" w:rsidP="00B070BF">
      <w:pPr>
        <w:widowControl w:val="0"/>
        <w:autoSpaceDE w:val="0"/>
        <w:autoSpaceDN w:val="0"/>
        <w:adjustRightInd w:val="0"/>
        <w:jc w:val="both"/>
        <w:rPr>
          <w:sz w:val="20"/>
          <w:lang w:val="es-ES_tradnl"/>
        </w:rPr>
      </w:pPr>
    </w:p>
    <w:p w:rsidR="00B070BF" w:rsidRPr="009577DE" w:rsidRDefault="00B070BF" w:rsidP="00B070BF">
      <w:pPr>
        <w:widowControl w:val="0"/>
        <w:numPr>
          <w:ilvl w:val="0"/>
          <w:numId w:val="8"/>
        </w:numPr>
        <w:autoSpaceDE w:val="0"/>
        <w:autoSpaceDN w:val="0"/>
        <w:adjustRightInd w:val="0"/>
        <w:jc w:val="both"/>
        <w:rPr>
          <w:sz w:val="20"/>
          <w:lang w:val="es-ES_tradnl"/>
        </w:rPr>
      </w:pPr>
      <w:r w:rsidRPr="009577DE">
        <w:rPr>
          <w:sz w:val="20"/>
          <w:lang w:val="es-ES_tradnl"/>
        </w:rPr>
        <w:t xml:space="preserve">El número de revisiones de la CIP experimentó un descenso el año anterior provocado por las dificultades que experimentaron las Oficinas de la Cooperación </w:t>
      </w:r>
      <w:proofErr w:type="spellStart"/>
      <w:r w:rsidRPr="009577DE">
        <w:rPr>
          <w:sz w:val="20"/>
          <w:lang w:val="es-ES_tradnl"/>
        </w:rPr>
        <w:t>Pentalateral</w:t>
      </w:r>
      <w:proofErr w:type="spellEnd"/>
      <w:r w:rsidRPr="009577DE">
        <w:rPr>
          <w:sz w:val="20"/>
          <w:lang w:val="es-ES_tradnl"/>
        </w:rPr>
        <w:t xml:space="preserve"> (OEP, </w:t>
      </w:r>
      <w:r w:rsidRPr="009577DE">
        <w:rPr>
          <w:bCs/>
          <w:sz w:val="20"/>
          <w:lang w:val="es-ES_tradnl"/>
        </w:rPr>
        <w:t>Oficina Surcoreana de la Propiedad Intelectual</w:t>
      </w:r>
      <w:r w:rsidRPr="009577DE">
        <w:rPr>
          <w:sz w:val="20"/>
          <w:lang w:val="es-ES_tradnl"/>
        </w:rPr>
        <w:t>, JPO, Oficina Estatal de Propiedad Intelectual de China y la USPTO) para alcanzar un acuerdo en torno a un marco para el proyecto de creación de una clasificación híbrida común.  En vista de estas dificultades y de la necesidad de desarrollar la CIP en aquellas áreas que registran una mayor actividad en los países emergentes, la Secretaría propuso una hoja de ruta enumerando las que considera prioritarias para 2013.  Por otra parte, las oficinas comenzaron a utilizar de forma intensa la nueva plataforma de reclasificación, cuya puesta en funcionamiento se produjo durante ese mismo año.</w:t>
      </w:r>
    </w:p>
    <w:p w:rsidR="00B070BF" w:rsidRPr="009577DE" w:rsidRDefault="00B070BF" w:rsidP="00B070BF">
      <w:pPr>
        <w:widowControl w:val="0"/>
        <w:autoSpaceDE w:val="0"/>
        <w:autoSpaceDN w:val="0"/>
        <w:adjustRightInd w:val="0"/>
        <w:jc w:val="both"/>
        <w:rPr>
          <w:sz w:val="20"/>
          <w:lang w:val="es-ES_tradnl"/>
        </w:rPr>
      </w:pPr>
    </w:p>
    <w:p w:rsidR="00B070BF" w:rsidRPr="009577DE" w:rsidRDefault="00B070BF" w:rsidP="00B070BF">
      <w:pPr>
        <w:widowControl w:val="0"/>
        <w:numPr>
          <w:ilvl w:val="0"/>
          <w:numId w:val="8"/>
        </w:numPr>
        <w:autoSpaceDE w:val="0"/>
        <w:autoSpaceDN w:val="0"/>
        <w:adjustRightInd w:val="0"/>
        <w:jc w:val="both"/>
        <w:rPr>
          <w:sz w:val="20"/>
        </w:rPr>
      </w:pPr>
      <w:r w:rsidRPr="009577DE">
        <w:rPr>
          <w:sz w:val="20"/>
          <w:lang w:val="es-ES_tradnl"/>
        </w:rPr>
        <w:t xml:space="preserve">El Comité de Normas Técnicas de la OMPI (CWS) se reunió durante su segunda sesión ordinaria y registró avances positivos en lo relativo a su labor técnica, destacando la aprobación de la primera versión de la Norma ST.96 sobre XML y propiedad intelectual. El </w:t>
      </w:r>
      <w:r w:rsidRPr="009577DE">
        <w:rPr>
          <w:sz w:val="20"/>
        </w:rPr>
        <w:t xml:space="preserve">CWS acordó que era preciso continuar las consultas sobre cuestiones organizativas y procedimentales y que el Presidente de la Asamblea General era la figura más indicada para convocar estas reuniones.  Para recopilar los datos y publicar las encuestas se empleó la base de datos WIPOSTAD. </w:t>
      </w:r>
    </w:p>
    <w:p w:rsidR="00B070BF" w:rsidRPr="009577DE" w:rsidRDefault="00B070BF" w:rsidP="00B070BF">
      <w:pPr>
        <w:widowControl w:val="0"/>
        <w:autoSpaceDE w:val="0"/>
        <w:autoSpaceDN w:val="0"/>
        <w:adjustRightInd w:val="0"/>
        <w:rPr>
          <w:bCs/>
          <w:szCs w:val="22"/>
        </w:rPr>
      </w:pPr>
    </w:p>
    <w:p w:rsidR="00B070BF" w:rsidRPr="009577DE" w:rsidRDefault="00B070BF" w:rsidP="00B070BF">
      <w:pPr>
        <w:widowControl w:val="0"/>
        <w:jc w:val="both"/>
        <w:rPr>
          <w:bCs/>
          <w:szCs w:val="22"/>
        </w:rPr>
      </w:pPr>
    </w:p>
    <w:p w:rsidR="00B070BF" w:rsidRPr="009577DE" w:rsidRDefault="00B070BF" w:rsidP="00B070BF">
      <w:pPr>
        <w:widowControl w:val="0"/>
        <w:jc w:val="both"/>
        <w:rPr>
          <w:bCs/>
          <w:szCs w:val="22"/>
          <w:lang w:val="pt-BR"/>
        </w:rPr>
      </w:pPr>
      <w:r w:rsidRPr="009577DE">
        <w:rPr>
          <w:bCs/>
          <w:sz w:val="20"/>
          <w:szCs w:val="22"/>
          <w:lang w:val="es-ES_tradnl"/>
        </w:rPr>
        <w:t>APLICACIÓN DE LA AGENDA PARA EL DESARROLLO</w:t>
      </w:r>
      <w:r w:rsidRPr="009577DE">
        <w:rPr>
          <w:bCs/>
          <w:sz w:val="20"/>
          <w:szCs w:val="22"/>
          <w:lang w:val="pt-BR"/>
        </w:rPr>
        <w:t xml:space="preserve"> </w:t>
      </w:r>
    </w:p>
    <w:p w:rsidR="00B070BF" w:rsidRPr="009577DE" w:rsidRDefault="00B070BF" w:rsidP="00B070BF">
      <w:pPr>
        <w:widowControl w:val="0"/>
        <w:autoSpaceDE w:val="0"/>
        <w:autoSpaceDN w:val="0"/>
        <w:adjustRightInd w:val="0"/>
        <w:rPr>
          <w:b/>
          <w:bCs/>
          <w:szCs w:val="22"/>
          <w:lang w:val="es-ES_tradnl"/>
        </w:rPr>
      </w:pPr>
    </w:p>
    <w:p w:rsidR="00B070BF" w:rsidRPr="009577DE" w:rsidRDefault="00B070BF" w:rsidP="00B070BF">
      <w:pPr>
        <w:widowControl w:val="0"/>
        <w:numPr>
          <w:ilvl w:val="0"/>
          <w:numId w:val="8"/>
        </w:numPr>
        <w:autoSpaceDE w:val="0"/>
        <w:autoSpaceDN w:val="0"/>
        <w:adjustRightInd w:val="0"/>
        <w:jc w:val="both"/>
        <w:rPr>
          <w:rFonts w:eastAsia="MS Mincho"/>
          <w:sz w:val="20"/>
          <w:lang w:val="es-ES_tradnl" w:eastAsia="ja-JP" w:bidi="th-TH"/>
        </w:rPr>
      </w:pPr>
      <w:r w:rsidRPr="009577DE">
        <w:rPr>
          <w:rFonts w:eastAsia="MS Mincho"/>
          <w:sz w:val="20"/>
          <w:lang w:val="es-ES_tradnl" w:eastAsia="ja-JP" w:bidi="th-TH"/>
        </w:rPr>
        <w:t>El trabajo del programa 12 respalda la aplicación de las recomendaciones 8, 30 y 31 de la Agenda para el Desarrollo, al facilitar el acceso de los países en desarrollo a información pública sobre patentes.  Por este motivo, contribuye también a la labor que se realiza en aras de la transferencia de tecnología.</w:t>
      </w:r>
    </w:p>
    <w:p w:rsidR="00B070BF" w:rsidRPr="009577DE" w:rsidRDefault="00B070BF" w:rsidP="00B070BF">
      <w:pPr>
        <w:widowControl w:val="0"/>
        <w:jc w:val="both"/>
        <w:rPr>
          <w:szCs w:val="22"/>
          <w:lang w:val="es-ES_tradnl"/>
        </w:rPr>
      </w:pPr>
    </w:p>
    <w:p w:rsidR="00B070BF" w:rsidRDefault="00B070BF" w:rsidP="00B070BF">
      <w:pPr>
        <w:rPr>
          <w:szCs w:val="22"/>
          <w:lang w:val="es-ES_tradnl"/>
        </w:rPr>
      </w:pPr>
      <w:r>
        <w:rPr>
          <w:szCs w:val="22"/>
          <w:lang w:val="es-ES_tradnl"/>
        </w:rPr>
        <w:br w:type="page"/>
      </w:r>
    </w:p>
    <w:p w:rsidR="00B070BF" w:rsidRPr="009577DE" w:rsidRDefault="00B070BF" w:rsidP="00B070BF">
      <w:pPr>
        <w:widowControl w:val="0"/>
        <w:jc w:val="both"/>
        <w:rPr>
          <w:szCs w:val="22"/>
          <w:lang w:val="es-ES_tradnl"/>
        </w:rPr>
      </w:pPr>
    </w:p>
    <w:p w:rsidR="00B070BF" w:rsidRDefault="00B070BF" w:rsidP="00B070BF">
      <w:pPr>
        <w:widowControl w:val="0"/>
        <w:jc w:val="both"/>
        <w:rPr>
          <w:bCs/>
          <w:sz w:val="20"/>
          <w:szCs w:val="22"/>
          <w:lang w:val="es-ES_tradnl"/>
        </w:rPr>
      </w:pPr>
      <w:r w:rsidRPr="00FF7460">
        <w:rPr>
          <w:bCs/>
          <w:sz w:val="20"/>
          <w:szCs w:val="22"/>
          <w:lang w:val="es-ES_tradnl"/>
        </w:rPr>
        <w:t>DATOS SOBRE EL RENDIMIENTO</w:t>
      </w:r>
    </w:p>
    <w:p w:rsidR="00B070BF" w:rsidRPr="00FF7460" w:rsidRDefault="00B070BF" w:rsidP="00B070BF">
      <w:pPr>
        <w:widowControl w:val="0"/>
        <w:jc w:val="both"/>
        <w:rPr>
          <w:bCs/>
          <w:sz w:val="20"/>
          <w:szCs w:val="22"/>
          <w:lang w:val="es-ES_tradnl"/>
        </w:rPr>
      </w:pPr>
    </w:p>
    <w:tbl>
      <w:tblPr>
        <w:tblW w:w="5000" w:type="pct"/>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631"/>
        <w:gridCol w:w="1499"/>
        <w:gridCol w:w="1709"/>
        <w:gridCol w:w="3493"/>
        <w:gridCol w:w="1239"/>
      </w:tblGrid>
      <w:tr w:rsidR="00B070BF" w:rsidRPr="009577DE" w:rsidTr="00C33D4A">
        <w:trPr>
          <w:cantSplit/>
        </w:trPr>
        <w:tc>
          <w:tcPr>
            <w:tcW w:w="5000" w:type="pct"/>
            <w:gridSpan w:val="5"/>
            <w:tcBorders>
              <w:top w:val="single" w:sz="4" w:space="0" w:color="auto"/>
              <w:left w:val="single" w:sz="4" w:space="0" w:color="auto"/>
              <w:bottom w:val="single" w:sz="4" w:space="0" w:color="auto"/>
              <w:right w:val="single" w:sz="4" w:space="0" w:color="auto"/>
            </w:tcBorders>
            <w:shd w:val="clear" w:color="auto" w:fill="CCFFFF"/>
            <w:vAlign w:val="center"/>
          </w:tcPr>
          <w:p w:rsidR="00B070BF" w:rsidRPr="009577DE" w:rsidRDefault="00B070BF" w:rsidP="00C33D4A">
            <w:pPr>
              <w:widowControl w:val="0"/>
              <w:spacing w:before="120" w:after="120"/>
              <w:ind w:left="1735" w:hanging="1735"/>
              <w:rPr>
                <w:b/>
                <w:bCs/>
                <w:sz w:val="16"/>
                <w:szCs w:val="16"/>
                <w:lang w:val="es-ES_tradnl"/>
              </w:rPr>
            </w:pPr>
            <w:r w:rsidRPr="009577DE">
              <w:rPr>
                <w:b/>
                <w:bCs/>
                <w:sz w:val="16"/>
                <w:szCs w:val="16"/>
                <w:lang w:val="es-ES_tradnl"/>
              </w:rPr>
              <w:t>Resultado previsto:</w:t>
            </w:r>
            <w:r w:rsidRPr="009577DE">
              <w:rPr>
                <w:b/>
                <w:bCs/>
                <w:sz w:val="16"/>
                <w:szCs w:val="16"/>
                <w:lang w:val="es-ES_tradnl"/>
              </w:rPr>
              <w:tab/>
            </w:r>
            <w:r w:rsidRPr="009577DE">
              <w:rPr>
                <w:bCs/>
                <w:sz w:val="16"/>
                <w:szCs w:val="16"/>
                <w:lang w:val="es-ES_tradnl"/>
              </w:rPr>
              <w:t>Sistema actualizado y aceptado mundialmente de clasificaciones internacionales y normas técnicas de la OMPI para facilitar el acceso, el uso y la difusión de información de P.I. entre los sectores interesados de todo el mundo.</w:t>
            </w:r>
          </w:p>
        </w:tc>
      </w:tr>
      <w:tr w:rsidR="00B070BF" w:rsidRPr="009577DE" w:rsidTr="00C33D4A">
        <w:trPr>
          <w:cantSplit/>
        </w:trPr>
        <w:tc>
          <w:tcPr>
            <w:tcW w:w="852" w:type="pct"/>
            <w:tcBorders>
              <w:top w:val="single" w:sz="4" w:space="0" w:color="auto"/>
              <w:left w:val="single" w:sz="4" w:space="0" w:color="auto"/>
              <w:bottom w:val="nil"/>
            </w:tcBorders>
            <w:shd w:val="clear" w:color="auto" w:fill="auto"/>
            <w:vAlign w:val="center"/>
          </w:tcPr>
          <w:p w:rsidR="00B070BF" w:rsidRPr="009577DE" w:rsidRDefault="00B070BF" w:rsidP="00C33D4A">
            <w:pPr>
              <w:widowControl w:val="0"/>
              <w:spacing w:after="120"/>
              <w:rPr>
                <w:sz w:val="16"/>
                <w:szCs w:val="16"/>
                <w:lang w:val="es-ES_tradnl"/>
              </w:rPr>
            </w:pPr>
            <w:r w:rsidRPr="009577DE">
              <w:rPr>
                <w:b/>
                <w:bCs/>
                <w:sz w:val="16"/>
                <w:szCs w:val="16"/>
                <w:lang w:val="es-ES_tradnl"/>
              </w:rPr>
              <w:t>Indicadores de rendimiento</w:t>
            </w:r>
          </w:p>
        </w:tc>
        <w:tc>
          <w:tcPr>
            <w:tcW w:w="783" w:type="pct"/>
            <w:tcBorders>
              <w:top w:val="single" w:sz="4" w:space="0" w:color="auto"/>
              <w:bottom w:val="nil"/>
            </w:tcBorders>
            <w:shd w:val="clear" w:color="auto" w:fill="C0C0C0"/>
          </w:tcPr>
          <w:p w:rsidR="00B070BF" w:rsidRPr="009577DE" w:rsidRDefault="00B070BF" w:rsidP="00C33D4A">
            <w:pPr>
              <w:widowControl w:val="0"/>
              <w:spacing w:after="120"/>
              <w:rPr>
                <w:b/>
                <w:bCs/>
                <w:sz w:val="16"/>
                <w:szCs w:val="16"/>
                <w:lang w:val="es-ES_tradnl"/>
              </w:rPr>
            </w:pPr>
            <w:r w:rsidRPr="009577DE">
              <w:rPr>
                <w:b/>
                <w:bCs/>
                <w:sz w:val="16"/>
                <w:szCs w:val="16"/>
                <w:lang w:val="es-ES_tradnl"/>
              </w:rPr>
              <w:t>Referencia (</w:t>
            </w:r>
            <w:proofErr w:type="spellStart"/>
            <w:r w:rsidRPr="009577DE">
              <w:rPr>
                <w:b/>
                <w:bCs/>
                <w:sz w:val="16"/>
                <w:szCs w:val="16"/>
                <w:lang w:val="es-ES_tradnl"/>
              </w:rPr>
              <w:t>Presup</w:t>
            </w:r>
            <w:proofErr w:type="spellEnd"/>
            <w:r w:rsidRPr="009577DE">
              <w:rPr>
                <w:b/>
                <w:bCs/>
                <w:sz w:val="16"/>
                <w:szCs w:val="16"/>
                <w:lang w:val="es-ES_tradnl"/>
              </w:rPr>
              <w:t xml:space="preserve">. por </w:t>
            </w:r>
            <w:proofErr w:type="spellStart"/>
            <w:r w:rsidRPr="009577DE">
              <w:rPr>
                <w:b/>
                <w:bCs/>
                <w:sz w:val="16"/>
                <w:szCs w:val="16"/>
                <w:lang w:val="es-ES_tradnl"/>
              </w:rPr>
              <w:t>prog</w:t>
            </w:r>
            <w:proofErr w:type="spellEnd"/>
            <w:r w:rsidRPr="009577DE">
              <w:rPr>
                <w:b/>
                <w:bCs/>
                <w:sz w:val="16"/>
                <w:szCs w:val="16"/>
                <w:lang w:val="es-ES_tradnl"/>
              </w:rPr>
              <w:t>. 2012/13)</w:t>
            </w:r>
          </w:p>
        </w:tc>
        <w:tc>
          <w:tcPr>
            <w:tcW w:w="893" w:type="pct"/>
            <w:tcBorders>
              <w:top w:val="single" w:sz="4" w:space="0" w:color="auto"/>
              <w:bottom w:val="nil"/>
            </w:tcBorders>
            <w:shd w:val="clear" w:color="auto" w:fill="auto"/>
            <w:tcMar>
              <w:top w:w="110" w:type="dxa"/>
            </w:tcMar>
            <w:vAlign w:val="center"/>
          </w:tcPr>
          <w:p w:rsidR="00B070BF" w:rsidRPr="009577DE" w:rsidRDefault="00B070BF" w:rsidP="00C33D4A">
            <w:pPr>
              <w:widowControl w:val="0"/>
              <w:spacing w:after="120"/>
              <w:rPr>
                <w:b/>
                <w:sz w:val="16"/>
                <w:szCs w:val="16"/>
                <w:lang w:val="es-ES_tradnl"/>
              </w:rPr>
            </w:pPr>
            <w:r w:rsidRPr="0025794D">
              <w:rPr>
                <w:b/>
                <w:color w:val="993300"/>
                <w:sz w:val="16"/>
                <w:szCs w:val="16"/>
                <w:lang w:val="es-ES_tradnl"/>
              </w:rPr>
              <w:t xml:space="preserve">Referencia actualizada a comienzos de 2012 </w:t>
            </w:r>
          </w:p>
        </w:tc>
        <w:tc>
          <w:tcPr>
            <w:tcW w:w="1825" w:type="pct"/>
            <w:tcBorders>
              <w:top w:val="single" w:sz="4" w:space="0" w:color="auto"/>
              <w:bottom w:val="nil"/>
            </w:tcBorders>
            <w:shd w:val="clear" w:color="auto" w:fill="FFFFFF"/>
            <w:tcMar>
              <w:top w:w="110" w:type="dxa"/>
            </w:tcMar>
            <w:vAlign w:val="center"/>
          </w:tcPr>
          <w:p w:rsidR="00B070BF" w:rsidRPr="009577DE" w:rsidRDefault="00B070BF" w:rsidP="00C33D4A">
            <w:pPr>
              <w:widowControl w:val="0"/>
              <w:spacing w:after="120"/>
              <w:rPr>
                <w:sz w:val="16"/>
                <w:szCs w:val="16"/>
                <w:lang w:val="es-ES_tradnl"/>
              </w:rPr>
            </w:pPr>
            <w:r w:rsidRPr="009577DE">
              <w:rPr>
                <w:b/>
                <w:bCs/>
                <w:sz w:val="16"/>
                <w:szCs w:val="16"/>
                <w:lang w:val="es-ES_tradnl"/>
              </w:rPr>
              <w:t>Datos sobre el rendimiento</w:t>
            </w:r>
          </w:p>
        </w:tc>
        <w:tc>
          <w:tcPr>
            <w:tcW w:w="647" w:type="pct"/>
            <w:tcBorders>
              <w:top w:val="single" w:sz="4" w:space="0" w:color="auto"/>
              <w:bottom w:val="nil"/>
              <w:right w:val="single" w:sz="4" w:space="0" w:color="auto"/>
            </w:tcBorders>
            <w:shd w:val="clear" w:color="auto" w:fill="auto"/>
            <w:tcMar>
              <w:top w:w="110" w:type="dxa"/>
            </w:tcMar>
            <w:vAlign w:val="center"/>
          </w:tcPr>
          <w:p w:rsidR="00B070BF" w:rsidRPr="009577DE" w:rsidRDefault="00B070BF" w:rsidP="00C33D4A">
            <w:pPr>
              <w:widowControl w:val="0"/>
              <w:spacing w:after="120"/>
              <w:jc w:val="center"/>
              <w:rPr>
                <w:b/>
                <w:bCs/>
                <w:sz w:val="16"/>
                <w:szCs w:val="16"/>
                <w:lang w:val="es-ES_tradnl"/>
              </w:rPr>
            </w:pPr>
            <w:r w:rsidRPr="009577DE">
              <w:rPr>
                <w:b/>
                <w:bCs/>
                <w:sz w:val="16"/>
                <w:szCs w:val="16"/>
                <w:lang w:val="es-ES_tradnl"/>
              </w:rPr>
              <w:t>Clave de colores</w:t>
            </w:r>
          </w:p>
        </w:tc>
      </w:tr>
      <w:tr w:rsidR="00B070BF" w:rsidRPr="009577DE" w:rsidTr="00C33D4A">
        <w:trPr>
          <w:cantSplit/>
        </w:trPr>
        <w:tc>
          <w:tcPr>
            <w:tcW w:w="852" w:type="pct"/>
            <w:tcBorders>
              <w:top w:val="nil"/>
              <w:left w:val="single" w:sz="4" w:space="0" w:color="auto"/>
              <w:bottom w:val="nil"/>
            </w:tcBorders>
            <w:shd w:val="clear" w:color="auto" w:fill="auto"/>
          </w:tcPr>
          <w:p w:rsidR="00B070BF" w:rsidRPr="009577DE" w:rsidRDefault="00B070BF" w:rsidP="00C33D4A">
            <w:pPr>
              <w:widowControl w:val="0"/>
              <w:rPr>
                <w:sz w:val="16"/>
                <w:szCs w:val="16"/>
                <w:lang w:val="es-ES_tradnl"/>
              </w:rPr>
            </w:pPr>
            <w:r w:rsidRPr="009577DE">
              <w:rPr>
                <w:sz w:val="16"/>
                <w:szCs w:val="16"/>
                <w:lang w:val="es-ES_tradnl"/>
              </w:rPr>
              <w:t>Número de oficinas que utilizan las normas técnicas de la OMPI</w:t>
            </w:r>
            <w:r w:rsidRPr="009577DE">
              <w:rPr>
                <w:sz w:val="16"/>
                <w:szCs w:val="16"/>
                <w:lang w:val="es-ES_tradnl"/>
              </w:rPr>
              <w:br/>
            </w:r>
            <w:r w:rsidRPr="009577DE">
              <w:rPr>
                <w:sz w:val="16"/>
                <w:szCs w:val="16"/>
                <w:lang w:val="es-ES_tradnl"/>
              </w:rPr>
              <w:br/>
            </w:r>
          </w:p>
        </w:tc>
        <w:tc>
          <w:tcPr>
            <w:tcW w:w="783" w:type="pct"/>
            <w:tcBorders>
              <w:top w:val="nil"/>
              <w:bottom w:val="nil"/>
            </w:tcBorders>
            <w:shd w:val="clear" w:color="auto" w:fill="C0C0C0"/>
          </w:tcPr>
          <w:p w:rsidR="00B070BF" w:rsidRPr="009577DE" w:rsidRDefault="00B070BF" w:rsidP="00C33D4A">
            <w:pPr>
              <w:widowControl w:val="0"/>
              <w:rPr>
                <w:sz w:val="16"/>
                <w:szCs w:val="16"/>
                <w:lang w:val="es-ES_tradnl"/>
              </w:rPr>
            </w:pPr>
            <w:r w:rsidRPr="009577DE">
              <w:rPr>
                <w:sz w:val="16"/>
                <w:szCs w:val="16"/>
                <w:lang w:val="es-ES_tradnl"/>
              </w:rPr>
              <w:t>A determinar a fines de 2011.</w:t>
            </w:r>
          </w:p>
        </w:tc>
        <w:tc>
          <w:tcPr>
            <w:tcW w:w="893" w:type="pct"/>
            <w:tcBorders>
              <w:top w:val="nil"/>
              <w:bottom w:val="nil"/>
            </w:tcBorders>
            <w:shd w:val="clear" w:color="auto" w:fill="auto"/>
            <w:tcMar>
              <w:top w:w="110" w:type="dxa"/>
            </w:tcMar>
          </w:tcPr>
          <w:p w:rsidR="00B070BF" w:rsidRPr="00F2661C" w:rsidRDefault="00B070BF" w:rsidP="00C33D4A">
            <w:pPr>
              <w:widowControl w:val="0"/>
              <w:rPr>
                <w:color w:val="993300"/>
                <w:sz w:val="16"/>
                <w:szCs w:val="16"/>
                <w:lang w:val="es-ES_tradnl" w:bidi="th-TH"/>
              </w:rPr>
            </w:pPr>
            <w:r w:rsidRPr="00F2661C">
              <w:rPr>
                <w:color w:val="993300"/>
                <w:sz w:val="16"/>
                <w:szCs w:val="16"/>
                <w:lang w:val="es-ES_tradnl" w:bidi="th-TH"/>
              </w:rPr>
              <w:t xml:space="preserve">Se han presentado 65 informes técnicos anuales. </w:t>
            </w:r>
          </w:p>
          <w:p w:rsidR="00B070BF" w:rsidRPr="00F2661C" w:rsidRDefault="00B070BF" w:rsidP="00C33D4A">
            <w:pPr>
              <w:widowControl w:val="0"/>
              <w:rPr>
                <w:color w:val="993300"/>
                <w:sz w:val="16"/>
                <w:szCs w:val="16"/>
                <w:lang w:val="es-ES_tradnl" w:bidi="th-TH"/>
              </w:rPr>
            </w:pPr>
            <w:r w:rsidRPr="00F2661C">
              <w:rPr>
                <w:color w:val="993300"/>
                <w:sz w:val="16"/>
                <w:szCs w:val="16"/>
                <w:lang w:val="es-ES_tradnl" w:bidi="th-TH"/>
              </w:rPr>
              <w:t xml:space="preserve"> </w:t>
            </w:r>
          </w:p>
          <w:p w:rsidR="00B070BF" w:rsidRPr="00F2661C" w:rsidRDefault="00B070BF" w:rsidP="00C33D4A">
            <w:pPr>
              <w:widowControl w:val="0"/>
              <w:rPr>
                <w:color w:val="993300"/>
                <w:sz w:val="16"/>
                <w:szCs w:val="16"/>
                <w:lang w:val="es-ES_tradnl" w:bidi="th-TH"/>
              </w:rPr>
            </w:pPr>
            <w:r w:rsidRPr="00F2661C">
              <w:rPr>
                <w:color w:val="993300"/>
                <w:sz w:val="16"/>
                <w:szCs w:val="16"/>
                <w:lang w:val="es-ES_tradnl" w:bidi="th-TH"/>
              </w:rPr>
              <w:t>30 oficinas de patentes participaron en una encuesta.</w:t>
            </w:r>
          </w:p>
        </w:tc>
        <w:tc>
          <w:tcPr>
            <w:tcW w:w="1825" w:type="pct"/>
            <w:tcBorders>
              <w:top w:val="nil"/>
              <w:bottom w:val="nil"/>
            </w:tcBorders>
            <w:shd w:val="clear" w:color="auto" w:fill="FFFFFF"/>
            <w:tcMar>
              <w:top w:w="110" w:type="dxa"/>
            </w:tcMar>
          </w:tcPr>
          <w:p w:rsidR="00B070BF" w:rsidRPr="009577DE" w:rsidRDefault="00B070BF" w:rsidP="00C33D4A">
            <w:pPr>
              <w:widowControl w:val="0"/>
              <w:rPr>
                <w:sz w:val="16"/>
                <w:szCs w:val="16"/>
                <w:lang w:val="es-ES_tradnl" w:bidi="th-TH"/>
              </w:rPr>
            </w:pPr>
            <w:r w:rsidRPr="009577DE">
              <w:rPr>
                <w:sz w:val="16"/>
                <w:szCs w:val="16"/>
                <w:lang w:val="es-ES_tradnl" w:bidi="th-TH"/>
              </w:rPr>
              <w:t>Se han presentado 82 informes técnicos anuales.</w:t>
            </w:r>
          </w:p>
          <w:p w:rsidR="00B070BF" w:rsidRPr="009577DE" w:rsidRDefault="00B070BF" w:rsidP="00C33D4A">
            <w:pPr>
              <w:widowControl w:val="0"/>
              <w:rPr>
                <w:sz w:val="16"/>
                <w:szCs w:val="16"/>
                <w:lang w:val="es-ES_tradnl" w:bidi="th-TH"/>
              </w:rPr>
            </w:pPr>
          </w:p>
          <w:p w:rsidR="00B070BF" w:rsidRPr="009577DE" w:rsidRDefault="00B070BF" w:rsidP="00C33D4A">
            <w:pPr>
              <w:widowControl w:val="0"/>
              <w:rPr>
                <w:sz w:val="16"/>
                <w:szCs w:val="16"/>
                <w:lang w:val="es-ES_tradnl" w:bidi="th-TH"/>
              </w:rPr>
            </w:pPr>
          </w:p>
          <w:p w:rsidR="00B070BF" w:rsidRPr="009577DE" w:rsidRDefault="00B070BF" w:rsidP="00C33D4A">
            <w:pPr>
              <w:widowControl w:val="0"/>
              <w:rPr>
                <w:sz w:val="16"/>
                <w:szCs w:val="16"/>
                <w:lang w:val="es-ES_tradnl"/>
              </w:rPr>
            </w:pPr>
            <w:r w:rsidRPr="009577DE">
              <w:rPr>
                <w:sz w:val="16"/>
                <w:szCs w:val="16"/>
                <w:lang w:val="es-ES_tradnl" w:bidi="th-TH"/>
              </w:rPr>
              <w:t xml:space="preserve">35 oficinas participaron en la encuesta sobre sistemas de numeración. </w:t>
            </w:r>
          </w:p>
        </w:tc>
        <w:tc>
          <w:tcPr>
            <w:tcW w:w="647" w:type="pct"/>
            <w:tcBorders>
              <w:top w:val="nil"/>
              <w:bottom w:val="nil"/>
              <w:right w:val="single" w:sz="4" w:space="0" w:color="auto"/>
            </w:tcBorders>
            <w:shd w:val="clear" w:color="auto" w:fill="auto"/>
            <w:tcMar>
              <w:top w:w="110" w:type="dxa"/>
            </w:tcMar>
          </w:tcPr>
          <w:p w:rsidR="00B070BF" w:rsidRPr="009577DE" w:rsidRDefault="00B070BF" w:rsidP="00C33D4A">
            <w:pPr>
              <w:widowControl w:val="0"/>
              <w:jc w:val="center"/>
              <w:rPr>
                <w:bCs/>
                <w:sz w:val="16"/>
                <w:szCs w:val="16"/>
                <w:lang w:val="es-ES_tradnl"/>
              </w:rPr>
            </w:pPr>
            <w:r w:rsidRPr="009577DE">
              <w:rPr>
                <w:b/>
                <w:color w:val="008000"/>
                <w:sz w:val="16"/>
                <w:szCs w:val="16"/>
                <w:lang w:val="es-ES_tradnl"/>
              </w:rPr>
              <w:t>Progresa con normalidad</w:t>
            </w:r>
          </w:p>
          <w:p w:rsidR="00B070BF" w:rsidRPr="009577DE" w:rsidRDefault="00B070BF" w:rsidP="00C33D4A">
            <w:pPr>
              <w:widowControl w:val="0"/>
              <w:jc w:val="center"/>
              <w:rPr>
                <w:bCs/>
                <w:sz w:val="16"/>
                <w:szCs w:val="16"/>
                <w:lang w:val="es-ES_tradnl"/>
              </w:rPr>
            </w:pPr>
          </w:p>
          <w:p w:rsidR="00B070BF" w:rsidRPr="009577DE" w:rsidRDefault="00B070BF" w:rsidP="00C33D4A">
            <w:pPr>
              <w:widowControl w:val="0"/>
              <w:jc w:val="center"/>
              <w:rPr>
                <w:bCs/>
                <w:sz w:val="16"/>
                <w:szCs w:val="16"/>
                <w:lang w:val="es-ES_tradnl"/>
              </w:rPr>
            </w:pPr>
          </w:p>
        </w:tc>
      </w:tr>
      <w:tr w:rsidR="00B070BF" w:rsidRPr="009577DE" w:rsidTr="00C33D4A">
        <w:trPr>
          <w:cantSplit/>
        </w:trPr>
        <w:tc>
          <w:tcPr>
            <w:tcW w:w="852" w:type="pct"/>
            <w:tcBorders>
              <w:top w:val="nil"/>
              <w:left w:val="single" w:sz="4" w:space="0" w:color="auto"/>
              <w:bottom w:val="nil"/>
            </w:tcBorders>
            <w:shd w:val="clear" w:color="auto" w:fill="auto"/>
          </w:tcPr>
          <w:p w:rsidR="00B070BF" w:rsidRPr="009577DE" w:rsidRDefault="00B070BF" w:rsidP="00C33D4A">
            <w:pPr>
              <w:widowControl w:val="0"/>
              <w:rPr>
                <w:sz w:val="16"/>
                <w:szCs w:val="16"/>
                <w:lang w:val="es-ES_tradnl"/>
              </w:rPr>
            </w:pPr>
            <w:r w:rsidRPr="009577DE">
              <w:rPr>
                <w:sz w:val="16"/>
                <w:szCs w:val="16"/>
                <w:lang w:val="es-ES_tradnl"/>
              </w:rPr>
              <w:t>Número de modificaciones de la Clasificación de Niza</w:t>
            </w:r>
          </w:p>
        </w:tc>
        <w:tc>
          <w:tcPr>
            <w:tcW w:w="783" w:type="pct"/>
            <w:tcBorders>
              <w:top w:val="nil"/>
              <w:bottom w:val="nil"/>
            </w:tcBorders>
            <w:shd w:val="clear" w:color="auto" w:fill="C0C0C0"/>
          </w:tcPr>
          <w:p w:rsidR="00B070BF" w:rsidRPr="009577DE" w:rsidRDefault="00B070BF" w:rsidP="00C33D4A">
            <w:pPr>
              <w:widowControl w:val="0"/>
              <w:rPr>
                <w:sz w:val="16"/>
                <w:szCs w:val="16"/>
                <w:highlight w:val="cyan"/>
                <w:lang w:val="es-ES_tradnl"/>
              </w:rPr>
            </w:pPr>
            <w:r w:rsidRPr="009577DE">
              <w:rPr>
                <w:sz w:val="16"/>
                <w:szCs w:val="16"/>
                <w:lang w:val="es-ES_tradnl"/>
              </w:rPr>
              <w:t xml:space="preserve">300 modificaciones por año en los dos idiomas (promedio del período comprendido entre 2006 y 2010). </w:t>
            </w:r>
          </w:p>
        </w:tc>
        <w:tc>
          <w:tcPr>
            <w:tcW w:w="893" w:type="pct"/>
            <w:tcBorders>
              <w:top w:val="nil"/>
              <w:bottom w:val="nil"/>
            </w:tcBorders>
            <w:shd w:val="clear" w:color="auto" w:fill="auto"/>
            <w:tcMar>
              <w:top w:w="110" w:type="dxa"/>
            </w:tcMar>
          </w:tcPr>
          <w:p w:rsidR="00B070BF" w:rsidRPr="00F2661C" w:rsidRDefault="00B070BF" w:rsidP="00C33D4A">
            <w:pPr>
              <w:widowControl w:val="0"/>
              <w:rPr>
                <w:color w:val="993300"/>
                <w:sz w:val="16"/>
                <w:szCs w:val="16"/>
                <w:highlight w:val="cyan"/>
                <w:lang w:val="es-ES_tradnl" w:bidi="th-TH"/>
              </w:rPr>
            </w:pPr>
          </w:p>
        </w:tc>
        <w:tc>
          <w:tcPr>
            <w:tcW w:w="1825" w:type="pct"/>
            <w:tcBorders>
              <w:top w:val="nil"/>
              <w:bottom w:val="nil"/>
            </w:tcBorders>
            <w:shd w:val="clear" w:color="auto" w:fill="FFFFFF"/>
            <w:tcMar>
              <w:top w:w="110" w:type="dxa"/>
            </w:tcMar>
          </w:tcPr>
          <w:p w:rsidR="00B070BF" w:rsidRPr="009577DE" w:rsidRDefault="00B070BF" w:rsidP="00C33D4A">
            <w:pPr>
              <w:widowControl w:val="0"/>
              <w:rPr>
                <w:sz w:val="16"/>
                <w:szCs w:val="16"/>
                <w:lang w:val="es-ES_tradnl" w:bidi="th-TH"/>
              </w:rPr>
            </w:pPr>
            <w:r w:rsidRPr="009577DE">
              <w:rPr>
                <w:sz w:val="16"/>
                <w:szCs w:val="16"/>
                <w:lang w:val="es-ES_tradnl" w:bidi="th-TH"/>
              </w:rPr>
              <w:t xml:space="preserve">339 modificaciones en 2012 </w:t>
            </w:r>
          </w:p>
          <w:p w:rsidR="00B070BF" w:rsidRPr="009577DE" w:rsidRDefault="00B070BF" w:rsidP="00C33D4A">
            <w:pPr>
              <w:widowControl w:val="0"/>
              <w:rPr>
                <w:sz w:val="16"/>
                <w:szCs w:val="16"/>
                <w:lang w:val="es-ES_tradnl" w:bidi="th-TH"/>
              </w:rPr>
            </w:pPr>
          </w:p>
          <w:p w:rsidR="00B070BF" w:rsidRPr="009577DE" w:rsidRDefault="00B070BF" w:rsidP="00C33D4A">
            <w:pPr>
              <w:widowControl w:val="0"/>
              <w:rPr>
                <w:sz w:val="16"/>
                <w:szCs w:val="16"/>
                <w:lang w:val="es-ES_tradnl" w:bidi="th-TH"/>
              </w:rPr>
            </w:pPr>
          </w:p>
          <w:p w:rsidR="00B070BF" w:rsidRPr="009577DE" w:rsidRDefault="00B070BF" w:rsidP="00C33D4A">
            <w:pPr>
              <w:widowControl w:val="0"/>
              <w:rPr>
                <w:sz w:val="16"/>
                <w:szCs w:val="16"/>
                <w:lang w:val="es-ES_tradnl" w:bidi="th-TH"/>
              </w:rPr>
            </w:pPr>
          </w:p>
          <w:p w:rsidR="00B070BF" w:rsidRPr="009577DE" w:rsidRDefault="00B070BF" w:rsidP="00C33D4A">
            <w:pPr>
              <w:widowControl w:val="0"/>
              <w:rPr>
                <w:sz w:val="16"/>
                <w:szCs w:val="16"/>
                <w:lang w:val="es-ES_tradnl" w:bidi="th-TH"/>
              </w:rPr>
            </w:pPr>
          </w:p>
          <w:p w:rsidR="00B070BF" w:rsidRPr="009577DE" w:rsidRDefault="00B070BF" w:rsidP="00C33D4A">
            <w:pPr>
              <w:widowControl w:val="0"/>
              <w:rPr>
                <w:sz w:val="16"/>
                <w:szCs w:val="16"/>
                <w:lang w:val="es-ES_tradnl"/>
              </w:rPr>
            </w:pPr>
          </w:p>
        </w:tc>
        <w:tc>
          <w:tcPr>
            <w:tcW w:w="647" w:type="pct"/>
            <w:tcBorders>
              <w:top w:val="nil"/>
              <w:bottom w:val="nil"/>
              <w:right w:val="single" w:sz="4" w:space="0" w:color="auto"/>
            </w:tcBorders>
            <w:shd w:val="clear" w:color="auto" w:fill="auto"/>
            <w:tcMar>
              <w:top w:w="110" w:type="dxa"/>
            </w:tcMar>
          </w:tcPr>
          <w:p w:rsidR="00B070BF" w:rsidRPr="009577DE" w:rsidRDefault="00B070BF" w:rsidP="00C33D4A">
            <w:pPr>
              <w:widowControl w:val="0"/>
              <w:jc w:val="center"/>
              <w:rPr>
                <w:bCs/>
                <w:sz w:val="16"/>
                <w:szCs w:val="16"/>
                <w:lang w:val="es-ES_tradnl"/>
              </w:rPr>
            </w:pPr>
            <w:r w:rsidRPr="009577DE">
              <w:rPr>
                <w:b/>
                <w:color w:val="008000"/>
                <w:sz w:val="16"/>
                <w:szCs w:val="16"/>
                <w:lang w:val="es-ES_tradnl"/>
              </w:rPr>
              <w:t>Progresa con normalidad</w:t>
            </w:r>
            <w:r w:rsidRPr="009577DE" w:rsidDel="00E80C0D">
              <w:rPr>
                <w:bCs/>
                <w:sz w:val="16"/>
                <w:szCs w:val="16"/>
                <w:lang w:val="es-ES_tradnl"/>
              </w:rPr>
              <w:t xml:space="preserve"> </w:t>
            </w:r>
          </w:p>
          <w:p w:rsidR="00B070BF" w:rsidRPr="009577DE" w:rsidRDefault="00B070BF" w:rsidP="00C33D4A">
            <w:pPr>
              <w:widowControl w:val="0"/>
              <w:jc w:val="center"/>
              <w:rPr>
                <w:bCs/>
                <w:sz w:val="16"/>
                <w:szCs w:val="16"/>
                <w:lang w:val="es-ES_tradnl"/>
              </w:rPr>
            </w:pPr>
          </w:p>
        </w:tc>
      </w:tr>
      <w:tr w:rsidR="00B070BF" w:rsidRPr="009577DE" w:rsidTr="00C33D4A">
        <w:trPr>
          <w:cantSplit/>
        </w:trPr>
        <w:tc>
          <w:tcPr>
            <w:tcW w:w="852" w:type="pct"/>
            <w:tcBorders>
              <w:top w:val="nil"/>
              <w:left w:val="single" w:sz="4" w:space="0" w:color="auto"/>
              <w:bottom w:val="nil"/>
            </w:tcBorders>
            <w:shd w:val="clear" w:color="auto" w:fill="auto"/>
          </w:tcPr>
          <w:p w:rsidR="00B070BF" w:rsidRPr="009577DE" w:rsidRDefault="00B070BF" w:rsidP="00C33D4A">
            <w:pPr>
              <w:widowControl w:val="0"/>
              <w:rPr>
                <w:sz w:val="16"/>
                <w:szCs w:val="16"/>
                <w:lang w:val="es-ES_tradnl"/>
              </w:rPr>
            </w:pPr>
            <w:r w:rsidRPr="009577DE">
              <w:rPr>
                <w:sz w:val="16"/>
                <w:szCs w:val="16"/>
                <w:lang w:val="es-ES_tradnl"/>
              </w:rPr>
              <w:t>ECLA e Índice de archivos unificados en la CIP.</w:t>
            </w:r>
          </w:p>
        </w:tc>
        <w:tc>
          <w:tcPr>
            <w:tcW w:w="783" w:type="pct"/>
            <w:tcBorders>
              <w:top w:val="nil"/>
              <w:bottom w:val="nil"/>
            </w:tcBorders>
            <w:shd w:val="clear" w:color="auto" w:fill="C0C0C0"/>
          </w:tcPr>
          <w:p w:rsidR="00B070BF" w:rsidRPr="009577DE" w:rsidRDefault="00B070BF" w:rsidP="00C33D4A">
            <w:pPr>
              <w:widowControl w:val="0"/>
              <w:rPr>
                <w:sz w:val="16"/>
                <w:szCs w:val="16"/>
                <w:lang w:val="es-ES_tradnl"/>
              </w:rPr>
            </w:pPr>
            <w:r w:rsidRPr="009577DE">
              <w:rPr>
                <w:sz w:val="16"/>
                <w:szCs w:val="16"/>
                <w:lang w:val="es-ES_tradnl"/>
              </w:rPr>
              <w:t>Publicaciones independientes de la ECLA y el Índice de archivos en las bases de datos nacionales.</w:t>
            </w:r>
          </w:p>
        </w:tc>
        <w:tc>
          <w:tcPr>
            <w:tcW w:w="893" w:type="pct"/>
            <w:tcBorders>
              <w:top w:val="nil"/>
              <w:bottom w:val="nil"/>
            </w:tcBorders>
            <w:shd w:val="clear" w:color="auto" w:fill="auto"/>
            <w:tcMar>
              <w:top w:w="110" w:type="dxa"/>
            </w:tcMar>
          </w:tcPr>
          <w:p w:rsidR="00B070BF" w:rsidRPr="00F2661C" w:rsidRDefault="00B070BF" w:rsidP="00C33D4A">
            <w:pPr>
              <w:widowControl w:val="0"/>
              <w:rPr>
                <w:color w:val="993300"/>
                <w:sz w:val="16"/>
                <w:szCs w:val="16"/>
                <w:lang w:val="es-ES_tradnl" w:bidi="th-TH"/>
              </w:rPr>
            </w:pPr>
          </w:p>
        </w:tc>
        <w:tc>
          <w:tcPr>
            <w:tcW w:w="1825" w:type="pct"/>
            <w:tcBorders>
              <w:top w:val="nil"/>
              <w:bottom w:val="nil"/>
            </w:tcBorders>
            <w:shd w:val="clear" w:color="auto" w:fill="FFFFFF"/>
            <w:tcMar>
              <w:top w:w="110" w:type="dxa"/>
            </w:tcMar>
          </w:tcPr>
          <w:p w:rsidR="00B070BF" w:rsidRPr="009577DE" w:rsidRDefault="00B070BF" w:rsidP="00C33D4A">
            <w:pPr>
              <w:widowControl w:val="0"/>
              <w:rPr>
                <w:sz w:val="16"/>
                <w:szCs w:val="16"/>
                <w:lang w:val="es-ES_tradnl" w:bidi="th-TH"/>
              </w:rPr>
            </w:pPr>
            <w:r w:rsidRPr="009577DE">
              <w:rPr>
                <w:sz w:val="16"/>
                <w:szCs w:val="16"/>
                <w:lang w:val="es-ES_tradnl" w:bidi="th-TH"/>
              </w:rPr>
              <w:t>Está previsto que la labor de desarrollo comience en 2013, después de la publicación de la Clasificación de Patentes Cooperativa (CPC).</w:t>
            </w:r>
          </w:p>
          <w:p w:rsidR="00B070BF" w:rsidRPr="009577DE" w:rsidRDefault="00B070BF" w:rsidP="00C33D4A">
            <w:pPr>
              <w:widowControl w:val="0"/>
              <w:rPr>
                <w:sz w:val="16"/>
                <w:szCs w:val="16"/>
                <w:lang w:val="es-ES_tradnl" w:bidi="th-TH"/>
              </w:rPr>
            </w:pPr>
          </w:p>
          <w:p w:rsidR="00B070BF" w:rsidRPr="009577DE" w:rsidRDefault="00B070BF" w:rsidP="00C33D4A">
            <w:pPr>
              <w:widowControl w:val="0"/>
              <w:rPr>
                <w:sz w:val="16"/>
                <w:szCs w:val="16"/>
                <w:lang w:val="es-ES_tradnl" w:bidi="th-TH"/>
              </w:rPr>
            </w:pPr>
          </w:p>
          <w:p w:rsidR="00B070BF" w:rsidRPr="009577DE" w:rsidRDefault="00B070BF" w:rsidP="00C33D4A">
            <w:pPr>
              <w:widowControl w:val="0"/>
              <w:rPr>
                <w:sz w:val="16"/>
                <w:szCs w:val="16"/>
                <w:lang w:val="es-ES_tradnl"/>
              </w:rPr>
            </w:pPr>
          </w:p>
        </w:tc>
        <w:tc>
          <w:tcPr>
            <w:tcW w:w="647" w:type="pct"/>
            <w:tcBorders>
              <w:top w:val="nil"/>
              <w:bottom w:val="nil"/>
              <w:right w:val="single" w:sz="4" w:space="0" w:color="auto"/>
            </w:tcBorders>
            <w:shd w:val="clear" w:color="auto" w:fill="auto"/>
            <w:tcMar>
              <w:top w:w="110" w:type="dxa"/>
            </w:tcMar>
          </w:tcPr>
          <w:p w:rsidR="00B070BF" w:rsidRPr="009577DE" w:rsidRDefault="00B070BF" w:rsidP="00C33D4A">
            <w:pPr>
              <w:widowControl w:val="0"/>
              <w:jc w:val="center"/>
              <w:rPr>
                <w:bCs/>
                <w:sz w:val="16"/>
                <w:szCs w:val="16"/>
                <w:lang w:val="es-ES_tradnl"/>
              </w:rPr>
            </w:pPr>
            <w:r w:rsidRPr="009577DE">
              <w:rPr>
                <w:b/>
                <w:color w:val="008000"/>
                <w:sz w:val="16"/>
                <w:szCs w:val="16"/>
                <w:lang w:val="es-ES_tradnl"/>
              </w:rPr>
              <w:t>Progresa con normalidad</w:t>
            </w:r>
            <w:r w:rsidRPr="009577DE" w:rsidDel="00E80C0D">
              <w:rPr>
                <w:bCs/>
                <w:sz w:val="16"/>
                <w:szCs w:val="16"/>
                <w:lang w:val="es-ES_tradnl"/>
              </w:rPr>
              <w:t xml:space="preserve"> </w:t>
            </w:r>
          </w:p>
          <w:p w:rsidR="00B070BF" w:rsidRPr="009577DE" w:rsidRDefault="00B070BF" w:rsidP="00C33D4A">
            <w:pPr>
              <w:widowControl w:val="0"/>
              <w:jc w:val="center"/>
              <w:rPr>
                <w:bCs/>
                <w:sz w:val="16"/>
                <w:szCs w:val="16"/>
                <w:lang w:val="es-ES_tradnl"/>
              </w:rPr>
            </w:pPr>
          </w:p>
        </w:tc>
      </w:tr>
      <w:tr w:rsidR="00B070BF" w:rsidRPr="009577DE" w:rsidTr="00C33D4A">
        <w:trPr>
          <w:cantSplit/>
        </w:trPr>
        <w:tc>
          <w:tcPr>
            <w:tcW w:w="852" w:type="pct"/>
            <w:tcBorders>
              <w:top w:val="nil"/>
              <w:left w:val="single" w:sz="4" w:space="0" w:color="auto"/>
              <w:bottom w:val="nil"/>
            </w:tcBorders>
            <w:shd w:val="clear" w:color="auto" w:fill="auto"/>
          </w:tcPr>
          <w:p w:rsidR="00B070BF" w:rsidRPr="009577DE" w:rsidRDefault="00B070BF" w:rsidP="00C33D4A">
            <w:pPr>
              <w:widowControl w:val="0"/>
              <w:rPr>
                <w:sz w:val="16"/>
                <w:szCs w:val="16"/>
                <w:lang w:val="es-ES_tradnl"/>
              </w:rPr>
            </w:pPr>
            <w:r w:rsidRPr="009577DE">
              <w:rPr>
                <w:sz w:val="16"/>
                <w:szCs w:val="16"/>
                <w:lang w:val="es-ES_tradnl"/>
              </w:rPr>
              <w:t xml:space="preserve">Integración en la Clasificación de </w:t>
            </w:r>
            <w:proofErr w:type="spellStart"/>
            <w:r w:rsidRPr="009577DE">
              <w:rPr>
                <w:sz w:val="16"/>
                <w:szCs w:val="16"/>
                <w:lang w:val="es-ES_tradnl"/>
              </w:rPr>
              <w:t>Locarno</w:t>
            </w:r>
            <w:proofErr w:type="spellEnd"/>
            <w:r w:rsidRPr="009577DE">
              <w:rPr>
                <w:sz w:val="16"/>
                <w:szCs w:val="16"/>
                <w:lang w:val="es-ES_tradnl"/>
              </w:rPr>
              <w:t xml:space="preserve"> de una herramienta para efectuar búsquedas de características visuales de las solicitudes de dibujos o modelos.</w:t>
            </w:r>
          </w:p>
        </w:tc>
        <w:tc>
          <w:tcPr>
            <w:tcW w:w="783" w:type="pct"/>
            <w:tcBorders>
              <w:top w:val="nil"/>
              <w:bottom w:val="nil"/>
            </w:tcBorders>
            <w:shd w:val="clear" w:color="auto" w:fill="C0C0C0"/>
          </w:tcPr>
          <w:p w:rsidR="00B070BF" w:rsidRPr="009577DE" w:rsidRDefault="00B070BF" w:rsidP="00C33D4A">
            <w:pPr>
              <w:widowControl w:val="0"/>
              <w:rPr>
                <w:sz w:val="16"/>
                <w:szCs w:val="16"/>
                <w:lang w:val="es-ES_tradnl"/>
              </w:rPr>
            </w:pPr>
            <w:r w:rsidRPr="009577DE">
              <w:rPr>
                <w:sz w:val="16"/>
                <w:szCs w:val="16"/>
                <w:lang w:val="es-ES_tradnl"/>
              </w:rPr>
              <w:t>No se dispone de la herramienta.</w:t>
            </w:r>
          </w:p>
        </w:tc>
        <w:tc>
          <w:tcPr>
            <w:tcW w:w="893" w:type="pct"/>
            <w:tcBorders>
              <w:top w:val="nil"/>
              <w:bottom w:val="nil"/>
            </w:tcBorders>
            <w:shd w:val="clear" w:color="auto" w:fill="auto"/>
            <w:tcMar>
              <w:top w:w="110" w:type="dxa"/>
            </w:tcMar>
          </w:tcPr>
          <w:p w:rsidR="00B070BF" w:rsidRPr="00F2661C" w:rsidRDefault="00B070BF" w:rsidP="00C33D4A">
            <w:pPr>
              <w:widowControl w:val="0"/>
              <w:rPr>
                <w:color w:val="993300"/>
                <w:sz w:val="16"/>
                <w:szCs w:val="16"/>
                <w:lang w:val="es-ES_tradnl" w:bidi="th-TH"/>
              </w:rPr>
            </w:pPr>
          </w:p>
        </w:tc>
        <w:tc>
          <w:tcPr>
            <w:tcW w:w="1825" w:type="pct"/>
            <w:tcBorders>
              <w:top w:val="nil"/>
              <w:bottom w:val="nil"/>
            </w:tcBorders>
            <w:shd w:val="clear" w:color="auto" w:fill="FFFFFF"/>
            <w:tcMar>
              <w:top w:w="110" w:type="dxa"/>
            </w:tcMar>
          </w:tcPr>
          <w:p w:rsidR="00B070BF" w:rsidRPr="009577DE" w:rsidRDefault="00B070BF" w:rsidP="00C33D4A">
            <w:pPr>
              <w:widowControl w:val="0"/>
              <w:rPr>
                <w:sz w:val="16"/>
                <w:szCs w:val="16"/>
                <w:lang w:val="es-ES_tradnl" w:bidi="th-TH"/>
              </w:rPr>
            </w:pPr>
            <w:r w:rsidRPr="009577DE">
              <w:rPr>
                <w:sz w:val="16"/>
                <w:szCs w:val="16"/>
                <w:lang w:val="es-ES_tradnl" w:bidi="th-TH"/>
              </w:rPr>
              <w:t xml:space="preserve">El grupo piloto de esta innovación no se reunió en 2012.  </w:t>
            </w:r>
          </w:p>
          <w:p w:rsidR="00B070BF" w:rsidRPr="009577DE" w:rsidRDefault="00B070BF" w:rsidP="00C33D4A">
            <w:pPr>
              <w:widowControl w:val="0"/>
              <w:rPr>
                <w:sz w:val="16"/>
                <w:szCs w:val="16"/>
                <w:lang w:val="es-ES_tradnl" w:bidi="th-TH"/>
              </w:rPr>
            </w:pPr>
          </w:p>
          <w:p w:rsidR="00B070BF" w:rsidRPr="009577DE" w:rsidRDefault="00B070BF" w:rsidP="00C33D4A">
            <w:pPr>
              <w:widowControl w:val="0"/>
              <w:rPr>
                <w:sz w:val="16"/>
                <w:szCs w:val="16"/>
                <w:lang w:val="es-ES_tradnl" w:bidi="th-TH"/>
              </w:rPr>
            </w:pPr>
          </w:p>
          <w:p w:rsidR="00B070BF" w:rsidRPr="009577DE" w:rsidRDefault="00B070BF" w:rsidP="00C33D4A">
            <w:pPr>
              <w:widowControl w:val="0"/>
              <w:rPr>
                <w:sz w:val="16"/>
                <w:szCs w:val="16"/>
                <w:lang w:val="es-ES_tradnl" w:bidi="th-TH"/>
              </w:rPr>
            </w:pPr>
          </w:p>
          <w:p w:rsidR="00B070BF" w:rsidRPr="009577DE" w:rsidRDefault="00B070BF" w:rsidP="00C33D4A">
            <w:pPr>
              <w:widowControl w:val="0"/>
              <w:rPr>
                <w:sz w:val="16"/>
                <w:szCs w:val="16"/>
                <w:lang w:val="es-ES_tradnl"/>
              </w:rPr>
            </w:pPr>
          </w:p>
        </w:tc>
        <w:tc>
          <w:tcPr>
            <w:tcW w:w="647" w:type="pct"/>
            <w:tcBorders>
              <w:top w:val="nil"/>
              <w:bottom w:val="nil"/>
              <w:right w:val="single" w:sz="4" w:space="0" w:color="auto"/>
            </w:tcBorders>
            <w:shd w:val="clear" w:color="auto" w:fill="auto"/>
            <w:tcMar>
              <w:top w:w="110" w:type="dxa"/>
            </w:tcMar>
          </w:tcPr>
          <w:p w:rsidR="00B070BF" w:rsidRPr="009577DE" w:rsidRDefault="00B070BF" w:rsidP="00C33D4A">
            <w:pPr>
              <w:widowControl w:val="0"/>
              <w:jc w:val="center"/>
              <w:rPr>
                <w:b/>
                <w:sz w:val="16"/>
                <w:szCs w:val="16"/>
                <w:lang w:val="es-ES_tradnl"/>
              </w:rPr>
            </w:pPr>
            <w:r w:rsidRPr="009577DE">
              <w:rPr>
                <w:bCs/>
                <w:sz w:val="16"/>
                <w:szCs w:val="16"/>
                <w:lang w:val="es-ES_tradnl"/>
              </w:rPr>
              <w:t xml:space="preserve"> </w:t>
            </w:r>
            <w:r w:rsidRPr="009577DE">
              <w:rPr>
                <w:b/>
                <w:color w:val="FF0000"/>
                <w:sz w:val="16"/>
                <w:szCs w:val="16"/>
                <w:lang w:val="es-ES_tradnl"/>
              </w:rPr>
              <w:t>Sin avances significativos</w:t>
            </w:r>
          </w:p>
          <w:p w:rsidR="00B070BF" w:rsidRPr="009577DE" w:rsidRDefault="00B070BF" w:rsidP="00C33D4A">
            <w:pPr>
              <w:widowControl w:val="0"/>
              <w:jc w:val="center"/>
              <w:rPr>
                <w:bCs/>
                <w:sz w:val="16"/>
                <w:szCs w:val="16"/>
                <w:lang w:val="es-ES_tradnl"/>
              </w:rPr>
            </w:pPr>
          </w:p>
          <w:p w:rsidR="00B070BF" w:rsidRPr="009577DE" w:rsidRDefault="00B070BF" w:rsidP="00C33D4A">
            <w:pPr>
              <w:widowControl w:val="0"/>
              <w:jc w:val="center"/>
              <w:rPr>
                <w:bCs/>
                <w:sz w:val="16"/>
                <w:szCs w:val="16"/>
                <w:lang w:val="es-ES_tradnl"/>
              </w:rPr>
            </w:pPr>
          </w:p>
        </w:tc>
      </w:tr>
      <w:tr w:rsidR="00B070BF" w:rsidRPr="009577DE" w:rsidTr="00C33D4A">
        <w:trPr>
          <w:cantSplit/>
        </w:trPr>
        <w:tc>
          <w:tcPr>
            <w:tcW w:w="852" w:type="pct"/>
            <w:tcBorders>
              <w:top w:val="nil"/>
              <w:left w:val="single" w:sz="4" w:space="0" w:color="auto"/>
              <w:bottom w:val="nil"/>
            </w:tcBorders>
            <w:shd w:val="clear" w:color="auto" w:fill="auto"/>
          </w:tcPr>
          <w:p w:rsidR="00B070BF" w:rsidRPr="009577DE" w:rsidRDefault="00B070BF" w:rsidP="00C33D4A">
            <w:pPr>
              <w:widowControl w:val="0"/>
              <w:rPr>
                <w:sz w:val="16"/>
                <w:szCs w:val="16"/>
                <w:lang w:val="es-ES_tradnl"/>
              </w:rPr>
            </w:pPr>
            <w:r w:rsidRPr="009577DE">
              <w:rPr>
                <w:sz w:val="16"/>
                <w:szCs w:val="16"/>
                <w:lang w:val="es-ES_tradnl"/>
              </w:rPr>
              <w:t>Número de normas técnicas modificadas y nuevas normas técnicas adoptadas.</w:t>
            </w:r>
          </w:p>
          <w:p w:rsidR="00B070BF" w:rsidRPr="009577DE" w:rsidRDefault="00B070BF" w:rsidP="00C33D4A">
            <w:pPr>
              <w:widowControl w:val="0"/>
              <w:rPr>
                <w:sz w:val="16"/>
                <w:szCs w:val="16"/>
                <w:lang w:val="es-ES_tradnl"/>
              </w:rPr>
            </w:pPr>
          </w:p>
        </w:tc>
        <w:tc>
          <w:tcPr>
            <w:tcW w:w="783" w:type="pct"/>
            <w:tcBorders>
              <w:top w:val="nil"/>
              <w:bottom w:val="nil"/>
            </w:tcBorders>
            <w:shd w:val="clear" w:color="auto" w:fill="C0C0C0"/>
          </w:tcPr>
          <w:p w:rsidR="00B070BF" w:rsidRPr="009577DE" w:rsidRDefault="00B070BF" w:rsidP="00C33D4A">
            <w:pPr>
              <w:widowControl w:val="0"/>
              <w:rPr>
                <w:sz w:val="16"/>
                <w:szCs w:val="16"/>
                <w:lang w:val="es-ES_tradnl"/>
              </w:rPr>
            </w:pPr>
            <w:r w:rsidRPr="009577DE">
              <w:rPr>
                <w:sz w:val="16"/>
                <w:szCs w:val="16"/>
                <w:lang w:val="es-ES_tradnl"/>
              </w:rPr>
              <w:t>Media de 2010/11: A determinar a fines de 2011.</w:t>
            </w:r>
          </w:p>
        </w:tc>
        <w:tc>
          <w:tcPr>
            <w:tcW w:w="893" w:type="pct"/>
            <w:tcBorders>
              <w:top w:val="nil"/>
              <w:bottom w:val="nil"/>
            </w:tcBorders>
            <w:shd w:val="clear" w:color="auto" w:fill="auto"/>
            <w:tcMar>
              <w:top w:w="110" w:type="dxa"/>
            </w:tcMar>
          </w:tcPr>
          <w:p w:rsidR="00B070BF" w:rsidRPr="00F2661C" w:rsidRDefault="00B070BF" w:rsidP="00C33D4A">
            <w:pPr>
              <w:widowControl w:val="0"/>
              <w:rPr>
                <w:color w:val="993300"/>
                <w:sz w:val="16"/>
                <w:szCs w:val="16"/>
                <w:lang w:val="es-ES_tradnl" w:bidi="th-TH"/>
              </w:rPr>
            </w:pPr>
            <w:r w:rsidRPr="00F2661C">
              <w:rPr>
                <w:color w:val="993300"/>
                <w:sz w:val="16"/>
                <w:szCs w:val="16"/>
                <w:lang w:val="es-ES_tradnl" w:bidi="th-TH"/>
              </w:rPr>
              <w:t>Se modificaron dos normas técnicas.  No hay normas técnicas nuevas.</w:t>
            </w:r>
          </w:p>
        </w:tc>
        <w:tc>
          <w:tcPr>
            <w:tcW w:w="1825" w:type="pct"/>
            <w:tcBorders>
              <w:top w:val="nil"/>
              <w:bottom w:val="nil"/>
            </w:tcBorders>
            <w:shd w:val="clear" w:color="auto" w:fill="FFFFFF"/>
            <w:tcMar>
              <w:top w:w="110" w:type="dxa"/>
            </w:tcMar>
          </w:tcPr>
          <w:p w:rsidR="00B070BF" w:rsidRPr="009577DE" w:rsidRDefault="00B070BF" w:rsidP="00C33D4A">
            <w:pPr>
              <w:widowControl w:val="0"/>
              <w:rPr>
                <w:sz w:val="16"/>
                <w:szCs w:val="16"/>
                <w:lang w:val="es-ES_tradnl" w:bidi="th-TH"/>
              </w:rPr>
            </w:pPr>
            <w:r w:rsidRPr="009577DE">
              <w:rPr>
                <w:sz w:val="16"/>
                <w:szCs w:val="16"/>
                <w:lang w:val="es-ES_tradnl" w:bidi="th-TH"/>
              </w:rPr>
              <w:t xml:space="preserve">Se adoptó una norma nueva y se modificaron dos. </w:t>
            </w:r>
          </w:p>
          <w:p w:rsidR="00B070BF" w:rsidRPr="009577DE" w:rsidRDefault="00B070BF" w:rsidP="00C33D4A">
            <w:pPr>
              <w:widowControl w:val="0"/>
              <w:rPr>
                <w:sz w:val="16"/>
                <w:szCs w:val="16"/>
                <w:lang w:val="es-ES_tradnl" w:bidi="th-TH"/>
              </w:rPr>
            </w:pPr>
          </w:p>
          <w:p w:rsidR="00B070BF" w:rsidRPr="009577DE" w:rsidRDefault="00B070BF" w:rsidP="00C33D4A">
            <w:pPr>
              <w:widowControl w:val="0"/>
              <w:rPr>
                <w:sz w:val="16"/>
                <w:szCs w:val="16"/>
                <w:lang w:val="es-ES_tradnl"/>
              </w:rPr>
            </w:pPr>
          </w:p>
        </w:tc>
        <w:tc>
          <w:tcPr>
            <w:tcW w:w="647" w:type="pct"/>
            <w:tcBorders>
              <w:top w:val="nil"/>
              <w:bottom w:val="nil"/>
              <w:right w:val="single" w:sz="4" w:space="0" w:color="auto"/>
            </w:tcBorders>
            <w:shd w:val="clear" w:color="auto" w:fill="auto"/>
            <w:tcMar>
              <w:top w:w="110" w:type="dxa"/>
            </w:tcMar>
          </w:tcPr>
          <w:p w:rsidR="00B070BF" w:rsidRPr="009577DE" w:rsidRDefault="00B070BF" w:rsidP="00C33D4A">
            <w:pPr>
              <w:widowControl w:val="0"/>
              <w:jc w:val="center"/>
              <w:rPr>
                <w:bCs/>
                <w:sz w:val="16"/>
                <w:szCs w:val="16"/>
                <w:lang w:val="es-ES_tradnl"/>
              </w:rPr>
            </w:pPr>
            <w:r w:rsidRPr="009577DE">
              <w:rPr>
                <w:b/>
                <w:color w:val="008000"/>
                <w:sz w:val="16"/>
                <w:szCs w:val="16"/>
                <w:lang w:val="es-ES_tradnl"/>
              </w:rPr>
              <w:t>Progresa con normalidad</w:t>
            </w:r>
            <w:r w:rsidRPr="009577DE" w:rsidDel="00E80C0D">
              <w:rPr>
                <w:bCs/>
                <w:sz w:val="16"/>
                <w:szCs w:val="16"/>
                <w:lang w:val="es-ES_tradnl"/>
              </w:rPr>
              <w:t xml:space="preserve"> </w:t>
            </w:r>
          </w:p>
          <w:p w:rsidR="00B070BF" w:rsidRPr="009577DE" w:rsidRDefault="00B070BF" w:rsidP="00C33D4A">
            <w:pPr>
              <w:widowControl w:val="0"/>
              <w:jc w:val="center"/>
              <w:rPr>
                <w:bCs/>
                <w:sz w:val="16"/>
                <w:szCs w:val="16"/>
                <w:lang w:val="es-ES_tradnl"/>
              </w:rPr>
            </w:pPr>
          </w:p>
        </w:tc>
      </w:tr>
      <w:tr w:rsidR="00B070BF" w:rsidRPr="009577DE" w:rsidTr="00C33D4A">
        <w:trPr>
          <w:cantSplit/>
        </w:trPr>
        <w:tc>
          <w:tcPr>
            <w:tcW w:w="852" w:type="pct"/>
            <w:tcBorders>
              <w:top w:val="nil"/>
              <w:left w:val="single" w:sz="4" w:space="0" w:color="auto"/>
              <w:bottom w:val="single" w:sz="4" w:space="0" w:color="auto"/>
            </w:tcBorders>
            <w:shd w:val="clear" w:color="auto" w:fill="auto"/>
          </w:tcPr>
          <w:p w:rsidR="00B070BF" w:rsidRPr="009577DE" w:rsidRDefault="00B070BF" w:rsidP="00C33D4A">
            <w:pPr>
              <w:widowControl w:val="0"/>
              <w:rPr>
                <w:sz w:val="16"/>
                <w:szCs w:val="16"/>
                <w:lang w:val="es-ES_tradnl"/>
              </w:rPr>
            </w:pPr>
            <w:r w:rsidRPr="009577DE">
              <w:rPr>
                <w:sz w:val="16"/>
                <w:szCs w:val="16"/>
                <w:lang w:val="es-ES_tradnl"/>
              </w:rPr>
              <w:t>Número de oficinas que se muestran satisfechas de la formación recibida para mejorar sus capacidades en el uso de las clasificaciones.</w:t>
            </w:r>
          </w:p>
        </w:tc>
        <w:tc>
          <w:tcPr>
            <w:tcW w:w="783" w:type="pct"/>
            <w:tcBorders>
              <w:top w:val="nil"/>
              <w:bottom w:val="single" w:sz="4" w:space="0" w:color="auto"/>
            </w:tcBorders>
            <w:shd w:val="clear" w:color="auto" w:fill="C0C0C0"/>
          </w:tcPr>
          <w:p w:rsidR="00B070BF" w:rsidRPr="009577DE" w:rsidRDefault="00B070BF" w:rsidP="00C33D4A">
            <w:pPr>
              <w:widowControl w:val="0"/>
              <w:rPr>
                <w:sz w:val="16"/>
                <w:szCs w:val="16"/>
                <w:lang w:val="es-ES_tradnl"/>
              </w:rPr>
            </w:pPr>
            <w:r w:rsidRPr="009577DE">
              <w:rPr>
                <w:sz w:val="16"/>
                <w:szCs w:val="16"/>
                <w:lang w:val="es-ES_tradnl"/>
              </w:rPr>
              <w:t>A determinar a fines de 2011.</w:t>
            </w:r>
          </w:p>
        </w:tc>
        <w:tc>
          <w:tcPr>
            <w:tcW w:w="893" w:type="pct"/>
            <w:tcBorders>
              <w:top w:val="nil"/>
              <w:bottom w:val="single" w:sz="4" w:space="0" w:color="auto"/>
            </w:tcBorders>
            <w:shd w:val="clear" w:color="auto" w:fill="auto"/>
            <w:tcMar>
              <w:top w:w="110" w:type="dxa"/>
            </w:tcMar>
          </w:tcPr>
          <w:p w:rsidR="00B070BF" w:rsidRPr="00F2661C" w:rsidRDefault="00B070BF" w:rsidP="00C33D4A">
            <w:pPr>
              <w:widowControl w:val="0"/>
              <w:rPr>
                <w:color w:val="993300"/>
                <w:sz w:val="16"/>
                <w:szCs w:val="16"/>
                <w:lang w:val="es-ES_tradnl" w:bidi="th-TH"/>
              </w:rPr>
            </w:pPr>
            <w:r w:rsidRPr="00F2661C">
              <w:rPr>
                <w:color w:val="993300"/>
                <w:sz w:val="16"/>
                <w:szCs w:val="16"/>
                <w:lang w:val="es-ES_tradnl" w:bidi="th-TH"/>
              </w:rPr>
              <w:t>Sobre la base de cinco cursos de formación llevados a cabo, en todas las evaluaciones se otorgó la máxima puntuación en las cuatro preguntas.</w:t>
            </w:r>
          </w:p>
        </w:tc>
        <w:tc>
          <w:tcPr>
            <w:tcW w:w="1825" w:type="pct"/>
            <w:tcBorders>
              <w:top w:val="nil"/>
              <w:bottom w:val="single" w:sz="4" w:space="0" w:color="auto"/>
            </w:tcBorders>
            <w:shd w:val="clear" w:color="auto" w:fill="FFFFFF"/>
            <w:tcMar>
              <w:top w:w="110" w:type="dxa"/>
            </w:tcMar>
          </w:tcPr>
          <w:p w:rsidR="00B070BF" w:rsidRPr="009577DE" w:rsidRDefault="00B070BF" w:rsidP="00C33D4A">
            <w:pPr>
              <w:widowControl w:val="0"/>
              <w:rPr>
                <w:sz w:val="16"/>
                <w:szCs w:val="16"/>
                <w:lang w:val="es-ES_tradnl" w:bidi="th-TH"/>
              </w:rPr>
            </w:pPr>
            <w:r w:rsidRPr="009577DE">
              <w:rPr>
                <w:sz w:val="16"/>
                <w:szCs w:val="16"/>
                <w:lang w:val="es-ES_tradnl" w:bidi="th-TH"/>
              </w:rPr>
              <w:t>En total se llevaron a cabo 10 misiones de formación en 2012 relacionadas con las clasificaciones internacionales.  Se enviarán encuestas de evaluación a los participantes en abril/mayo de 2013.  Los resultados estarán disponibles en junio de 2013.</w:t>
            </w:r>
          </w:p>
          <w:p w:rsidR="00B070BF" w:rsidRPr="009577DE" w:rsidRDefault="00B070BF" w:rsidP="00C33D4A">
            <w:pPr>
              <w:widowControl w:val="0"/>
              <w:rPr>
                <w:sz w:val="16"/>
                <w:szCs w:val="16"/>
                <w:lang w:val="es-ES_tradnl" w:bidi="th-TH"/>
              </w:rPr>
            </w:pPr>
          </w:p>
          <w:p w:rsidR="00B070BF" w:rsidRPr="009577DE" w:rsidRDefault="00B070BF" w:rsidP="00C33D4A">
            <w:pPr>
              <w:widowControl w:val="0"/>
              <w:rPr>
                <w:sz w:val="16"/>
                <w:szCs w:val="16"/>
                <w:lang w:val="es-ES_tradnl" w:bidi="th-TH"/>
              </w:rPr>
            </w:pPr>
          </w:p>
          <w:p w:rsidR="00B070BF" w:rsidRPr="009577DE" w:rsidRDefault="00B070BF" w:rsidP="00C33D4A">
            <w:pPr>
              <w:widowControl w:val="0"/>
              <w:rPr>
                <w:sz w:val="16"/>
                <w:szCs w:val="16"/>
                <w:lang w:val="es-ES_tradnl"/>
              </w:rPr>
            </w:pPr>
          </w:p>
        </w:tc>
        <w:tc>
          <w:tcPr>
            <w:tcW w:w="647" w:type="pct"/>
            <w:tcBorders>
              <w:top w:val="nil"/>
              <w:bottom w:val="single" w:sz="4" w:space="0" w:color="auto"/>
              <w:right w:val="single" w:sz="4" w:space="0" w:color="auto"/>
            </w:tcBorders>
            <w:shd w:val="clear" w:color="auto" w:fill="auto"/>
            <w:tcMar>
              <w:top w:w="110" w:type="dxa"/>
            </w:tcMar>
          </w:tcPr>
          <w:p w:rsidR="00B070BF" w:rsidRPr="009577DE" w:rsidRDefault="00B070BF" w:rsidP="00C33D4A">
            <w:pPr>
              <w:widowControl w:val="0"/>
              <w:jc w:val="center"/>
              <w:rPr>
                <w:b/>
                <w:sz w:val="16"/>
                <w:szCs w:val="16"/>
                <w:lang w:val="es-ES_tradnl"/>
              </w:rPr>
            </w:pPr>
            <w:r w:rsidRPr="009577DE">
              <w:rPr>
                <w:bCs/>
                <w:sz w:val="16"/>
                <w:szCs w:val="16"/>
                <w:lang w:val="es-ES_tradnl"/>
              </w:rPr>
              <w:t xml:space="preserve"> </w:t>
            </w:r>
            <w:r w:rsidRPr="009577DE">
              <w:rPr>
                <w:b/>
                <w:sz w:val="16"/>
                <w:szCs w:val="16"/>
                <w:lang w:val="es-ES_tradnl"/>
              </w:rPr>
              <w:t>No disponible para 2012</w:t>
            </w:r>
          </w:p>
        </w:tc>
      </w:tr>
      <w:tr w:rsidR="00B070BF" w:rsidRPr="009577DE" w:rsidTr="00C33D4A">
        <w:trPr>
          <w:cantSplit/>
        </w:trPr>
        <w:tc>
          <w:tcPr>
            <w:tcW w:w="852" w:type="pct"/>
            <w:tcBorders>
              <w:top w:val="single" w:sz="4" w:space="0" w:color="auto"/>
              <w:left w:val="single" w:sz="4" w:space="0" w:color="auto"/>
              <w:bottom w:val="single" w:sz="4" w:space="0" w:color="auto"/>
            </w:tcBorders>
            <w:shd w:val="clear" w:color="auto" w:fill="auto"/>
          </w:tcPr>
          <w:p w:rsidR="00B070BF" w:rsidRPr="009577DE" w:rsidRDefault="00B070BF" w:rsidP="00C33D4A">
            <w:pPr>
              <w:widowControl w:val="0"/>
              <w:ind w:leftChars="-1" w:left="1" w:hangingChars="2" w:hanging="3"/>
              <w:rPr>
                <w:sz w:val="16"/>
                <w:szCs w:val="16"/>
                <w:lang w:val="es-ES_tradnl"/>
              </w:rPr>
            </w:pPr>
            <w:r w:rsidRPr="009577DE">
              <w:rPr>
                <w:sz w:val="16"/>
                <w:szCs w:val="16"/>
                <w:lang w:val="es-ES_tradnl"/>
              </w:rPr>
              <w:lastRenderedPageBreak/>
              <w:t>Número de usuarios que tienen acceso a las publicaciones de clasificaciones internacionales y normas técnicas, especialmente de países en desarrollo.</w:t>
            </w:r>
          </w:p>
        </w:tc>
        <w:tc>
          <w:tcPr>
            <w:tcW w:w="783" w:type="pct"/>
            <w:tcBorders>
              <w:top w:val="single" w:sz="4" w:space="0" w:color="auto"/>
              <w:bottom w:val="single" w:sz="4" w:space="0" w:color="auto"/>
            </w:tcBorders>
            <w:shd w:val="clear" w:color="auto" w:fill="C0C0C0"/>
          </w:tcPr>
          <w:p w:rsidR="00B070BF" w:rsidRPr="009577DE" w:rsidRDefault="00B070BF" w:rsidP="00C33D4A">
            <w:pPr>
              <w:widowControl w:val="0"/>
              <w:rPr>
                <w:sz w:val="16"/>
                <w:szCs w:val="16"/>
                <w:lang w:val="es-ES_tradnl"/>
              </w:rPr>
            </w:pPr>
            <w:r w:rsidRPr="009577DE">
              <w:rPr>
                <w:sz w:val="16"/>
                <w:szCs w:val="16"/>
                <w:lang w:val="es-ES_tradnl"/>
              </w:rPr>
              <w:t>A determinar a fines de 2011.</w:t>
            </w:r>
          </w:p>
        </w:tc>
        <w:tc>
          <w:tcPr>
            <w:tcW w:w="893" w:type="pct"/>
            <w:tcBorders>
              <w:top w:val="single" w:sz="4" w:space="0" w:color="auto"/>
              <w:bottom w:val="single" w:sz="4" w:space="0" w:color="auto"/>
            </w:tcBorders>
            <w:shd w:val="clear" w:color="auto" w:fill="auto"/>
            <w:tcMar>
              <w:top w:w="110" w:type="dxa"/>
            </w:tcMar>
          </w:tcPr>
          <w:p w:rsidR="00B070BF" w:rsidRPr="00F2661C" w:rsidRDefault="00B070BF" w:rsidP="00C33D4A">
            <w:pPr>
              <w:widowControl w:val="0"/>
              <w:rPr>
                <w:color w:val="993300"/>
                <w:sz w:val="16"/>
                <w:szCs w:val="16"/>
                <w:lang w:val="es-ES_tradnl"/>
              </w:rPr>
            </w:pPr>
            <w:r w:rsidRPr="00F2661C">
              <w:rPr>
                <w:color w:val="993300"/>
                <w:sz w:val="16"/>
                <w:szCs w:val="16"/>
                <w:lang w:val="es-ES_tradnl"/>
              </w:rPr>
              <w:t>CIP:  341.583</w:t>
            </w:r>
          </w:p>
          <w:p w:rsidR="00B070BF" w:rsidRPr="00F2661C" w:rsidRDefault="00B070BF" w:rsidP="00C33D4A">
            <w:pPr>
              <w:widowControl w:val="0"/>
              <w:rPr>
                <w:color w:val="993300"/>
                <w:sz w:val="16"/>
                <w:szCs w:val="16"/>
                <w:lang w:val="es-ES_tradnl"/>
              </w:rPr>
            </w:pPr>
            <w:r w:rsidRPr="00F2661C">
              <w:rPr>
                <w:color w:val="993300"/>
                <w:sz w:val="16"/>
                <w:szCs w:val="16"/>
                <w:lang w:val="es-ES_tradnl"/>
              </w:rPr>
              <w:t>Niza:  307.403</w:t>
            </w:r>
          </w:p>
          <w:p w:rsidR="00B070BF" w:rsidRPr="00F2661C" w:rsidRDefault="00B070BF" w:rsidP="00C33D4A">
            <w:pPr>
              <w:widowControl w:val="0"/>
              <w:rPr>
                <w:color w:val="993300"/>
                <w:sz w:val="16"/>
                <w:szCs w:val="16"/>
                <w:lang w:val="es-ES_tradnl"/>
              </w:rPr>
            </w:pPr>
            <w:proofErr w:type="spellStart"/>
            <w:r w:rsidRPr="00F2661C">
              <w:rPr>
                <w:color w:val="993300"/>
                <w:sz w:val="16"/>
                <w:szCs w:val="16"/>
                <w:lang w:val="es-ES_tradnl"/>
              </w:rPr>
              <w:t>Locarno</w:t>
            </w:r>
            <w:proofErr w:type="spellEnd"/>
            <w:r w:rsidRPr="00F2661C">
              <w:rPr>
                <w:color w:val="993300"/>
                <w:sz w:val="16"/>
                <w:szCs w:val="16"/>
                <w:lang w:val="es-ES_tradnl"/>
              </w:rPr>
              <w:t>:  21.481</w:t>
            </w:r>
          </w:p>
          <w:p w:rsidR="00B070BF" w:rsidRPr="00F2661C" w:rsidRDefault="00B070BF" w:rsidP="00C33D4A">
            <w:pPr>
              <w:widowControl w:val="0"/>
              <w:rPr>
                <w:color w:val="993300"/>
                <w:sz w:val="16"/>
                <w:szCs w:val="16"/>
                <w:lang w:val="es-ES_tradnl"/>
              </w:rPr>
            </w:pPr>
            <w:r w:rsidRPr="00F2661C">
              <w:rPr>
                <w:color w:val="993300"/>
                <w:sz w:val="16"/>
                <w:szCs w:val="16"/>
                <w:lang w:val="es-ES_tradnl"/>
              </w:rPr>
              <w:t>Viena:  19.691</w:t>
            </w:r>
          </w:p>
          <w:p w:rsidR="00B070BF" w:rsidRPr="00F2661C" w:rsidRDefault="00B070BF" w:rsidP="00C33D4A">
            <w:pPr>
              <w:widowControl w:val="0"/>
              <w:rPr>
                <w:color w:val="993300"/>
                <w:sz w:val="16"/>
                <w:szCs w:val="16"/>
                <w:lang w:val="es-ES_tradnl"/>
              </w:rPr>
            </w:pPr>
            <w:r w:rsidRPr="00F2661C">
              <w:rPr>
                <w:color w:val="993300"/>
                <w:sz w:val="16"/>
                <w:szCs w:val="16"/>
                <w:lang w:val="es-ES_tradnl"/>
              </w:rPr>
              <w:t>Publicación de la CIP:  55.153</w:t>
            </w:r>
          </w:p>
          <w:p w:rsidR="00B070BF" w:rsidRPr="00F2661C" w:rsidRDefault="00B070BF" w:rsidP="00C33D4A">
            <w:pPr>
              <w:widowControl w:val="0"/>
              <w:rPr>
                <w:color w:val="993300"/>
                <w:sz w:val="16"/>
                <w:szCs w:val="16"/>
                <w:lang w:val="es-ES_tradnl"/>
              </w:rPr>
            </w:pPr>
            <w:r w:rsidRPr="00F2661C">
              <w:rPr>
                <w:color w:val="993300"/>
                <w:sz w:val="16"/>
                <w:szCs w:val="16"/>
                <w:lang w:val="es-ES_tradnl" w:bidi="th-TH"/>
              </w:rPr>
              <w:t>Manual de la OMPI de información y documentación en materia de Propiedad Industrial</w:t>
            </w:r>
            <w:r w:rsidRPr="00F2661C">
              <w:rPr>
                <w:color w:val="993300"/>
                <w:sz w:val="16"/>
                <w:szCs w:val="16"/>
                <w:lang w:val="es-ES_tradnl"/>
              </w:rPr>
              <w:t>:  95.323</w:t>
            </w:r>
          </w:p>
        </w:tc>
        <w:tc>
          <w:tcPr>
            <w:tcW w:w="1825" w:type="pct"/>
            <w:tcBorders>
              <w:top w:val="single" w:sz="4" w:space="0" w:color="auto"/>
              <w:bottom w:val="single" w:sz="4" w:space="0" w:color="auto"/>
            </w:tcBorders>
            <w:shd w:val="clear" w:color="auto" w:fill="FFFFFF"/>
            <w:tcMar>
              <w:top w:w="110" w:type="dxa"/>
            </w:tcMar>
          </w:tcPr>
          <w:p w:rsidR="00B070BF" w:rsidRPr="009577DE" w:rsidRDefault="00B070BF" w:rsidP="00C33D4A">
            <w:pPr>
              <w:widowControl w:val="0"/>
              <w:rPr>
                <w:sz w:val="16"/>
                <w:szCs w:val="16"/>
                <w:lang w:val="es-ES_tradnl" w:bidi="th-TH"/>
              </w:rPr>
            </w:pPr>
            <w:r w:rsidRPr="009577DE">
              <w:rPr>
                <w:sz w:val="16"/>
                <w:szCs w:val="16"/>
                <w:lang w:val="es-ES_tradnl" w:bidi="th-TH"/>
              </w:rPr>
              <w:t>CIP:  370.215</w:t>
            </w:r>
          </w:p>
          <w:p w:rsidR="00B070BF" w:rsidRPr="009577DE" w:rsidRDefault="00B070BF" w:rsidP="00C33D4A">
            <w:pPr>
              <w:widowControl w:val="0"/>
              <w:rPr>
                <w:sz w:val="16"/>
                <w:szCs w:val="16"/>
                <w:lang w:val="es-ES_tradnl" w:bidi="th-TH"/>
              </w:rPr>
            </w:pPr>
            <w:r w:rsidRPr="009577DE">
              <w:rPr>
                <w:sz w:val="16"/>
                <w:szCs w:val="16"/>
                <w:lang w:val="es-ES_tradnl" w:bidi="th-TH"/>
              </w:rPr>
              <w:t>Niza:  409.458</w:t>
            </w:r>
          </w:p>
          <w:p w:rsidR="00B070BF" w:rsidRPr="009577DE" w:rsidRDefault="00B070BF" w:rsidP="00C33D4A">
            <w:pPr>
              <w:widowControl w:val="0"/>
              <w:rPr>
                <w:sz w:val="16"/>
                <w:szCs w:val="16"/>
                <w:lang w:val="es-ES_tradnl" w:bidi="th-TH"/>
              </w:rPr>
            </w:pPr>
            <w:proofErr w:type="spellStart"/>
            <w:r w:rsidRPr="009577DE">
              <w:rPr>
                <w:sz w:val="16"/>
                <w:szCs w:val="16"/>
                <w:lang w:val="es-ES_tradnl" w:bidi="th-TH"/>
              </w:rPr>
              <w:t>Locarno</w:t>
            </w:r>
            <w:proofErr w:type="spellEnd"/>
            <w:r w:rsidRPr="009577DE">
              <w:rPr>
                <w:sz w:val="16"/>
                <w:szCs w:val="16"/>
                <w:lang w:val="es-ES_tradnl" w:bidi="th-TH"/>
              </w:rPr>
              <w:t>:  27.327</w:t>
            </w:r>
          </w:p>
          <w:p w:rsidR="00B070BF" w:rsidRPr="009577DE" w:rsidRDefault="00B070BF" w:rsidP="00C33D4A">
            <w:pPr>
              <w:widowControl w:val="0"/>
              <w:rPr>
                <w:sz w:val="16"/>
                <w:szCs w:val="16"/>
                <w:lang w:val="es-ES_tradnl" w:bidi="th-TH"/>
              </w:rPr>
            </w:pPr>
            <w:r w:rsidRPr="009577DE">
              <w:rPr>
                <w:sz w:val="16"/>
                <w:szCs w:val="16"/>
                <w:lang w:val="es-ES_tradnl" w:bidi="th-TH"/>
              </w:rPr>
              <w:t>Viena:  25.703</w:t>
            </w:r>
          </w:p>
          <w:p w:rsidR="00B070BF" w:rsidRPr="009577DE" w:rsidRDefault="00B070BF" w:rsidP="00C33D4A">
            <w:pPr>
              <w:widowControl w:val="0"/>
              <w:rPr>
                <w:sz w:val="16"/>
                <w:szCs w:val="16"/>
                <w:lang w:val="es-ES_tradnl" w:bidi="th-TH"/>
              </w:rPr>
            </w:pPr>
            <w:r w:rsidRPr="009577DE">
              <w:rPr>
                <w:sz w:val="16"/>
                <w:szCs w:val="16"/>
                <w:lang w:val="es-ES_tradnl" w:bidi="th-TH"/>
              </w:rPr>
              <w:t>Publicación de la CIP:  66.628</w:t>
            </w:r>
          </w:p>
          <w:p w:rsidR="00B070BF" w:rsidRPr="009577DE" w:rsidRDefault="00B070BF" w:rsidP="00C33D4A">
            <w:pPr>
              <w:widowControl w:val="0"/>
              <w:rPr>
                <w:sz w:val="16"/>
                <w:szCs w:val="16"/>
                <w:lang w:val="es-ES_tradnl" w:bidi="th-TH"/>
              </w:rPr>
            </w:pPr>
            <w:r w:rsidRPr="009577DE">
              <w:rPr>
                <w:sz w:val="16"/>
                <w:szCs w:val="16"/>
                <w:lang w:val="es-ES_tradnl" w:bidi="th-TH"/>
              </w:rPr>
              <w:t>Manual de la OMPI de información y documentación en materia de Propiedad Industrial:  90.189</w:t>
            </w:r>
          </w:p>
          <w:p w:rsidR="00B070BF" w:rsidRPr="009577DE" w:rsidRDefault="00B070BF" w:rsidP="00C33D4A">
            <w:pPr>
              <w:widowControl w:val="0"/>
              <w:rPr>
                <w:sz w:val="16"/>
                <w:szCs w:val="16"/>
                <w:lang w:val="es-ES_tradnl" w:bidi="th-TH"/>
              </w:rPr>
            </w:pPr>
            <w:r w:rsidRPr="009577DE">
              <w:rPr>
                <w:sz w:val="16"/>
                <w:szCs w:val="16"/>
                <w:lang w:val="es-ES_tradnl" w:bidi="th-TH"/>
              </w:rPr>
              <w:t xml:space="preserve">Base de datos de la OMPI de Administración de Normas Técnicas (WIPOSTAD):  40.572 </w:t>
            </w:r>
          </w:p>
          <w:p w:rsidR="00B070BF" w:rsidRPr="009577DE" w:rsidRDefault="00B070BF" w:rsidP="00C33D4A">
            <w:pPr>
              <w:widowControl w:val="0"/>
              <w:rPr>
                <w:sz w:val="16"/>
                <w:szCs w:val="16"/>
                <w:lang w:val="es-ES_tradnl" w:bidi="th-TH"/>
              </w:rPr>
            </w:pPr>
          </w:p>
          <w:p w:rsidR="00B070BF" w:rsidRPr="009577DE" w:rsidRDefault="00B070BF" w:rsidP="00C33D4A">
            <w:pPr>
              <w:widowControl w:val="0"/>
              <w:rPr>
                <w:sz w:val="16"/>
                <w:szCs w:val="16"/>
                <w:lang w:val="es-ES_tradnl" w:bidi="th-TH"/>
              </w:rPr>
            </w:pPr>
          </w:p>
          <w:p w:rsidR="00B070BF" w:rsidRPr="009577DE" w:rsidRDefault="00B070BF" w:rsidP="00C33D4A">
            <w:pPr>
              <w:widowControl w:val="0"/>
              <w:rPr>
                <w:sz w:val="16"/>
                <w:szCs w:val="16"/>
                <w:lang w:val="es-ES_tradnl" w:bidi="th-TH"/>
              </w:rPr>
            </w:pPr>
          </w:p>
          <w:p w:rsidR="00B070BF" w:rsidRPr="009577DE" w:rsidRDefault="00B070BF" w:rsidP="00C33D4A">
            <w:pPr>
              <w:widowControl w:val="0"/>
              <w:rPr>
                <w:sz w:val="16"/>
                <w:szCs w:val="16"/>
                <w:lang w:val="es-ES_tradnl"/>
              </w:rPr>
            </w:pPr>
          </w:p>
        </w:tc>
        <w:tc>
          <w:tcPr>
            <w:tcW w:w="647" w:type="pct"/>
            <w:tcBorders>
              <w:top w:val="single" w:sz="4" w:space="0" w:color="auto"/>
              <w:bottom w:val="single" w:sz="4" w:space="0" w:color="auto"/>
              <w:right w:val="single" w:sz="4" w:space="0" w:color="auto"/>
            </w:tcBorders>
            <w:shd w:val="clear" w:color="auto" w:fill="auto"/>
            <w:tcMar>
              <w:top w:w="110" w:type="dxa"/>
            </w:tcMar>
          </w:tcPr>
          <w:p w:rsidR="00B070BF" w:rsidRPr="009577DE" w:rsidRDefault="00B070BF" w:rsidP="00C33D4A">
            <w:pPr>
              <w:widowControl w:val="0"/>
              <w:jc w:val="center"/>
              <w:rPr>
                <w:bCs/>
                <w:sz w:val="16"/>
                <w:szCs w:val="16"/>
                <w:lang w:val="es-ES_tradnl"/>
              </w:rPr>
            </w:pPr>
            <w:r w:rsidRPr="009577DE">
              <w:rPr>
                <w:b/>
                <w:color w:val="008000"/>
                <w:sz w:val="16"/>
                <w:szCs w:val="16"/>
                <w:lang w:val="es-ES_tradnl"/>
              </w:rPr>
              <w:t>Progresa con normalidad</w:t>
            </w:r>
            <w:r w:rsidRPr="009577DE" w:rsidDel="00E80C0D">
              <w:rPr>
                <w:bCs/>
                <w:sz w:val="16"/>
                <w:szCs w:val="16"/>
                <w:lang w:val="es-ES_tradnl"/>
              </w:rPr>
              <w:t xml:space="preserve"> </w:t>
            </w:r>
          </w:p>
          <w:p w:rsidR="00B070BF" w:rsidRPr="009577DE" w:rsidRDefault="00B070BF" w:rsidP="00C33D4A">
            <w:pPr>
              <w:widowControl w:val="0"/>
              <w:jc w:val="center"/>
              <w:rPr>
                <w:bCs/>
                <w:sz w:val="16"/>
                <w:szCs w:val="16"/>
                <w:lang w:val="es-ES_tradnl"/>
              </w:rPr>
            </w:pPr>
          </w:p>
        </w:tc>
      </w:tr>
    </w:tbl>
    <w:p w:rsidR="00B070BF" w:rsidRPr="009577DE" w:rsidRDefault="00B070BF" w:rsidP="00B070BF">
      <w:pPr>
        <w:widowControl w:val="0"/>
        <w:rPr>
          <w:b/>
          <w:sz w:val="18"/>
          <w:szCs w:val="18"/>
          <w:lang w:val="es-ES_tradnl"/>
        </w:rPr>
      </w:pPr>
    </w:p>
    <w:p w:rsidR="00B070BF" w:rsidRPr="009577DE" w:rsidRDefault="00B070BF" w:rsidP="00B070BF">
      <w:pPr>
        <w:widowControl w:val="0"/>
        <w:rPr>
          <w:sz w:val="18"/>
          <w:szCs w:val="18"/>
          <w:lang w:val="es-ES_tradnl"/>
        </w:rPr>
      </w:pPr>
    </w:p>
    <w:p w:rsidR="00B070BF" w:rsidRPr="009577DE" w:rsidRDefault="00B070BF" w:rsidP="00B070BF">
      <w:pPr>
        <w:widowControl w:val="0"/>
        <w:rPr>
          <w:sz w:val="20"/>
          <w:szCs w:val="22"/>
          <w:lang w:val="es-ES_tradnl"/>
        </w:rPr>
      </w:pPr>
      <w:r w:rsidRPr="009577DE">
        <w:rPr>
          <w:sz w:val="20"/>
          <w:szCs w:val="22"/>
          <w:lang w:val="es-ES_tradnl"/>
        </w:rPr>
        <w:t>PRESUPUESTO Y GASTOS REALES</w:t>
      </w:r>
    </w:p>
    <w:p w:rsidR="00B070BF" w:rsidRPr="006964C6" w:rsidRDefault="00B070BF" w:rsidP="00B070BF">
      <w:pPr>
        <w:widowControl w:val="0"/>
        <w:rPr>
          <w:sz w:val="20"/>
          <w:lang w:val="es-ES_tradnl"/>
        </w:rPr>
      </w:pPr>
    </w:p>
    <w:p w:rsidR="00B070BF" w:rsidRPr="006964C6" w:rsidRDefault="00B070BF" w:rsidP="00B070BF">
      <w:pPr>
        <w:widowControl w:val="0"/>
        <w:jc w:val="center"/>
        <w:rPr>
          <w:sz w:val="20"/>
          <w:lang w:val="es-ES_tradnl"/>
        </w:rPr>
      </w:pPr>
      <w:r w:rsidRPr="006964C6">
        <w:rPr>
          <w:sz w:val="20"/>
          <w:lang w:val="es-ES_tradnl"/>
        </w:rPr>
        <w:t>Presupuesto y gastos reales (por resultado)</w:t>
      </w:r>
    </w:p>
    <w:p w:rsidR="00B070BF" w:rsidRPr="009577DE" w:rsidRDefault="00B070BF" w:rsidP="00B070BF">
      <w:pPr>
        <w:widowControl w:val="0"/>
        <w:jc w:val="center"/>
        <w:rPr>
          <w:szCs w:val="22"/>
          <w:lang w:val="es-ES_tradnl"/>
        </w:rPr>
      </w:pPr>
      <w:r w:rsidRPr="006964C6">
        <w:rPr>
          <w:i/>
          <w:iCs/>
          <w:sz w:val="20"/>
          <w:lang w:val="es-ES_tradnl"/>
        </w:rPr>
        <w:t>(en miles de francos suizos)</w:t>
      </w:r>
      <w:r w:rsidRPr="006964C6">
        <w:rPr>
          <w:i/>
          <w:iCs/>
          <w:sz w:val="20"/>
          <w:lang w:val="es-ES_tradnl"/>
        </w:rPr>
        <w:br/>
      </w:r>
      <w:r w:rsidRPr="006964C6">
        <w:rPr>
          <w:i/>
          <w:iCs/>
          <w:sz w:val="20"/>
          <w:lang w:val="es-ES_tradnl"/>
        </w:rPr>
        <w:br/>
      </w:r>
      <w:r w:rsidRPr="009577DE">
        <w:rPr>
          <w:noProof/>
          <w:lang w:val="en-US" w:eastAsia="en-US"/>
        </w:rPr>
        <w:drawing>
          <wp:inline distT="0" distB="0" distL="0" distR="0" wp14:anchorId="76A2F880" wp14:editId="652436F7">
            <wp:extent cx="5902325" cy="1175385"/>
            <wp:effectExtent l="0" t="0" r="3175" b="5715"/>
            <wp:docPr id="222" name="Picture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902325" cy="1175385"/>
                    </a:xfrm>
                    <a:prstGeom prst="rect">
                      <a:avLst/>
                    </a:prstGeom>
                    <a:noFill/>
                    <a:ln>
                      <a:noFill/>
                    </a:ln>
                  </pic:spPr>
                </pic:pic>
              </a:graphicData>
            </a:graphic>
          </wp:inline>
        </w:drawing>
      </w:r>
    </w:p>
    <w:p w:rsidR="00B070BF" w:rsidRPr="006964C6" w:rsidRDefault="00B070BF" w:rsidP="00B070BF">
      <w:pPr>
        <w:widowControl w:val="0"/>
        <w:jc w:val="center"/>
        <w:rPr>
          <w:sz w:val="20"/>
          <w:lang w:val="es-ES_tradnl"/>
        </w:rPr>
      </w:pPr>
    </w:p>
    <w:p w:rsidR="00B070BF" w:rsidRPr="006964C6" w:rsidRDefault="00B070BF" w:rsidP="00B070BF">
      <w:pPr>
        <w:widowControl w:val="0"/>
        <w:jc w:val="center"/>
        <w:rPr>
          <w:sz w:val="20"/>
          <w:lang w:val="es-ES_tradnl"/>
        </w:rPr>
      </w:pPr>
    </w:p>
    <w:p w:rsidR="00B070BF" w:rsidRPr="009577DE" w:rsidRDefault="00B070BF" w:rsidP="00B070BF">
      <w:pPr>
        <w:widowControl w:val="0"/>
        <w:jc w:val="center"/>
        <w:rPr>
          <w:sz w:val="20"/>
          <w:lang w:val="es-ES_tradnl"/>
        </w:rPr>
      </w:pPr>
      <w:r w:rsidRPr="006964C6">
        <w:rPr>
          <w:sz w:val="20"/>
          <w:lang w:val="es-ES_tradnl"/>
        </w:rPr>
        <w:t>Presupuesto y gastos reales (de personal y no relativos al personal)</w:t>
      </w:r>
      <w:r w:rsidRPr="006964C6">
        <w:rPr>
          <w:sz w:val="20"/>
          <w:lang w:val="es-ES_tradnl"/>
        </w:rPr>
        <w:br/>
      </w:r>
      <w:r w:rsidRPr="006964C6">
        <w:rPr>
          <w:i/>
          <w:sz w:val="20"/>
          <w:lang w:val="es-ES_tradnl"/>
        </w:rPr>
        <w:t>(en miles de francos suizos)</w:t>
      </w:r>
      <w:r w:rsidRPr="006964C6">
        <w:rPr>
          <w:sz w:val="20"/>
          <w:lang w:val="es-ES_tradnl"/>
        </w:rPr>
        <w:br/>
      </w:r>
      <w:r w:rsidRPr="006964C6">
        <w:rPr>
          <w:sz w:val="20"/>
          <w:lang w:val="es-ES_tradnl"/>
        </w:rPr>
        <w:br/>
      </w:r>
      <w:r w:rsidRPr="009577DE">
        <w:rPr>
          <w:noProof/>
          <w:lang w:val="en-US" w:eastAsia="en-US"/>
        </w:rPr>
        <w:drawing>
          <wp:inline distT="0" distB="0" distL="0" distR="0" wp14:anchorId="395D944C" wp14:editId="560EF708">
            <wp:extent cx="5902325" cy="1211580"/>
            <wp:effectExtent l="0" t="0" r="3175" b="7620"/>
            <wp:docPr id="221" name="Pictur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902325" cy="1211580"/>
                    </a:xfrm>
                    <a:prstGeom prst="rect">
                      <a:avLst/>
                    </a:prstGeom>
                    <a:noFill/>
                    <a:ln>
                      <a:noFill/>
                    </a:ln>
                  </pic:spPr>
                </pic:pic>
              </a:graphicData>
            </a:graphic>
          </wp:inline>
        </w:drawing>
      </w:r>
    </w:p>
    <w:p w:rsidR="00B070BF" w:rsidRPr="009577DE" w:rsidRDefault="00B070BF" w:rsidP="00B070BF">
      <w:pPr>
        <w:widowControl w:val="0"/>
        <w:autoSpaceDE w:val="0"/>
        <w:autoSpaceDN w:val="0"/>
        <w:adjustRightInd w:val="0"/>
        <w:rPr>
          <w:i/>
          <w:sz w:val="16"/>
          <w:szCs w:val="16"/>
          <w:u w:val="single"/>
          <w:lang w:val="es-ES_tradnl"/>
        </w:rPr>
      </w:pPr>
    </w:p>
    <w:p w:rsidR="00B070BF" w:rsidRPr="009577DE" w:rsidRDefault="00B070BF" w:rsidP="00B070BF">
      <w:pPr>
        <w:widowControl w:val="0"/>
        <w:autoSpaceDE w:val="0"/>
        <w:autoSpaceDN w:val="0"/>
        <w:adjustRightInd w:val="0"/>
        <w:rPr>
          <w:sz w:val="16"/>
          <w:szCs w:val="16"/>
          <w:lang w:val="es-ES_tradnl"/>
        </w:rPr>
      </w:pPr>
      <w:r w:rsidRPr="007C3E0F">
        <w:rPr>
          <w:sz w:val="16"/>
          <w:szCs w:val="16"/>
          <w:lang w:val="es-ES_tradnl"/>
        </w:rPr>
        <w:t>NOTAS:</w:t>
      </w:r>
    </w:p>
    <w:p w:rsidR="00B070BF" w:rsidRPr="009577DE" w:rsidRDefault="00B070BF" w:rsidP="00B070BF">
      <w:pPr>
        <w:widowControl w:val="0"/>
        <w:autoSpaceDE w:val="0"/>
        <w:autoSpaceDN w:val="0"/>
        <w:adjustRightInd w:val="0"/>
        <w:rPr>
          <w:sz w:val="16"/>
          <w:szCs w:val="16"/>
          <w:lang w:val="es-ES_tradnl"/>
        </w:rPr>
      </w:pPr>
    </w:p>
    <w:p w:rsidR="00B070BF" w:rsidRPr="009577DE" w:rsidRDefault="00B070BF" w:rsidP="00B070BF">
      <w:pPr>
        <w:widowControl w:val="0"/>
        <w:autoSpaceDE w:val="0"/>
        <w:autoSpaceDN w:val="0"/>
        <w:adjustRightInd w:val="0"/>
        <w:rPr>
          <w:sz w:val="16"/>
          <w:szCs w:val="16"/>
          <w:lang w:val="es-ES_tradnl"/>
        </w:rPr>
      </w:pPr>
      <w:r w:rsidRPr="009577DE">
        <w:rPr>
          <w:sz w:val="16"/>
          <w:szCs w:val="16"/>
          <w:lang w:val="es-ES_tradnl"/>
        </w:rPr>
        <w:t>1) El presupuesto después de las transferencias refleja el presupuesto de los programas ajustado después de las transferencias efectuadas en 2012/13 en virtud del artículo 5.5 del Reglamento Financiero.</w:t>
      </w:r>
    </w:p>
    <w:p w:rsidR="00B070BF" w:rsidRPr="009577DE" w:rsidRDefault="00B070BF" w:rsidP="00B070BF">
      <w:pPr>
        <w:widowControl w:val="0"/>
        <w:autoSpaceDE w:val="0"/>
        <w:autoSpaceDN w:val="0"/>
        <w:adjustRightInd w:val="0"/>
        <w:rPr>
          <w:sz w:val="16"/>
          <w:szCs w:val="16"/>
          <w:lang w:val="es-ES_tradnl"/>
        </w:rPr>
      </w:pPr>
    </w:p>
    <w:p w:rsidR="00B070BF" w:rsidRPr="009577DE" w:rsidRDefault="00B070BF" w:rsidP="00B070BF">
      <w:pPr>
        <w:widowControl w:val="0"/>
        <w:autoSpaceDE w:val="0"/>
        <w:autoSpaceDN w:val="0"/>
        <w:adjustRightInd w:val="0"/>
        <w:rPr>
          <w:sz w:val="16"/>
          <w:szCs w:val="16"/>
          <w:lang w:val="es-ES_tradnl"/>
        </w:rPr>
      </w:pPr>
      <w:r w:rsidRPr="009577DE">
        <w:rPr>
          <w:sz w:val="16"/>
          <w:szCs w:val="16"/>
          <w:lang w:val="es-ES_tradnl"/>
        </w:rPr>
        <w:t xml:space="preserve">2) La asignación para el personal del presupuesto de 2012/13 después de las transferencias representa los gastos reales efectuados hasta el 31 de marzo de 2013 y los importes presupuestados para los nueve meses restantes de 2013, sobre la base de costos estándar. </w:t>
      </w:r>
    </w:p>
    <w:p w:rsidR="00B070BF" w:rsidRPr="009577DE" w:rsidRDefault="00B070BF" w:rsidP="00B070BF">
      <w:pPr>
        <w:widowControl w:val="0"/>
        <w:autoSpaceDE w:val="0"/>
        <w:autoSpaceDN w:val="0"/>
        <w:adjustRightInd w:val="0"/>
        <w:rPr>
          <w:sz w:val="16"/>
          <w:szCs w:val="16"/>
          <w:lang w:val="es-ES_tradnl"/>
        </w:rPr>
      </w:pPr>
    </w:p>
    <w:p w:rsidR="00B070BF" w:rsidRPr="009577DE" w:rsidRDefault="00B070BF" w:rsidP="00B070BF">
      <w:pPr>
        <w:widowControl w:val="0"/>
        <w:autoSpaceDE w:val="0"/>
        <w:autoSpaceDN w:val="0"/>
        <w:adjustRightInd w:val="0"/>
        <w:rPr>
          <w:sz w:val="16"/>
          <w:szCs w:val="16"/>
          <w:lang w:val="es-ES_tradnl"/>
        </w:rPr>
      </w:pPr>
      <w:r w:rsidRPr="009577DE">
        <w:rPr>
          <w:sz w:val="16"/>
          <w:szCs w:val="16"/>
          <w:lang w:val="es-ES_tradnl"/>
        </w:rPr>
        <w:t>3) La asignación no relativa al personal del presupuesto de 2012/13 después de las transferencias refleja los ajustes a la baja efectuados para aumentar la eficacia en función de los costos, de conformidad con el compromiso de la Organización de reducir gastos por un importe de 10,2 millones de francos suizos en el bienio 2012/13.</w:t>
      </w:r>
    </w:p>
    <w:p w:rsidR="00B070BF" w:rsidRPr="009577DE" w:rsidRDefault="00B070BF" w:rsidP="00B070BF">
      <w:pPr>
        <w:widowControl w:val="0"/>
        <w:rPr>
          <w:sz w:val="20"/>
          <w:lang w:val="es-ES_tradnl"/>
        </w:rPr>
      </w:pPr>
    </w:p>
    <w:p w:rsidR="00B070BF" w:rsidRPr="009577DE" w:rsidRDefault="00B070BF" w:rsidP="00B070BF">
      <w:pPr>
        <w:widowControl w:val="0"/>
        <w:rPr>
          <w:sz w:val="20"/>
          <w:lang w:val="es-ES_tradnl"/>
        </w:rPr>
      </w:pPr>
    </w:p>
    <w:p w:rsidR="00B070BF" w:rsidRPr="009577DE" w:rsidRDefault="00B070BF" w:rsidP="00B070BF">
      <w:pPr>
        <w:widowControl w:val="0"/>
        <w:rPr>
          <w:sz w:val="20"/>
          <w:u w:val="single"/>
          <w:lang w:val="es-ES_tradnl"/>
        </w:rPr>
      </w:pPr>
      <w:r>
        <w:rPr>
          <w:sz w:val="20"/>
          <w:lang w:val="es-ES_tradnl"/>
        </w:rPr>
        <w:t xml:space="preserve">A.  </w:t>
      </w:r>
      <w:r w:rsidRPr="009577DE">
        <w:rPr>
          <w:sz w:val="20"/>
          <w:u w:val="single"/>
          <w:lang w:val="es-ES_tradnl"/>
        </w:rPr>
        <w:t xml:space="preserve">Presupuesto </w:t>
      </w:r>
      <w:r>
        <w:rPr>
          <w:sz w:val="20"/>
          <w:u w:val="single"/>
          <w:lang w:val="es-ES_tradnl"/>
        </w:rPr>
        <w:t>2012/13</w:t>
      </w:r>
      <w:r w:rsidRPr="009577DE">
        <w:rPr>
          <w:sz w:val="20"/>
          <w:u w:val="single"/>
          <w:lang w:val="es-ES_tradnl"/>
        </w:rPr>
        <w:t xml:space="preserve"> después de las transferencias</w:t>
      </w:r>
    </w:p>
    <w:p w:rsidR="00B070BF" w:rsidRPr="009577DE" w:rsidRDefault="00B070BF" w:rsidP="00B070BF">
      <w:pPr>
        <w:widowControl w:val="0"/>
        <w:jc w:val="both"/>
        <w:rPr>
          <w:sz w:val="20"/>
          <w:lang w:val="es-ES_tradnl"/>
        </w:rPr>
      </w:pPr>
    </w:p>
    <w:p w:rsidR="00B070BF" w:rsidRPr="009577DE" w:rsidRDefault="00B070BF" w:rsidP="00B070BF">
      <w:pPr>
        <w:widowControl w:val="0"/>
        <w:numPr>
          <w:ilvl w:val="0"/>
          <w:numId w:val="8"/>
        </w:numPr>
        <w:autoSpaceDE w:val="0"/>
        <w:autoSpaceDN w:val="0"/>
        <w:adjustRightInd w:val="0"/>
        <w:jc w:val="both"/>
        <w:rPr>
          <w:sz w:val="20"/>
          <w:lang w:val="es-ES_tradnl"/>
        </w:rPr>
      </w:pPr>
      <w:r w:rsidRPr="009577DE">
        <w:rPr>
          <w:rFonts w:eastAsia="Batang"/>
          <w:sz w:val="20"/>
          <w:lang w:val="es-ES_tradnl" w:eastAsia="ko-KR"/>
        </w:rPr>
        <w:t>El presupuesto de 2012/13 después de las transferencias refleja los ajustes que se detallan en las notas precedentes.</w:t>
      </w:r>
    </w:p>
    <w:p w:rsidR="00B070BF" w:rsidRPr="009577DE" w:rsidRDefault="00B070BF" w:rsidP="00B070BF">
      <w:pPr>
        <w:widowControl w:val="0"/>
        <w:jc w:val="both"/>
        <w:rPr>
          <w:rFonts w:eastAsia="Batang"/>
          <w:sz w:val="20"/>
          <w:lang w:val="es-ES_tradnl" w:eastAsia="ko-KR"/>
        </w:rPr>
      </w:pPr>
    </w:p>
    <w:p w:rsidR="00B070BF" w:rsidRPr="009577DE" w:rsidRDefault="00B070BF" w:rsidP="00B070BF">
      <w:pPr>
        <w:widowControl w:val="0"/>
        <w:jc w:val="both"/>
        <w:rPr>
          <w:rFonts w:eastAsia="Batang"/>
          <w:sz w:val="20"/>
          <w:u w:val="single"/>
          <w:lang w:val="es-ES_tradnl" w:eastAsia="ko-KR"/>
        </w:rPr>
      </w:pPr>
      <w:r w:rsidRPr="009577DE">
        <w:rPr>
          <w:rFonts w:eastAsia="Batang"/>
          <w:sz w:val="20"/>
          <w:lang w:val="es-ES_tradnl" w:eastAsia="ko-KR"/>
        </w:rPr>
        <w:t xml:space="preserve">B. </w:t>
      </w:r>
      <w:r>
        <w:rPr>
          <w:rFonts w:eastAsia="Batang"/>
          <w:sz w:val="20"/>
          <w:lang w:val="es-ES_tradnl" w:eastAsia="ko-KR"/>
        </w:rPr>
        <w:t xml:space="preserve"> </w:t>
      </w:r>
      <w:r w:rsidRPr="009577DE">
        <w:rPr>
          <w:rFonts w:eastAsia="Batang"/>
          <w:sz w:val="20"/>
          <w:u w:val="single"/>
          <w:lang w:val="es-ES_tradnl" w:eastAsia="ko-KR"/>
        </w:rPr>
        <w:t>Utilización del presupuesto 2012</w:t>
      </w:r>
    </w:p>
    <w:p w:rsidR="00B070BF" w:rsidRPr="009577DE" w:rsidRDefault="00B070BF" w:rsidP="00B070BF">
      <w:pPr>
        <w:widowControl w:val="0"/>
        <w:jc w:val="both"/>
        <w:rPr>
          <w:rFonts w:eastAsia="Batang"/>
          <w:sz w:val="20"/>
          <w:lang w:val="es-ES_tradnl" w:eastAsia="ko-KR"/>
        </w:rPr>
      </w:pPr>
    </w:p>
    <w:p w:rsidR="00B070BF" w:rsidRPr="0088405E" w:rsidRDefault="00B070BF" w:rsidP="00B070BF">
      <w:pPr>
        <w:widowControl w:val="0"/>
        <w:numPr>
          <w:ilvl w:val="0"/>
          <w:numId w:val="8"/>
        </w:numPr>
        <w:autoSpaceDE w:val="0"/>
        <w:autoSpaceDN w:val="0"/>
        <w:adjustRightInd w:val="0"/>
        <w:jc w:val="both"/>
        <w:rPr>
          <w:sz w:val="20"/>
          <w:lang w:val="es-ES_tradnl"/>
        </w:rPr>
      </w:pPr>
      <w:r w:rsidRPr="0088405E">
        <w:rPr>
          <w:rFonts w:eastAsia="Batang"/>
          <w:sz w:val="20"/>
          <w:lang w:val="es-ES_tradnl" w:eastAsia="ko-KR"/>
        </w:rPr>
        <w:t>La utilización del presupuesto se mantiene entre el 40% y el 60% en el primer año del bienio y progresa con normalidad.</w:t>
      </w:r>
    </w:p>
    <w:p w:rsidR="00B070BF" w:rsidRPr="009577DE" w:rsidRDefault="00B070BF" w:rsidP="00B070BF">
      <w:pPr>
        <w:pStyle w:val="Heading2"/>
        <w:tabs>
          <w:tab w:val="left" w:pos="2835"/>
        </w:tabs>
        <w:rPr>
          <w:b/>
        </w:rPr>
      </w:pPr>
      <w:r w:rsidRPr="009577DE">
        <w:rPr>
          <w:sz w:val="20"/>
        </w:rPr>
        <w:br w:type="page"/>
      </w:r>
      <w:bookmarkStart w:id="38" w:name="_Toc359846799"/>
      <w:bookmarkStart w:id="39" w:name="_Toc359949323"/>
      <w:r w:rsidRPr="009577DE">
        <w:rPr>
          <w:b/>
        </w:rPr>
        <w:lastRenderedPageBreak/>
        <w:t>PROGRAMA 13</w:t>
      </w:r>
      <w:r w:rsidRPr="009577DE">
        <w:rPr>
          <w:b/>
        </w:rPr>
        <w:tab/>
        <w:t>BASES DE DATOS MUNDIALES</w:t>
      </w:r>
      <w:bookmarkEnd w:id="38"/>
      <w:bookmarkEnd w:id="39"/>
    </w:p>
    <w:p w:rsidR="00B070BF" w:rsidRPr="009577DE" w:rsidRDefault="00B070BF" w:rsidP="00B070BF">
      <w:pPr>
        <w:widowControl w:val="0"/>
        <w:rPr>
          <w:sz w:val="20"/>
        </w:rPr>
      </w:pPr>
    </w:p>
    <w:p w:rsidR="00B070BF" w:rsidRPr="009577DE" w:rsidRDefault="00B070BF" w:rsidP="00B070BF">
      <w:pPr>
        <w:widowControl w:val="0"/>
        <w:rPr>
          <w:sz w:val="20"/>
        </w:rPr>
      </w:pPr>
    </w:p>
    <w:p w:rsidR="00B070BF" w:rsidRPr="009577DE" w:rsidRDefault="00B070BF" w:rsidP="00B070BF">
      <w:pPr>
        <w:widowControl w:val="0"/>
        <w:tabs>
          <w:tab w:val="left" w:pos="2268"/>
        </w:tabs>
        <w:rPr>
          <w:b/>
          <w:szCs w:val="22"/>
        </w:rPr>
      </w:pPr>
      <w:r w:rsidRPr="009577DE">
        <w:rPr>
          <w:b/>
          <w:szCs w:val="22"/>
        </w:rPr>
        <w:t>Director del Programa</w:t>
      </w:r>
      <w:r w:rsidRPr="009577DE">
        <w:rPr>
          <w:b/>
          <w:szCs w:val="22"/>
        </w:rPr>
        <w:tab/>
        <w:t>Sr.</w:t>
      </w:r>
      <w:r>
        <w:rPr>
          <w:b/>
          <w:szCs w:val="22"/>
        </w:rPr>
        <w:t> Y. </w:t>
      </w:r>
      <w:r w:rsidRPr="009577DE">
        <w:rPr>
          <w:b/>
          <w:szCs w:val="22"/>
        </w:rPr>
        <w:t>Takagi</w:t>
      </w:r>
    </w:p>
    <w:p w:rsidR="00B070BF" w:rsidRPr="009577DE" w:rsidRDefault="00B070BF" w:rsidP="00B070BF">
      <w:pPr>
        <w:widowControl w:val="0"/>
        <w:rPr>
          <w:sz w:val="20"/>
        </w:rPr>
      </w:pPr>
    </w:p>
    <w:p w:rsidR="00B070BF" w:rsidRPr="009577DE" w:rsidRDefault="00B070BF" w:rsidP="00B070BF">
      <w:pPr>
        <w:widowControl w:val="0"/>
        <w:rPr>
          <w:sz w:val="20"/>
        </w:rPr>
      </w:pPr>
    </w:p>
    <w:p w:rsidR="00B070BF" w:rsidRPr="009577DE" w:rsidRDefault="00B070BF" w:rsidP="00B070BF">
      <w:pPr>
        <w:widowControl w:val="0"/>
        <w:spacing w:line="260" w:lineRule="atLeast"/>
        <w:rPr>
          <w:bCs/>
          <w:sz w:val="20"/>
          <w:lang w:val="es-ES_tradnl"/>
        </w:rPr>
      </w:pPr>
      <w:r w:rsidRPr="009577DE">
        <w:rPr>
          <w:bCs/>
          <w:sz w:val="20"/>
          <w:lang w:val="es-ES_tradnl"/>
        </w:rPr>
        <w:t>RESEÑA DE LOS AVANCES LOGRADOS EN 2012</w:t>
      </w:r>
    </w:p>
    <w:p w:rsidR="00B070BF" w:rsidRPr="009577DE" w:rsidRDefault="00B070BF" w:rsidP="00B070BF">
      <w:pPr>
        <w:widowControl w:val="0"/>
        <w:jc w:val="both"/>
        <w:rPr>
          <w:sz w:val="20"/>
          <w:lang w:val="es-ES_tradnl"/>
        </w:rPr>
      </w:pPr>
    </w:p>
    <w:p w:rsidR="00B070BF" w:rsidRPr="009577DE" w:rsidRDefault="00B070BF" w:rsidP="00B070BF">
      <w:pPr>
        <w:widowControl w:val="0"/>
        <w:numPr>
          <w:ilvl w:val="0"/>
          <w:numId w:val="30"/>
        </w:numPr>
        <w:autoSpaceDE w:val="0"/>
        <w:autoSpaceDN w:val="0"/>
        <w:adjustRightInd w:val="0"/>
        <w:jc w:val="both"/>
        <w:rPr>
          <w:bCs/>
          <w:sz w:val="20"/>
          <w:lang w:val="es-ES_tradnl"/>
        </w:rPr>
      </w:pPr>
      <w:r w:rsidRPr="009577DE">
        <w:rPr>
          <w:bCs/>
          <w:sz w:val="20"/>
          <w:lang w:val="es-ES_tradnl"/>
        </w:rPr>
        <w:t>El programa ha seguido perfeccionando el nuevo sistema PATENTSCOPE, introducido en 2011, mediante la mejora de su sintaxis de búsqueda, ampliando las funciones del operador NEAR, aumentando el número de nuevas cuentas de usuario, permitiendo a los usuarios almacenar sus búsquedas, introduciendo información sobre la CIP en varios idiomas (ahora disponible en seis idiomas diferentes), creando un asistente que proporciona información acerca del código CIP, y añadiendo a la versión beta tres idiomas nuevos (neerlandés, italiano y sueco) a los nueve ya existentes en el sistema CLIR (una herramienta de búsqueda multilingüe), lo que eleva a un total de doce los idiomas disponibles. El sistema asistido por computadora para la traducción de los títulos y resúmenes de patentes (TAPTA), una aplicación desarrollada a nivel interno, se amplió para incluir dos pares de idiomas especialmente complejos: inglés y alemán e inglés y japonés.</w:t>
      </w:r>
    </w:p>
    <w:p w:rsidR="00B070BF" w:rsidRPr="009577DE" w:rsidRDefault="00B070BF" w:rsidP="00B070BF">
      <w:pPr>
        <w:widowControl w:val="0"/>
        <w:autoSpaceDE w:val="0"/>
        <w:autoSpaceDN w:val="0"/>
        <w:adjustRightInd w:val="0"/>
        <w:jc w:val="both"/>
        <w:rPr>
          <w:bCs/>
          <w:sz w:val="20"/>
          <w:lang w:val="es-ES_tradnl"/>
        </w:rPr>
      </w:pPr>
    </w:p>
    <w:p w:rsidR="00B070BF" w:rsidRDefault="00B070BF" w:rsidP="00B070BF">
      <w:pPr>
        <w:widowControl w:val="0"/>
        <w:numPr>
          <w:ilvl w:val="0"/>
          <w:numId w:val="30"/>
        </w:numPr>
        <w:autoSpaceDE w:val="0"/>
        <w:autoSpaceDN w:val="0"/>
        <w:adjustRightInd w:val="0"/>
        <w:jc w:val="both"/>
        <w:rPr>
          <w:bCs/>
          <w:sz w:val="20"/>
          <w:lang w:val="es-ES_tradnl"/>
        </w:rPr>
      </w:pPr>
      <w:r w:rsidRPr="009577DE">
        <w:rPr>
          <w:bCs/>
          <w:sz w:val="20"/>
          <w:lang w:val="es-ES_tradnl"/>
        </w:rPr>
        <w:t>PATENTSCOPE registró un modesto incremento en el número de usuarios por trimestre, pasando de los 216.289 en 2011 a los 219.000 en 2012, a pesar de los problemas de distribución de contenidos en red que surgieron durante 2012.  El número de colecciones nacionales que alberga PATENTSCOPE aumentó ligeramente, de 28 a 30, destacando entre ellas la aportación de la colección japonesa, que supuso casi duplicar el número de datos, pasando de los 10 a los 18 millones.  Se han llevado a cabo los preparativos necesarios para añadir otras colecciones nacionales en 2013.</w:t>
      </w:r>
    </w:p>
    <w:p w:rsidR="00B070BF" w:rsidRPr="009577DE" w:rsidRDefault="00B070BF" w:rsidP="00B070BF">
      <w:pPr>
        <w:widowControl w:val="0"/>
        <w:autoSpaceDE w:val="0"/>
        <w:autoSpaceDN w:val="0"/>
        <w:adjustRightInd w:val="0"/>
        <w:jc w:val="both"/>
        <w:rPr>
          <w:bCs/>
          <w:sz w:val="20"/>
          <w:lang w:val="es-ES_tradnl"/>
        </w:rPr>
      </w:pPr>
    </w:p>
    <w:p w:rsidR="00B070BF" w:rsidRPr="009577DE" w:rsidRDefault="00B070BF" w:rsidP="00B070BF">
      <w:pPr>
        <w:widowControl w:val="0"/>
        <w:autoSpaceDE w:val="0"/>
        <w:autoSpaceDN w:val="0"/>
        <w:adjustRightInd w:val="0"/>
        <w:jc w:val="both"/>
        <w:rPr>
          <w:bCs/>
          <w:sz w:val="20"/>
          <w:lang w:val="en-US"/>
        </w:rPr>
      </w:pPr>
      <w:r w:rsidRPr="009577DE">
        <w:rPr>
          <w:bCs/>
          <w:noProof/>
          <w:sz w:val="20"/>
          <w:lang w:val="en-US" w:eastAsia="en-US"/>
        </w:rPr>
        <mc:AlternateContent>
          <mc:Choice Requires="wpc">
            <w:drawing>
              <wp:inline distT="0" distB="0" distL="0" distR="0" wp14:anchorId="1727DC6E" wp14:editId="6F40185D">
                <wp:extent cx="5826642" cy="2204524"/>
                <wp:effectExtent l="0" t="0" r="0" b="24765"/>
                <wp:docPr id="185" name="Canvas 18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07" name="Rectangle 4"/>
                        <wps:cNvSpPr>
                          <a:spLocks noChangeArrowheads="1"/>
                        </wps:cNvSpPr>
                        <wps:spPr bwMode="auto">
                          <a:xfrm>
                            <a:off x="0" y="35482"/>
                            <a:ext cx="5578475" cy="21685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8" name="Rectangle 5"/>
                        <wps:cNvSpPr>
                          <a:spLocks noChangeArrowheads="1"/>
                        </wps:cNvSpPr>
                        <wps:spPr bwMode="auto">
                          <a:xfrm>
                            <a:off x="3175" y="41832"/>
                            <a:ext cx="5568950" cy="2159000"/>
                          </a:xfrm>
                          <a:prstGeom prst="rect">
                            <a:avLst/>
                          </a:prstGeom>
                          <a:solidFill>
                            <a:srgbClr val="FFFFFF"/>
                          </a:solidFill>
                          <a:ln w="3175">
                            <a:solidFill>
                              <a:srgbClr val="FFFFFF"/>
                            </a:solidFill>
                            <a:miter lim="800000"/>
                            <a:headEnd/>
                            <a:tailEnd/>
                          </a:ln>
                        </wps:spPr>
                        <wps:bodyPr rot="0" vert="horz" wrap="square" lIns="91440" tIns="45720" rIns="91440" bIns="45720" anchor="t" anchorCtr="0" upright="1">
                          <a:noAutofit/>
                        </wps:bodyPr>
                      </wps:wsp>
                      <wps:wsp>
                        <wps:cNvPr id="109" name="Line 6"/>
                        <wps:cNvCnPr/>
                        <wps:spPr bwMode="auto">
                          <a:xfrm>
                            <a:off x="577850" y="1975407"/>
                            <a:ext cx="4920615"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10" name="Line 7"/>
                        <wps:cNvCnPr/>
                        <wps:spPr bwMode="auto">
                          <a:xfrm>
                            <a:off x="577850" y="1705532"/>
                            <a:ext cx="4920615"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11" name="Line 8"/>
                        <wps:cNvCnPr/>
                        <wps:spPr bwMode="auto">
                          <a:xfrm>
                            <a:off x="577850" y="1435022"/>
                            <a:ext cx="4920615"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12" name="Line 9"/>
                        <wps:cNvCnPr/>
                        <wps:spPr bwMode="auto">
                          <a:xfrm>
                            <a:off x="577850" y="1167687"/>
                            <a:ext cx="4920615"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13" name="Line 10"/>
                        <wps:cNvCnPr/>
                        <wps:spPr bwMode="auto">
                          <a:xfrm>
                            <a:off x="577850" y="897812"/>
                            <a:ext cx="4920615"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14" name="Line 11"/>
                        <wps:cNvCnPr/>
                        <wps:spPr bwMode="auto">
                          <a:xfrm>
                            <a:off x="577850" y="627302"/>
                            <a:ext cx="4920615"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15" name="Line 12"/>
                        <wps:cNvCnPr/>
                        <wps:spPr bwMode="auto">
                          <a:xfrm>
                            <a:off x="577850" y="486332"/>
                            <a:ext cx="4920615" cy="63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16" name="Rectangle 13"/>
                        <wps:cNvSpPr>
                          <a:spLocks noChangeArrowheads="1"/>
                        </wps:cNvSpPr>
                        <wps:spPr bwMode="auto">
                          <a:xfrm>
                            <a:off x="699135" y="1429307"/>
                            <a:ext cx="241300" cy="546100"/>
                          </a:xfrm>
                          <a:prstGeom prst="rect">
                            <a:avLst/>
                          </a:prstGeom>
                          <a:solidFill>
                            <a:srgbClr val="7B92A8"/>
                          </a:solidFill>
                          <a:ln w="0">
                            <a:solidFill>
                              <a:srgbClr val="7B92A8"/>
                            </a:solidFill>
                            <a:miter lim="800000"/>
                            <a:headEnd/>
                            <a:tailEnd/>
                          </a:ln>
                        </wps:spPr>
                        <wps:bodyPr rot="0" vert="horz" wrap="square" lIns="91440" tIns="45720" rIns="91440" bIns="45720" anchor="t" anchorCtr="0" upright="1">
                          <a:noAutofit/>
                        </wps:bodyPr>
                      </wps:wsp>
                      <wps:wsp>
                        <wps:cNvPr id="117" name="Rectangle 14"/>
                        <wps:cNvSpPr>
                          <a:spLocks noChangeArrowheads="1"/>
                        </wps:cNvSpPr>
                        <wps:spPr bwMode="auto">
                          <a:xfrm>
                            <a:off x="699135" y="1294052"/>
                            <a:ext cx="241300" cy="135255"/>
                          </a:xfrm>
                          <a:prstGeom prst="rect">
                            <a:avLst/>
                          </a:prstGeom>
                          <a:solidFill>
                            <a:srgbClr val="00FFFF"/>
                          </a:solidFill>
                          <a:ln w="0">
                            <a:solidFill>
                              <a:srgbClr val="00FFFF"/>
                            </a:solidFill>
                            <a:miter lim="800000"/>
                            <a:headEnd/>
                            <a:tailEnd/>
                          </a:ln>
                        </wps:spPr>
                        <wps:bodyPr rot="0" vert="horz" wrap="square" lIns="91440" tIns="45720" rIns="91440" bIns="45720" anchor="t" anchorCtr="0" upright="1">
                          <a:noAutofit/>
                        </wps:bodyPr>
                      </wps:wsp>
                      <wps:wsp>
                        <wps:cNvPr id="118" name="Rectangle 15"/>
                        <wps:cNvSpPr>
                          <a:spLocks noChangeArrowheads="1"/>
                        </wps:cNvSpPr>
                        <wps:spPr bwMode="auto">
                          <a:xfrm>
                            <a:off x="1102995" y="1398827"/>
                            <a:ext cx="241935" cy="576580"/>
                          </a:xfrm>
                          <a:prstGeom prst="rect">
                            <a:avLst/>
                          </a:prstGeom>
                          <a:solidFill>
                            <a:srgbClr val="7B92A8"/>
                          </a:solidFill>
                          <a:ln w="0">
                            <a:solidFill>
                              <a:srgbClr val="7B92A8"/>
                            </a:solidFill>
                            <a:miter lim="800000"/>
                            <a:headEnd/>
                            <a:tailEnd/>
                          </a:ln>
                        </wps:spPr>
                        <wps:bodyPr rot="0" vert="horz" wrap="square" lIns="91440" tIns="45720" rIns="91440" bIns="45720" anchor="t" anchorCtr="0" upright="1">
                          <a:noAutofit/>
                        </wps:bodyPr>
                      </wps:wsp>
                      <wps:wsp>
                        <wps:cNvPr id="119" name="Rectangle 16"/>
                        <wps:cNvSpPr>
                          <a:spLocks noChangeArrowheads="1"/>
                        </wps:cNvSpPr>
                        <wps:spPr bwMode="auto">
                          <a:xfrm>
                            <a:off x="1102995" y="1261032"/>
                            <a:ext cx="241935" cy="137795"/>
                          </a:xfrm>
                          <a:prstGeom prst="rect">
                            <a:avLst/>
                          </a:prstGeom>
                          <a:solidFill>
                            <a:srgbClr val="00FFFF"/>
                          </a:solidFill>
                          <a:ln w="0">
                            <a:solidFill>
                              <a:srgbClr val="00FFFF"/>
                            </a:solidFill>
                            <a:miter lim="800000"/>
                            <a:headEnd/>
                            <a:tailEnd/>
                          </a:ln>
                        </wps:spPr>
                        <wps:bodyPr rot="0" vert="horz" wrap="square" lIns="91440" tIns="45720" rIns="91440" bIns="45720" anchor="t" anchorCtr="0" upright="1">
                          <a:noAutofit/>
                        </wps:bodyPr>
                      </wps:wsp>
                      <wps:wsp>
                        <wps:cNvPr id="120" name="Rectangle 17"/>
                        <wps:cNvSpPr>
                          <a:spLocks noChangeArrowheads="1"/>
                        </wps:cNvSpPr>
                        <wps:spPr bwMode="auto">
                          <a:xfrm>
                            <a:off x="1506855" y="1396287"/>
                            <a:ext cx="241935" cy="579120"/>
                          </a:xfrm>
                          <a:prstGeom prst="rect">
                            <a:avLst/>
                          </a:prstGeom>
                          <a:solidFill>
                            <a:srgbClr val="7B92A8"/>
                          </a:solidFill>
                          <a:ln w="0">
                            <a:solidFill>
                              <a:srgbClr val="7B92A8"/>
                            </a:solidFill>
                            <a:miter lim="800000"/>
                            <a:headEnd/>
                            <a:tailEnd/>
                          </a:ln>
                        </wps:spPr>
                        <wps:bodyPr rot="0" vert="horz" wrap="square" lIns="91440" tIns="45720" rIns="91440" bIns="45720" anchor="t" anchorCtr="0" upright="1">
                          <a:noAutofit/>
                        </wps:bodyPr>
                      </wps:wsp>
                      <wps:wsp>
                        <wps:cNvPr id="121" name="Rectangle 18"/>
                        <wps:cNvSpPr>
                          <a:spLocks noChangeArrowheads="1"/>
                        </wps:cNvSpPr>
                        <wps:spPr bwMode="auto">
                          <a:xfrm>
                            <a:off x="1506855" y="1261032"/>
                            <a:ext cx="241935" cy="135255"/>
                          </a:xfrm>
                          <a:prstGeom prst="rect">
                            <a:avLst/>
                          </a:prstGeom>
                          <a:solidFill>
                            <a:srgbClr val="00FFFF"/>
                          </a:solidFill>
                          <a:ln w="0">
                            <a:solidFill>
                              <a:srgbClr val="00FFFF"/>
                            </a:solidFill>
                            <a:miter lim="800000"/>
                            <a:headEnd/>
                            <a:tailEnd/>
                          </a:ln>
                        </wps:spPr>
                        <wps:bodyPr rot="0" vert="horz" wrap="square" lIns="91440" tIns="45720" rIns="91440" bIns="45720" anchor="t" anchorCtr="0" upright="1">
                          <a:noAutofit/>
                        </wps:bodyPr>
                      </wps:wsp>
                      <wps:wsp>
                        <wps:cNvPr id="122" name="Rectangle 19"/>
                        <wps:cNvSpPr>
                          <a:spLocks noChangeArrowheads="1"/>
                        </wps:cNvSpPr>
                        <wps:spPr bwMode="auto">
                          <a:xfrm>
                            <a:off x="1907540" y="1396287"/>
                            <a:ext cx="241935" cy="579120"/>
                          </a:xfrm>
                          <a:prstGeom prst="rect">
                            <a:avLst/>
                          </a:prstGeom>
                          <a:solidFill>
                            <a:srgbClr val="7B92A8"/>
                          </a:solidFill>
                          <a:ln w="0">
                            <a:solidFill>
                              <a:srgbClr val="7B92A8"/>
                            </a:solidFill>
                            <a:miter lim="800000"/>
                            <a:headEnd/>
                            <a:tailEnd/>
                          </a:ln>
                        </wps:spPr>
                        <wps:bodyPr rot="0" vert="horz" wrap="square" lIns="91440" tIns="45720" rIns="91440" bIns="45720" anchor="t" anchorCtr="0" upright="1">
                          <a:noAutofit/>
                        </wps:bodyPr>
                      </wps:wsp>
                      <wps:wsp>
                        <wps:cNvPr id="123" name="Rectangle 20"/>
                        <wps:cNvSpPr>
                          <a:spLocks noChangeArrowheads="1"/>
                        </wps:cNvSpPr>
                        <wps:spPr bwMode="auto">
                          <a:xfrm>
                            <a:off x="1907540" y="1261032"/>
                            <a:ext cx="241935" cy="135255"/>
                          </a:xfrm>
                          <a:prstGeom prst="rect">
                            <a:avLst/>
                          </a:prstGeom>
                          <a:solidFill>
                            <a:srgbClr val="00FFFF"/>
                          </a:solidFill>
                          <a:ln w="0">
                            <a:solidFill>
                              <a:srgbClr val="00FFFF"/>
                            </a:solidFill>
                            <a:miter lim="800000"/>
                            <a:headEnd/>
                            <a:tailEnd/>
                          </a:ln>
                        </wps:spPr>
                        <wps:bodyPr rot="0" vert="horz" wrap="square" lIns="91440" tIns="45720" rIns="91440" bIns="45720" anchor="t" anchorCtr="0" upright="1">
                          <a:noAutofit/>
                        </wps:bodyPr>
                      </wps:wsp>
                      <wps:wsp>
                        <wps:cNvPr id="124" name="Rectangle 21"/>
                        <wps:cNvSpPr>
                          <a:spLocks noChangeArrowheads="1"/>
                        </wps:cNvSpPr>
                        <wps:spPr bwMode="auto">
                          <a:xfrm>
                            <a:off x="2311400" y="1389937"/>
                            <a:ext cx="241935" cy="585470"/>
                          </a:xfrm>
                          <a:prstGeom prst="rect">
                            <a:avLst/>
                          </a:prstGeom>
                          <a:solidFill>
                            <a:srgbClr val="7B92A8"/>
                          </a:solidFill>
                          <a:ln w="0">
                            <a:solidFill>
                              <a:srgbClr val="7B92A8"/>
                            </a:solidFill>
                            <a:miter lim="800000"/>
                            <a:headEnd/>
                            <a:tailEnd/>
                          </a:ln>
                        </wps:spPr>
                        <wps:bodyPr rot="0" vert="horz" wrap="square" lIns="91440" tIns="45720" rIns="91440" bIns="45720" anchor="t" anchorCtr="0" upright="1">
                          <a:noAutofit/>
                        </wps:bodyPr>
                      </wps:wsp>
                      <wps:wsp>
                        <wps:cNvPr id="125" name="Rectangle 22"/>
                        <wps:cNvSpPr>
                          <a:spLocks noChangeArrowheads="1"/>
                        </wps:cNvSpPr>
                        <wps:spPr bwMode="auto">
                          <a:xfrm>
                            <a:off x="2311400" y="1248967"/>
                            <a:ext cx="241935" cy="140970"/>
                          </a:xfrm>
                          <a:prstGeom prst="rect">
                            <a:avLst/>
                          </a:prstGeom>
                          <a:solidFill>
                            <a:srgbClr val="00FFFF"/>
                          </a:solidFill>
                          <a:ln w="0">
                            <a:solidFill>
                              <a:srgbClr val="00FFFF"/>
                            </a:solidFill>
                            <a:miter lim="800000"/>
                            <a:headEnd/>
                            <a:tailEnd/>
                          </a:ln>
                        </wps:spPr>
                        <wps:bodyPr rot="0" vert="horz" wrap="square" lIns="91440" tIns="45720" rIns="91440" bIns="45720" anchor="t" anchorCtr="0" upright="1">
                          <a:noAutofit/>
                        </wps:bodyPr>
                      </wps:wsp>
                      <wps:wsp>
                        <wps:cNvPr id="126" name="Rectangle 23"/>
                        <wps:cNvSpPr>
                          <a:spLocks noChangeArrowheads="1"/>
                        </wps:cNvSpPr>
                        <wps:spPr bwMode="auto">
                          <a:xfrm>
                            <a:off x="2715260" y="1386762"/>
                            <a:ext cx="241935" cy="588645"/>
                          </a:xfrm>
                          <a:prstGeom prst="rect">
                            <a:avLst/>
                          </a:prstGeom>
                          <a:solidFill>
                            <a:srgbClr val="7B92A8"/>
                          </a:solidFill>
                          <a:ln w="0">
                            <a:solidFill>
                              <a:srgbClr val="7B92A8"/>
                            </a:solidFill>
                            <a:miter lim="800000"/>
                            <a:headEnd/>
                            <a:tailEnd/>
                          </a:ln>
                        </wps:spPr>
                        <wps:bodyPr rot="0" vert="horz" wrap="square" lIns="91440" tIns="45720" rIns="91440" bIns="45720" anchor="t" anchorCtr="0" upright="1">
                          <a:noAutofit/>
                        </wps:bodyPr>
                      </wps:wsp>
                      <wps:wsp>
                        <wps:cNvPr id="127" name="Rectangle 24"/>
                        <wps:cNvSpPr>
                          <a:spLocks noChangeArrowheads="1"/>
                        </wps:cNvSpPr>
                        <wps:spPr bwMode="auto">
                          <a:xfrm>
                            <a:off x="2715260" y="1245792"/>
                            <a:ext cx="241935" cy="140970"/>
                          </a:xfrm>
                          <a:prstGeom prst="rect">
                            <a:avLst/>
                          </a:prstGeom>
                          <a:solidFill>
                            <a:srgbClr val="00FFFF"/>
                          </a:solidFill>
                          <a:ln w="0">
                            <a:solidFill>
                              <a:srgbClr val="00FFFF"/>
                            </a:solidFill>
                            <a:miter lim="800000"/>
                            <a:headEnd/>
                            <a:tailEnd/>
                          </a:ln>
                        </wps:spPr>
                        <wps:bodyPr rot="0" vert="horz" wrap="square" lIns="91440" tIns="45720" rIns="91440" bIns="45720" anchor="t" anchorCtr="0" upright="1">
                          <a:noAutofit/>
                        </wps:bodyPr>
                      </wps:wsp>
                      <wps:wsp>
                        <wps:cNvPr id="128" name="Rectangle 25"/>
                        <wps:cNvSpPr>
                          <a:spLocks noChangeArrowheads="1"/>
                        </wps:cNvSpPr>
                        <wps:spPr bwMode="auto">
                          <a:xfrm>
                            <a:off x="3119755" y="1386762"/>
                            <a:ext cx="238760" cy="588645"/>
                          </a:xfrm>
                          <a:prstGeom prst="rect">
                            <a:avLst/>
                          </a:prstGeom>
                          <a:solidFill>
                            <a:srgbClr val="7B92A8"/>
                          </a:solidFill>
                          <a:ln w="0">
                            <a:solidFill>
                              <a:srgbClr val="7B92A8"/>
                            </a:solidFill>
                            <a:miter lim="800000"/>
                            <a:headEnd/>
                            <a:tailEnd/>
                          </a:ln>
                        </wps:spPr>
                        <wps:bodyPr rot="0" vert="horz" wrap="square" lIns="91440" tIns="45720" rIns="91440" bIns="45720" anchor="t" anchorCtr="0" upright="1">
                          <a:noAutofit/>
                        </wps:bodyPr>
                      </wps:wsp>
                      <wps:wsp>
                        <wps:cNvPr id="129" name="Rectangle 26"/>
                        <wps:cNvSpPr>
                          <a:spLocks noChangeArrowheads="1"/>
                        </wps:cNvSpPr>
                        <wps:spPr bwMode="auto">
                          <a:xfrm>
                            <a:off x="3119755" y="1245792"/>
                            <a:ext cx="238760" cy="140970"/>
                          </a:xfrm>
                          <a:prstGeom prst="rect">
                            <a:avLst/>
                          </a:prstGeom>
                          <a:solidFill>
                            <a:srgbClr val="00FFFF"/>
                          </a:solidFill>
                          <a:ln w="0">
                            <a:solidFill>
                              <a:srgbClr val="00FFFF"/>
                            </a:solidFill>
                            <a:miter lim="800000"/>
                            <a:headEnd/>
                            <a:tailEnd/>
                          </a:ln>
                        </wps:spPr>
                        <wps:bodyPr rot="0" vert="horz" wrap="square" lIns="91440" tIns="45720" rIns="91440" bIns="45720" anchor="t" anchorCtr="0" upright="1">
                          <a:noAutofit/>
                        </wps:bodyPr>
                      </wps:wsp>
                      <wps:wsp>
                        <wps:cNvPr id="130" name="Rectangle 27"/>
                        <wps:cNvSpPr>
                          <a:spLocks noChangeArrowheads="1"/>
                        </wps:cNvSpPr>
                        <wps:spPr bwMode="auto">
                          <a:xfrm>
                            <a:off x="3520440" y="1174037"/>
                            <a:ext cx="241935" cy="801370"/>
                          </a:xfrm>
                          <a:prstGeom prst="rect">
                            <a:avLst/>
                          </a:prstGeom>
                          <a:solidFill>
                            <a:srgbClr val="7B92A8"/>
                          </a:solidFill>
                          <a:ln w="0">
                            <a:solidFill>
                              <a:srgbClr val="7B92A8"/>
                            </a:solidFill>
                            <a:miter lim="800000"/>
                            <a:headEnd/>
                            <a:tailEnd/>
                          </a:ln>
                        </wps:spPr>
                        <wps:bodyPr rot="0" vert="horz" wrap="square" lIns="91440" tIns="45720" rIns="91440" bIns="45720" anchor="t" anchorCtr="0" upright="1">
                          <a:noAutofit/>
                        </wps:bodyPr>
                      </wps:wsp>
                      <wps:wsp>
                        <wps:cNvPr id="131" name="Rectangle 28"/>
                        <wps:cNvSpPr>
                          <a:spLocks noChangeArrowheads="1"/>
                        </wps:cNvSpPr>
                        <wps:spPr bwMode="auto">
                          <a:xfrm>
                            <a:off x="3520440" y="1032432"/>
                            <a:ext cx="241935" cy="141605"/>
                          </a:xfrm>
                          <a:prstGeom prst="rect">
                            <a:avLst/>
                          </a:prstGeom>
                          <a:solidFill>
                            <a:srgbClr val="00FFFF"/>
                          </a:solidFill>
                          <a:ln w="0">
                            <a:solidFill>
                              <a:srgbClr val="00FFFF"/>
                            </a:solidFill>
                            <a:miter lim="800000"/>
                            <a:headEnd/>
                            <a:tailEnd/>
                          </a:ln>
                        </wps:spPr>
                        <wps:bodyPr rot="0" vert="horz" wrap="square" lIns="91440" tIns="45720" rIns="91440" bIns="45720" anchor="t" anchorCtr="0" upright="1">
                          <a:noAutofit/>
                        </wps:bodyPr>
                      </wps:wsp>
                      <wps:wsp>
                        <wps:cNvPr id="132" name="Rectangle 29"/>
                        <wps:cNvSpPr>
                          <a:spLocks noChangeArrowheads="1"/>
                        </wps:cNvSpPr>
                        <wps:spPr bwMode="auto">
                          <a:xfrm>
                            <a:off x="3924300" y="1174037"/>
                            <a:ext cx="241935" cy="801370"/>
                          </a:xfrm>
                          <a:prstGeom prst="rect">
                            <a:avLst/>
                          </a:prstGeom>
                          <a:solidFill>
                            <a:srgbClr val="7B92A8"/>
                          </a:solidFill>
                          <a:ln w="0">
                            <a:solidFill>
                              <a:srgbClr val="7B92A8"/>
                            </a:solidFill>
                            <a:miter lim="800000"/>
                            <a:headEnd/>
                            <a:tailEnd/>
                          </a:ln>
                        </wps:spPr>
                        <wps:bodyPr rot="0" vert="horz" wrap="square" lIns="91440" tIns="45720" rIns="91440" bIns="45720" anchor="t" anchorCtr="0" upright="1">
                          <a:noAutofit/>
                        </wps:bodyPr>
                      </wps:wsp>
                      <wps:wsp>
                        <wps:cNvPr id="133" name="Rectangle 30"/>
                        <wps:cNvSpPr>
                          <a:spLocks noChangeArrowheads="1"/>
                        </wps:cNvSpPr>
                        <wps:spPr bwMode="auto">
                          <a:xfrm>
                            <a:off x="3924300" y="1029892"/>
                            <a:ext cx="241935" cy="144145"/>
                          </a:xfrm>
                          <a:prstGeom prst="rect">
                            <a:avLst/>
                          </a:prstGeom>
                          <a:solidFill>
                            <a:srgbClr val="00FFFF"/>
                          </a:solidFill>
                          <a:ln w="0">
                            <a:solidFill>
                              <a:srgbClr val="00FFFF"/>
                            </a:solidFill>
                            <a:miter lim="800000"/>
                            <a:headEnd/>
                            <a:tailEnd/>
                          </a:ln>
                        </wps:spPr>
                        <wps:bodyPr rot="0" vert="horz" wrap="square" lIns="91440" tIns="45720" rIns="91440" bIns="45720" anchor="t" anchorCtr="0" upright="1">
                          <a:noAutofit/>
                        </wps:bodyPr>
                      </wps:wsp>
                      <wps:wsp>
                        <wps:cNvPr id="134" name="Rectangle 31"/>
                        <wps:cNvSpPr>
                          <a:spLocks noChangeArrowheads="1"/>
                        </wps:cNvSpPr>
                        <wps:spPr bwMode="auto">
                          <a:xfrm>
                            <a:off x="4328160" y="1170862"/>
                            <a:ext cx="241935" cy="804545"/>
                          </a:xfrm>
                          <a:prstGeom prst="rect">
                            <a:avLst/>
                          </a:prstGeom>
                          <a:solidFill>
                            <a:srgbClr val="7B92A8"/>
                          </a:solidFill>
                          <a:ln w="0">
                            <a:solidFill>
                              <a:srgbClr val="7B92A8"/>
                            </a:solidFill>
                            <a:miter lim="800000"/>
                            <a:headEnd/>
                            <a:tailEnd/>
                          </a:ln>
                        </wps:spPr>
                        <wps:bodyPr rot="0" vert="horz" wrap="square" lIns="91440" tIns="45720" rIns="91440" bIns="45720" anchor="t" anchorCtr="0" upright="1">
                          <a:noAutofit/>
                        </wps:bodyPr>
                      </wps:wsp>
                      <wps:wsp>
                        <wps:cNvPr id="135" name="Rectangle 32"/>
                        <wps:cNvSpPr>
                          <a:spLocks noChangeArrowheads="1"/>
                        </wps:cNvSpPr>
                        <wps:spPr bwMode="auto">
                          <a:xfrm>
                            <a:off x="4328160" y="1026717"/>
                            <a:ext cx="241935" cy="144145"/>
                          </a:xfrm>
                          <a:prstGeom prst="rect">
                            <a:avLst/>
                          </a:prstGeom>
                          <a:solidFill>
                            <a:srgbClr val="00FFFF"/>
                          </a:solidFill>
                          <a:ln w="0">
                            <a:solidFill>
                              <a:srgbClr val="00FFFF"/>
                            </a:solidFill>
                            <a:miter lim="800000"/>
                            <a:headEnd/>
                            <a:tailEnd/>
                          </a:ln>
                        </wps:spPr>
                        <wps:bodyPr rot="0" vert="horz" wrap="square" lIns="91440" tIns="45720" rIns="91440" bIns="45720" anchor="t" anchorCtr="0" upright="1">
                          <a:noAutofit/>
                        </wps:bodyPr>
                      </wps:wsp>
                      <wps:wsp>
                        <wps:cNvPr id="136" name="Rectangle 33"/>
                        <wps:cNvSpPr>
                          <a:spLocks noChangeArrowheads="1"/>
                        </wps:cNvSpPr>
                        <wps:spPr bwMode="auto">
                          <a:xfrm>
                            <a:off x="4732020" y="1167687"/>
                            <a:ext cx="238760" cy="807720"/>
                          </a:xfrm>
                          <a:prstGeom prst="rect">
                            <a:avLst/>
                          </a:prstGeom>
                          <a:solidFill>
                            <a:srgbClr val="7B92A8"/>
                          </a:solidFill>
                          <a:ln w="0">
                            <a:solidFill>
                              <a:srgbClr val="7B92A8"/>
                            </a:solidFill>
                            <a:miter lim="800000"/>
                            <a:headEnd/>
                            <a:tailEnd/>
                          </a:ln>
                        </wps:spPr>
                        <wps:bodyPr rot="0" vert="horz" wrap="square" lIns="91440" tIns="45720" rIns="91440" bIns="45720" anchor="t" anchorCtr="0" upright="1">
                          <a:noAutofit/>
                        </wps:bodyPr>
                      </wps:wsp>
                      <wps:wsp>
                        <wps:cNvPr id="137" name="Rectangle 34"/>
                        <wps:cNvSpPr>
                          <a:spLocks noChangeArrowheads="1"/>
                        </wps:cNvSpPr>
                        <wps:spPr bwMode="auto">
                          <a:xfrm>
                            <a:off x="4732020" y="1020367"/>
                            <a:ext cx="238760" cy="147320"/>
                          </a:xfrm>
                          <a:prstGeom prst="rect">
                            <a:avLst/>
                          </a:prstGeom>
                          <a:solidFill>
                            <a:srgbClr val="00FFFF"/>
                          </a:solidFill>
                          <a:ln w="0">
                            <a:solidFill>
                              <a:srgbClr val="00FFFF"/>
                            </a:solidFill>
                            <a:miter lim="800000"/>
                            <a:headEnd/>
                            <a:tailEnd/>
                          </a:ln>
                        </wps:spPr>
                        <wps:bodyPr rot="0" vert="horz" wrap="square" lIns="91440" tIns="45720" rIns="91440" bIns="45720" anchor="t" anchorCtr="0" upright="1">
                          <a:noAutofit/>
                        </wps:bodyPr>
                      </wps:wsp>
                      <wps:wsp>
                        <wps:cNvPr id="138" name="Rectangle 35"/>
                        <wps:cNvSpPr>
                          <a:spLocks noChangeArrowheads="1"/>
                        </wps:cNvSpPr>
                        <wps:spPr bwMode="auto">
                          <a:xfrm>
                            <a:off x="5133340" y="867332"/>
                            <a:ext cx="241300" cy="1108075"/>
                          </a:xfrm>
                          <a:prstGeom prst="rect">
                            <a:avLst/>
                          </a:prstGeom>
                          <a:solidFill>
                            <a:srgbClr val="7B92A8"/>
                          </a:solidFill>
                          <a:ln w="0">
                            <a:solidFill>
                              <a:srgbClr val="7B92A8"/>
                            </a:solidFill>
                            <a:miter lim="800000"/>
                            <a:headEnd/>
                            <a:tailEnd/>
                          </a:ln>
                        </wps:spPr>
                        <wps:bodyPr rot="0" vert="horz" wrap="square" lIns="91440" tIns="45720" rIns="91440" bIns="45720" anchor="t" anchorCtr="0" upright="1">
                          <a:noAutofit/>
                        </wps:bodyPr>
                      </wps:wsp>
                      <wps:wsp>
                        <wps:cNvPr id="139" name="Rectangle 36"/>
                        <wps:cNvSpPr>
                          <a:spLocks noChangeArrowheads="1"/>
                        </wps:cNvSpPr>
                        <wps:spPr bwMode="auto">
                          <a:xfrm>
                            <a:off x="5133340" y="717472"/>
                            <a:ext cx="241300" cy="149860"/>
                          </a:xfrm>
                          <a:prstGeom prst="rect">
                            <a:avLst/>
                          </a:prstGeom>
                          <a:solidFill>
                            <a:srgbClr val="00FFFF"/>
                          </a:solidFill>
                          <a:ln w="0">
                            <a:solidFill>
                              <a:srgbClr val="00FFFF"/>
                            </a:solidFill>
                            <a:miter lim="800000"/>
                            <a:headEnd/>
                            <a:tailEnd/>
                          </a:ln>
                        </wps:spPr>
                        <wps:bodyPr rot="0" vert="horz" wrap="square" lIns="91440" tIns="45720" rIns="91440" bIns="45720" anchor="t" anchorCtr="0" upright="1">
                          <a:noAutofit/>
                        </wps:bodyPr>
                      </wps:wsp>
                      <wps:wsp>
                        <wps:cNvPr id="140" name="Rectangle 37"/>
                        <wps:cNvSpPr>
                          <a:spLocks noChangeArrowheads="1"/>
                        </wps:cNvSpPr>
                        <wps:spPr bwMode="auto">
                          <a:xfrm>
                            <a:off x="4328160" y="314882"/>
                            <a:ext cx="84709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0BF" w:rsidRDefault="00B070BF" w:rsidP="00B070BF">
                              <w:r>
                                <w:rPr>
                                  <w:color w:val="000000"/>
                                  <w:sz w:val="16"/>
                                  <w:szCs w:val="16"/>
                                </w:rPr>
                                <w:t>Datos del PCT (%)</w:t>
                              </w:r>
                            </w:p>
                          </w:txbxContent>
                        </wps:txbx>
                        <wps:bodyPr rot="0" vert="horz" wrap="none" lIns="0" tIns="0" rIns="0" bIns="0" anchor="t" anchorCtr="0" upright="1">
                          <a:spAutoFit/>
                        </wps:bodyPr>
                      </wps:wsp>
                      <wps:wsp>
                        <wps:cNvPr id="141" name="Rectangle 38"/>
                        <wps:cNvSpPr>
                          <a:spLocks noChangeArrowheads="1"/>
                        </wps:cNvSpPr>
                        <wps:spPr bwMode="auto">
                          <a:xfrm>
                            <a:off x="722630" y="498397"/>
                            <a:ext cx="19812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0BF" w:rsidRDefault="00B070BF" w:rsidP="00B070BF">
                              <w:r>
                                <w:rPr>
                                  <w:color w:val="000000"/>
                                  <w:sz w:val="16"/>
                                  <w:szCs w:val="16"/>
                                </w:rPr>
                                <w:t>19,8</w:t>
                              </w:r>
                            </w:p>
                          </w:txbxContent>
                        </wps:txbx>
                        <wps:bodyPr rot="0" vert="horz" wrap="none" lIns="0" tIns="0" rIns="0" bIns="0" anchor="t" anchorCtr="0" upright="1">
                          <a:spAutoFit/>
                        </wps:bodyPr>
                      </wps:wsp>
                      <wps:wsp>
                        <wps:cNvPr id="142" name="Rectangle 39"/>
                        <wps:cNvSpPr>
                          <a:spLocks noChangeArrowheads="1"/>
                        </wps:cNvSpPr>
                        <wps:spPr bwMode="auto">
                          <a:xfrm>
                            <a:off x="1126490" y="498397"/>
                            <a:ext cx="19812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0BF" w:rsidRDefault="00B070BF" w:rsidP="00B070BF">
                              <w:r>
                                <w:rPr>
                                  <w:color w:val="000000"/>
                                  <w:sz w:val="16"/>
                                  <w:szCs w:val="16"/>
                                </w:rPr>
                                <w:t>19,0</w:t>
                              </w:r>
                            </w:p>
                          </w:txbxContent>
                        </wps:txbx>
                        <wps:bodyPr rot="0" vert="horz" wrap="none" lIns="0" tIns="0" rIns="0" bIns="0" anchor="t" anchorCtr="0" upright="1">
                          <a:spAutoFit/>
                        </wps:bodyPr>
                      </wps:wsp>
                      <wps:wsp>
                        <wps:cNvPr id="143" name="Rectangle 40"/>
                        <wps:cNvSpPr>
                          <a:spLocks noChangeArrowheads="1"/>
                        </wps:cNvSpPr>
                        <wps:spPr bwMode="auto">
                          <a:xfrm>
                            <a:off x="1527175" y="498397"/>
                            <a:ext cx="19812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0BF" w:rsidRDefault="00B070BF" w:rsidP="00B070BF">
                              <w:r>
                                <w:rPr>
                                  <w:color w:val="000000"/>
                                  <w:sz w:val="16"/>
                                  <w:szCs w:val="16"/>
                                </w:rPr>
                                <w:t>19,1</w:t>
                              </w:r>
                            </w:p>
                          </w:txbxContent>
                        </wps:txbx>
                        <wps:bodyPr rot="0" vert="horz" wrap="none" lIns="0" tIns="0" rIns="0" bIns="0" anchor="t" anchorCtr="0" upright="1">
                          <a:spAutoFit/>
                        </wps:bodyPr>
                      </wps:wsp>
                      <wps:wsp>
                        <wps:cNvPr id="144" name="Rectangle 41"/>
                        <wps:cNvSpPr>
                          <a:spLocks noChangeArrowheads="1"/>
                        </wps:cNvSpPr>
                        <wps:spPr bwMode="auto">
                          <a:xfrm>
                            <a:off x="1934210" y="498397"/>
                            <a:ext cx="19812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0BF" w:rsidRDefault="00B070BF" w:rsidP="00B070BF">
                              <w:r>
                                <w:rPr>
                                  <w:color w:val="000000"/>
                                  <w:sz w:val="16"/>
                                  <w:szCs w:val="16"/>
                                </w:rPr>
                                <w:t>19,1</w:t>
                              </w:r>
                            </w:p>
                          </w:txbxContent>
                        </wps:txbx>
                        <wps:bodyPr rot="0" vert="horz" wrap="none" lIns="0" tIns="0" rIns="0" bIns="0" anchor="t" anchorCtr="0" upright="1">
                          <a:spAutoFit/>
                        </wps:bodyPr>
                      </wps:wsp>
                      <wps:wsp>
                        <wps:cNvPr id="145" name="Rectangle 42"/>
                        <wps:cNvSpPr>
                          <a:spLocks noChangeArrowheads="1"/>
                        </wps:cNvSpPr>
                        <wps:spPr bwMode="auto">
                          <a:xfrm>
                            <a:off x="2335530" y="498397"/>
                            <a:ext cx="19812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0BF" w:rsidRDefault="00B070BF" w:rsidP="00B070BF">
                              <w:r>
                                <w:rPr>
                                  <w:color w:val="000000"/>
                                  <w:sz w:val="16"/>
                                  <w:szCs w:val="16"/>
                                </w:rPr>
                                <w:t>19,1</w:t>
                              </w:r>
                            </w:p>
                          </w:txbxContent>
                        </wps:txbx>
                        <wps:bodyPr rot="0" vert="horz" wrap="none" lIns="0" tIns="0" rIns="0" bIns="0" anchor="t" anchorCtr="0" upright="1">
                          <a:spAutoFit/>
                        </wps:bodyPr>
                      </wps:wsp>
                      <wps:wsp>
                        <wps:cNvPr id="146" name="Rectangle 43"/>
                        <wps:cNvSpPr>
                          <a:spLocks noChangeArrowheads="1"/>
                        </wps:cNvSpPr>
                        <wps:spPr bwMode="auto">
                          <a:xfrm>
                            <a:off x="2739390" y="498397"/>
                            <a:ext cx="19812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0BF" w:rsidRDefault="00B070BF" w:rsidP="00B070BF">
                              <w:r>
                                <w:rPr>
                                  <w:color w:val="000000"/>
                                  <w:sz w:val="16"/>
                                  <w:szCs w:val="16"/>
                                </w:rPr>
                                <w:t>19,2</w:t>
                              </w:r>
                            </w:p>
                          </w:txbxContent>
                        </wps:txbx>
                        <wps:bodyPr rot="0" vert="horz" wrap="none" lIns="0" tIns="0" rIns="0" bIns="0" anchor="t" anchorCtr="0" upright="1">
                          <a:spAutoFit/>
                        </wps:bodyPr>
                      </wps:wsp>
                      <wps:wsp>
                        <wps:cNvPr id="147" name="Rectangle 44"/>
                        <wps:cNvSpPr>
                          <a:spLocks noChangeArrowheads="1"/>
                        </wps:cNvSpPr>
                        <wps:spPr bwMode="auto">
                          <a:xfrm>
                            <a:off x="3140075" y="498397"/>
                            <a:ext cx="19812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0BF" w:rsidRDefault="00B070BF" w:rsidP="00B070BF">
                              <w:r>
                                <w:rPr>
                                  <w:color w:val="000000"/>
                                  <w:sz w:val="16"/>
                                  <w:szCs w:val="16"/>
                                </w:rPr>
                                <w:t>19,3</w:t>
                              </w:r>
                            </w:p>
                          </w:txbxContent>
                        </wps:txbx>
                        <wps:bodyPr rot="0" vert="horz" wrap="none" lIns="0" tIns="0" rIns="0" bIns="0" anchor="t" anchorCtr="0" upright="1">
                          <a:spAutoFit/>
                        </wps:bodyPr>
                      </wps:wsp>
                      <wps:wsp>
                        <wps:cNvPr id="148" name="Rectangle 45"/>
                        <wps:cNvSpPr>
                          <a:spLocks noChangeArrowheads="1"/>
                        </wps:cNvSpPr>
                        <wps:spPr bwMode="auto">
                          <a:xfrm>
                            <a:off x="3547110" y="498397"/>
                            <a:ext cx="19812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0BF" w:rsidRDefault="00B070BF" w:rsidP="00B070BF">
                              <w:r>
                                <w:rPr>
                                  <w:color w:val="000000"/>
                                  <w:sz w:val="16"/>
                                  <w:szCs w:val="16"/>
                                </w:rPr>
                                <w:t>15,0</w:t>
                              </w:r>
                            </w:p>
                          </w:txbxContent>
                        </wps:txbx>
                        <wps:bodyPr rot="0" vert="horz" wrap="none" lIns="0" tIns="0" rIns="0" bIns="0" anchor="t" anchorCtr="0" upright="1">
                          <a:spAutoFit/>
                        </wps:bodyPr>
                      </wps:wsp>
                      <wps:wsp>
                        <wps:cNvPr id="149" name="Rectangle 46"/>
                        <wps:cNvSpPr>
                          <a:spLocks noChangeArrowheads="1"/>
                        </wps:cNvSpPr>
                        <wps:spPr bwMode="auto">
                          <a:xfrm>
                            <a:off x="3947795" y="498397"/>
                            <a:ext cx="19812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0BF" w:rsidRDefault="00B070BF" w:rsidP="00B070BF">
                              <w:r>
                                <w:rPr>
                                  <w:color w:val="000000"/>
                                  <w:sz w:val="16"/>
                                  <w:szCs w:val="16"/>
                                </w:rPr>
                                <w:t>15,1</w:t>
                              </w:r>
                            </w:p>
                          </w:txbxContent>
                        </wps:txbx>
                        <wps:bodyPr rot="0" vert="horz" wrap="none" lIns="0" tIns="0" rIns="0" bIns="0" anchor="t" anchorCtr="0" upright="1">
                          <a:spAutoFit/>
                        </wps:bodyPr>
                      </wps:wsp>
                      <wps:wsp>
                        <wps:cNvPr id="150" name="Rectangle 47"/>
                        <wps:cNvSpPr>
                          <a:spLocks noChangeArrowheads="1"/>
                        </wps:cNvSpPr>
                        <wps:spPr bwMode="auto">
                          <a:xfrm>
                            <a:off x="4351655" y="498397"/>
                            <a:ext cx="19812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0BF" w:rsidRDefault="00B070BF" w:rsidP="00B070BF">
                              <w:r>
                                <w:rPr>
                                  <w:color w:val="000000"/>
                                  <w:sz w:val="16"/>
                                  <w:szCs w:val="16"/>
                                </w:rPr>
                                <w:t>15,1</w:t>
                              </w:r>
                            </w:p>
                          </w:txbxContent>
                        </wps:txbx>
                        <wps:bodyPr rot="0" vert="horz" wrap="none" lIns="0" tIns="0" rIns="0" bIns="0" anchor="t" anchorCtr="0" upright="1">
                          <a:spAutoFit/>
                        </wps:bodyPr>
                      </wps:wsp>
                      <wps:wsp>
                        <wps:cNvPr id="151" name="Rectangle 48"/>
                        <wps:cNvSpPr>
                          <a:spLocks noChangeArrowheads="1"/>
                        </wps:cNvSpPr>
                        <wps:spPr bwMode="auto">
                          <a:xfrm>
                            <a:off x="4758690" y="498397"/>
                            <a:ext cx="19812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0BF" w:rsidRDefault="00B070BF" w:rsidP="00B070BF">
                              <w:r>
                                <w:rPr>
                                  <w:color w:val="000000"/>
                                  <w:sz w:val="16"/>
                                  <w:szCs w:val="16"/>
                                </w:rPr>
                                <w:t>15,2</w:t>
                              </w:r>
                            </w:p>
                          </w:txbxContent>
                        </wps:txbx>
                        <wps:bodyPr rot="0" vert="horz" wrap="none" lIns="0" tIns="0" rIns="0" bIns="0" anchor="t" anchorCtr="0" upright="1">
                          <a:spAutoFit/>
                        </wps:bodyPr>
                      </wps:wsp>
                      <wps:wsp>
                        <wps:cNvPr id="152" name="Rectangle 49"/>
                        <wps:cNvSpPr>
                          <a:spLocks noChangeArrowheads="1"/>
                        </wps:cNvSpPr>
                        <wps:spPr bwMode="auto">
                          <a:xfrm>
                            <a:off x="5159375" y="498397"/>
                            <a:ext cx="19812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0BF" w:rsidRDefault="00B070BF" w:rsidP="00B070BF">
                              <w:r>
                                <w:rPr>
                                  <w:color w:val="000000"/>
                                  <w:sz w:val="16"/>
                                  <w:szCs w:val="16"/>
                                </w:rPr>
                                <w:t>11,8</w:t>
                              </w:r>
                            </w:p>
                          </w:txbxContent>
                        </wps:txbx>
                        <wps:bodyPr rot="0" vert="horz" wrap="none" lIns="0" tIns="0" rIns="0" bIns="0" anchor="t" anchorCtr="0" upright="1">
                          <a:spAutoFit/>
                        </wps:bodyPr>
                      </wps:wsp>
                      <wps:wsp>
                        <wps:cNvPr id="153" name="Line 50"/>
                        <wps:cNvCnPr/>
                        <wps:spPr bwMode="auto">
                          <a:xfrm flipV="1">
                            <a:off x="577850" y="486332"/>
                            <a:ext cx="635" cy="148907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54" name="Line 51"/>
                        <wps:cNvCnPr/>
                        <wps:spPr bwMode="auto">
                          <a:xfrm flipH="1">
                            <a:off x="563245" y="1975407"/>
                            <a:ext cx="29845" cy="63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55" name="Rectangle 52"/>
                        <wps:cNvSpPr>
                          <a:spLocks noChangeArrowheads="1"/>
                        </wps:cNvSpPr>
                        <wps:spPr bwMode="auto">
                          <a:xfrm>
                            <a:off x="407035" y="1918257"/>
                            <a:ext cx="14160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0BF" w:rsidRDefault="00B070BF" w:rsidP="00B070BF">
                              <w:r>
                                <w:rPr>
                                  <w:color w:val="000000"/>
                                  <w:sz w:val="16"/>
                                  <w:szCs w:val="16"/>
                                </w:rPr>
                                <w:t>0,0</w:t>
                              </w:r>
                            </w:p>
                          </w:txbxContent>
                        </wps:txbx>
                        <wps:bodyPr rot="0" vert="horz" wrap="none" lIns="0" tIns="0" rIns="0" bIns="0" anchor="t" anchorCtr="0" upright="1">
                          <a:spAutoFit/>
                        </wps:bodyPr>
                      </wps:wsp>
                      <wps:wsp>
                        <wps:cNvPr id="156" name="Line 53"/>
                        <wps:cNvCnPr/>
                        <wps:spPr bwMode="auto">
                          <a:xfrm flipH="1">
                            <a:off x="563245" y="1705532"/>
                            <a:ext cx="29845" cy="63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57" name="Rectangle 54"/>
                        <wps:cNvSpPr>
                          <a:spLocks noChangeArrowheads="1"/>
                        </wps:cNvSpPr>
                        <wps:spPr bwMode="auto">
                          <a:xfrm>
                            <a:off x="407035" y="1651557"/>
                            <a:ext cx="14160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0BF" w:rsidRDefault="00B070BF" w:rsidP="00B070BF">
                              <w:r>
                                <w:rPr>
                                  <w:color w:val="000000"/>
                                  <w:sz w:val="16"/>
                                  <w:szCs w:val="16"/>
                                </w:rPr>
                                <w:t>4,0</w:t>
                              </w:r>
                            </w:p>
                          </w:txbxContent>
                        </wps:txbx>
                        <wps:bodyPr rot="0" vert="horz" wrap="none" lIns="0" tIns="0" rIns="0" bIns="0" anchor="t" anchorCtr="0" upright="1">
                          <a:spAutoFit/>
                        </wps:bodyPr>
                      </wps:wsp>
                      <wps:wsp>
                        <wps:cNvPr id="158" name="Line 55"/>
                        <wps:cNvCnPr/>
                        <wps:spPr bwMode="auto">
                          <a:xfrm flipH="1">
                            <a:off x="563245" y="1435022"/>
                            <a:ext cx="29845" cy="63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59" name="Rectangle 56"/>
                        <wps:cNvSpPr>
                          <a:spLocks noChangeArrowheads="1"/>
                        </wps:cNvSpPr>
                        <wps:spPr bwMode="auto">
                          <a:xfrm>
                            <a:off x="407035" y="1381047"/>
                            <a:ext cx="14160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0BF" w:rsidRDefault="00B070BF" w:rsidP="00B070BF">
                              <w:r>
                                <w:rPr>
                                  <w:color w:val="000000"/>
                                  <w:sz w:val="16"/>
                                  <w:szCs w:val="16"/>
                                </w:rPr>
                                <w:t>8,0</w:t>
                              </w:r>
                            </w:p>
                          </w:txbxContent>
                        </wps:txbx>
                        <wps:bodyPr rot="0" vert="horz" wrap="none" lIns="0" tIns="0" rIns="0" bIns="0" anchor="t" anchorCtr="0" upright="1">
                          <a:spAutoFit/>
                        </wps:bodyPr>
                      </wps:wsp>
                      <wps:wsp>
                        <wps:cNvPr id="160" name="Line 57"/>
                        <wps:cNvCnPr/>
                        <wps:spPr bwMode="auto">
                          <a:xfrm flipH="1">
                            <a:off x="563245" y="1167687"/>
                            <a:ext cx="29845" cy="63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61" name="Rectangle 58"/>
                        <wps:cNvSpPr>
                          <a:spLocks noChangeArrowheads="1"/>
                        </wps:cNvSpPr>
                        <wps:spPr bwMode="auto">
                          <a:xfrm>
                            <a:off x="351155" y="1110537"/>
                            <a:ext cx="19812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0BF" w:rsidRDefault="00B070BF" w:rsidP="00B070BF">
                              <w:r>
                                <w:rPr>
                                  <w:color w:val="000000"/>
                                  <w:sz w:val="16"/>
                                  <w:szCs w:val="16"/>
                                </w:rPr>
                                <w:t>12,0</w:t>
                              </w:r>
                            </w:p>
                          </w:txbxContent>
                        </wps:txbx>
                        <wps:bodyPr rot="0" vert="horz" wrap="none" lIns="0" tIns="0" rIns="0" bIns="0" anchor="t" anchorCtr="0" upright="1">
                          <a:spAutoFit/>
                        </wps:bodyPr>
                      </wps:wsp>
                      <wps:wsp>
                        <wps:cNvPr id="162" name="Line 59"/>
                        <wps:cNvCnPr/>
                        <wps:spPr bwMode="auto">
                          <a:xfrm flipH="1">
                            <a:off x="563245" y="897812"/>
                            <a:ext cx="29845" cy="63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63" name="Rectangle 60"/>
                        <wps:cNvSpPr>
                          <a:spLocks noChangeArrowheads="1"/>
                        </wps:cNvSpPr>
                        <wps:spPr bwMode="auto">
                          <a:xfrm>
                            <a:off x="351155" y="840662"/>
                            <a:ext cx="19812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0BF" w:rsidRDefault="00B070BF" w:rsidP="00B070BF">
                              <w:r>
                                <w:rPr>
                                  <w:color w:val="000000"/>
                                  <w:sz w:val="16"/>
                                  <w:szCs w:val="16"/>
                                </w:rPr>
                                <w:t>16,0</w:t>
                              </w:r>
                            </w:p>
                          </w:txbxContent>
                        </wps:txbx>
                        <wps:bodyPr rot="0" vert="horz" wrap="none" lIns="0" tIns="0" rIns="0" bIns="0" anchor="t" anchorCtr="0" upright="1">
                          <a:spAutoFit/>
                        </wps:bodyPr>
                      </wps:wsp>
                      <wps:wsp>
                        <wps:cNvPr id="164" name="Line 61"/>
                        <wps:cNvCnPr/>
                        <wps:spPr bwMode="auto">
                          <a:xfrm flipH="1">
                            <a:off x="563245" y="627302"/>
                            <a:ext cx="29845" cy="63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65" name="Rectangle 62"/>
                        <wps:cNvSpPr>
                          <a:spLocks noChangeArrowheads="1"/>
                        </wps:cNvSpPr>
                        <wps:spPr bwMode="auto">
                          <a:xfrm>
                            <a:off x="351155" y="573327"/>
                            <a:ext cx="19812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0BF" w:rsidRDefault="00B070BF" w:rsidP="00B070BF">
                              <w:r>
                                <w:rPr>
                                  <w:color w:val="000000"/>
                                  <w:sz w:val="16"/>
                                  <w:szCs w:val="16"/>
                                </w:rPr>
                                <w:t>20,0</w:t>
                              </w:r>
                            </w:p>
                          </w:txbxContent>
                        </wps:txbx>
                        <wps:bodyPr rot="0" vert="horz" wrap="none" lIns="0" tIns="0" rIns="0" bIns="0" anchor="t" anchorCtr="0" upright="1">
                          <a:spAutoFit/>
                        </wps:bodyPr>
                      </wps:wsp>
                      <wps:wsp>
                        <wps:cNvPr id="167" name="Line 64"/>
                        <wps:cNvCnPr/>
                        <wps:spPr bwMode="auto">
                          <a:xfrm>
                            <a:off x="577850" y="1975407"/>
                            <a:ext cx="4920615"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68" name="Rectangle 65"/>
                        <wps:cNvSpPr>
                          <a:spLocks noChangeArrowheads="1"/>
                        </wps:cNvSpPr>
                        <wps:spPr bwMode="auto">
                          <a:xfrm>
                            <a:off x="740410" y="2005887"/>
                            <a:ext cx="18097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0BF" w:rsidRPr="004B799C" w:rsidRDefault="00B070BF" w:rsidP="00B070BF">
                              <w:r>
                                <w:rPr>
                                  <w:color w:val="000000"/>
                                  <w:sz w:val="16"/>
                                  <w:szCs w:val="16"/>
                                </w:rPr>
                                <w:t>Ene</w:t>
                              </w:r>
                            </w:p>
                          </w:txbxContent>
                        </wps:txbx>
                        <wps:bodyPr rot="0" vert="horz" wrap="none" lIns="0" tIns="0" rIns="0" bIns="0" anchor="t" anchorCtr="0" upright="1">
                          <a:spAutoFit/>
                        </wps:bodyPr>
                      </wps:wsp>
                      <wps:wsp>
                        <wps:cNvPr id="169" name="Rectangle 66"/>
                        <wps:cNvSpPr>
                          <a:spLocks noChangeArrowheads="1"/>
                        </wps:cNvSpPr>
                        <wps:spPr bwMode="auto">
                          <a:xfrm>
                            <a:off x="1138555" y="2005887"/>
                            <a:ext cx="17526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0BF" w:rsidRDefault="00B070BF" w:rsidP="00B070BF">
                              <w:r>
                                <w:rPr>
                                  <w:color w:val="000000"/>
                                  <w:sz w:val="16"/>
                                  <w:szCs w:val="16"/>
                                </w:rPr>
                                <w:t>Feb</w:t>
                              </w:r>
                            </w:p>
                          </w:txbxContent>
                        </wps:txbx>
                        <wps:bodyPr rot="0" vert="horz" wrap="none" lIns="0" tIns="0" rIns="0" bIns="0" anchor="t" anchorCtr="0" upright="1">
                          <a:spAutoFit/>
                        </wps:bodyPr>
                      </wps:wsp>
                      <wps:wsp>
                        <wps:cNvPr id="170" name="Rectangle 67"/>
                        <wps:cNvSpPr>
                          <a:spLocks noChangeArrowheads="1"/>
                        </wps:cNvSpPr>
                        <wps:spPr bwMode="auto">
                          <a:xfrm>
                            <a:off x="1542415" y="2005887"/>
                            <a:ext cx="17526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0BF" w:rsidRDefault="00B070BF" w:rsidP="00B070BF">
                              <w:r>
                                <w:rPr>
                                  <w:color w:val="000000"/>
                                  <w:sz w:val="16"/>
                                  <w:szCs w:val="16"/>
                                </w:rPr>
                                <w:t>Mar</w:t>
                              </w:r>
                            </w:p>
                          </w:txbxContent>
                        </wps:txbx>
                        <wps:bodyPr rot="0" vert="horz" wrap="none" lIns="0" tIns="0" rIns="0" bIns="0" anchor="t" anchorCtr="0" upright="1">
                          <a:spAutoFit/>
                        </wps:bodyPr>
                      </wps:wsp>
                      <wps:wsp>
                        <wps:cNvPr id="171" name="Rectangle 68"/>
                        <wps:cNvSpPr>
                          <a:spLocks noChangeArrowheads="1"/>
                        </wps:cNvSpPr>
                        <wps:spPr bwMode="auto">
                          <a:xfrm>
                            <a:off x="1948815" y="2005887"/>
                            <a:ext cx="15811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0BF" w:rsidRDefault="00B070BF" w:rsidP="00B070BF">
                              <w:r>
                                <w:rPr>
                                  <w:color w:val="000000"/>
                                  <w:sz w:val="16"/>
                                  <w:szCs w:val="16"/>
                                </w:rPr>
                                <w:t>Abr</w:t>
                              </w:r>
                            </w:p>
                          </w:txbxContent>
                        </wps:txbx>
                        <wps:bodyPr rot="0" vert="horz" wrap="none" lIns="0" tIns="0" rIns="0" bIns="0" anchor="t" anchorCtr="0" upright="1">
                          <a:spAutoFit/>
                        </wps:bodyPr>
                      </wps:wsp>
                      <wps:wsp>
                        <wps:cNvPr id="172" name="Rectangle 69"/>
                        <wps:cNvSpPr>
                          <a:spLocks noChangeArrowheads="1"/>
                        </wps:cNvSpPr>
                        <wps:spPr bwMode="auto">
                          <a:xfrm>
                            <a:off x="2338070" y="2005887"/>
                            <a:ext cx="19240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0BF" w:rsidRDefault="00B070BF" w:rsidP="00B070BF">
                              <w:proofErr w:type="spellStart"/>
                              <w:r>
                                <w:rPr>
                                  <w:color w:val="000000"/>
                                  <w:sz w:val="16"/>
                                  <w:szCs w:val="16"/>
                                </w:rPr>
                                <w:t>May</w:t>
                              </w:r>
                              <w:proofErr w:type="spellEnd"/>
                            </w:p>
                          </w:txbxContent>
                        </wps:txbx>
                        <wps:bodyPr rot="0" vert="horz" wrap="none" lIns="0" tIns="0" rIns="0" bIns="0" anchor="t" anchorCtr="0" upright="1">
                          <a:spAutoFit/>
                        </wps:bodyPr>
                      </wps:wsp>
                      <wps:wsp>
                        <wps:cNvPr id="173" name="Rectangle 70"/>
                        <wps:cNvSpPr>
                          <a:spLocks noChangeArrowheads="1"/>
                        </wps:cNvSpPr>
                        <wps:spPr bwMode="auto">
                          <a:xfrm>
                            <a:off x="2753995" y="2005887"/>
                            <a:ext cx="16383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0BF" w:rsidRDefault="00B070BF" w:rsidP="00B070BF">
                              <w:r>
                                <w:rPr>
                                  <w:color w:val="000000"/>
                                  <w:sz w:val="16"/>
                                  <w:szCs w:val="16"/>
                                </w:rPr>
                                <w:t>Jun</w:t>
                              </w:r>
                            </w:p>
                          </w:txbxContent>
                        </wps:txbx>
                        <wps:bodyPr rot="0" vert="horz" wrap="none" lIns="0" tIns="0" rIns="0" bIns="0" anchor="t" anchorCtr="0" upright="1">
                          <a:spAutoFit/>
                        </wps:bodyPr>
                      </wps:wsp>
                      <wps:wsp>
                        <wps:cNvPr id="174" name="Rectangle 71"/>
                        <wps:cNvSpPr>
                          <a:spLocks noChangeArrowheads="1"/>
                        </wps:cNvSpPr>
                        <wps:spPr bwMode="auto">
                          <a:xfrm>
                            <a:off x="3175635" y="2005887"/>
                            <a:ext cx="13017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0BF" w:rsidRDefault="00B070BF" w:rsidP="00B070BF">
                              <w:r>
                                <w:rPr>
                                  <w:color w:val="000000"/>
                                  <w:sz w:val="16"/>
                                  <w:szCs w:val="16"/>
                                </w:rPr>
                                <w:t>Jul</w:t>
                              </w:r>
                            </w:p>
                          </w:txbxContent>
                        </wps:txbx>
                        <wps:bodyPr rot="0" vert="horz" wrap="none" lIns="0" tIns="0" rIns="0" bIns="0" anchor="t" anchorCtr="0" upright="1">
                          <a:spAutoFit/>
                        </wps:bodyPr>
                      </wps:wsp>
                      <wps:wsp>
                        <wps:cNvPr id="175" name="Rectangle 72"/>
                        <wps:cNvSpPr>
                          <a:spLocks noChangeArrowheads="1"/>
                        </wps:cNvSpPr>
                        <wps:spPr bwMode="auto">
                          <a:xfrm>
                            <a:off x="3552825" y="2005887"/>
                            <a:ext cx="18097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0BF" w:rsidRDefault="00B070BF" w:rsidP="00B070BF">
                              <w:proofErr w:type="spellStart"/>
                              <w:r>
                                <w:rPr>
                                  <w:color w:val="000000"/>
                                  <w:sz w:val="16"/>
                                  <w:szCs w:val="16"/>
                                </w:rPr>
                                <w:t>Ago</w:t>
                              </w:r>
                              <w:proofErr w:type="spellEnd"/>
                            </w:p>
                          </w:txbxContent>
                        </wps:txbx>
                        <wps:bodyPr rot="0" vert="horz" wrap="none" lIns="0" tIns="0" rIns="0" bIns="0" anchor="t" anchorCtr="0" upright="1">
                          <a:spAutoFit/>
                        </wps:bodyPr>
                      </wps:wsp>
                      <wps:wsp>
                        <wps:cNvPr id="176" name="Rectangle 73"/>
                        <wps:cNvSpPr>
                          <a:spLocks noChangeArrowheads="1"/>
                        </wps:cNvSpPr>
                        <wps:spPr bwMode="auto">
                          <a:xfrm>
                            <a:off x="3956685" y="2005887"/>
                            <a:ext cx="20955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0BF" w:rsidRDefault="00B070BF" w:rsidP="00B070BF">
                              <w:r>
                                <w:rPr>
                                  <w:color w:val="000000"/>
                                  <w:sz w:val="16"/>
                                  <w:szCs w:val="16"/>
                                </w:rPr>
                                <w:t>Sept</w:t>
                              </w:r>
                            </w:p>
                          </w:txbxContent>
                        </wps:txbx>
                        <wps:bodyPr rot="0" vert="horz" wrap="none" lIns="0" tIns="0" rIns="0" bIns="0" anchor="t" anchorCtr="0" upright="1">
                          <a:spAutoFit/>
                        </wps:bodyPr>
                      </wps:wsp>
                      <wps:wsp>
                        <wps:cNvPr id="177" name="Rectangle 74"/>
                        <wps:cNvSpPr>
                          <a:spLocks noChangeArrowheads="1"/>
                        </wps:cNvSpPr>
                        <wps:spPr bwMode="auto">
                          <a:xfrm>
                            <a:off x="4369435" y="2005887"/>
                            <a:ext cx="15811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0BF" w:rsidRDefault="00B070BF" w:rsidP="00B070BF">
                              <w:r>
                                <w:rPr>
                                  <w:color w:val="000000"/>
                                  <w:sz w:val="16"/>
                                  <w:szCs w:val="16"/>
                                </w:rPr>
                                <w:t>Oct</w:t>
                              </w:r>
                            </w:p>
                          </w:txbxContent>
                        </wps:txbx>
                        <wps:bodyPr rot="0" vert="horz" wrap="none" lIns="0" tIns="0" rIns="0" bIns="0" anchor="t" anchorCtr="0" upright="1">
                          <a:spAutoFit/>
                        </wps:bodyPr>
                      </wps:wsp>
                      <wps:wsp>
                        <wps:cNvPr id="178" name="Rectangle 75"/>
                        <wps:cNvSpPr>
                          <a:spLocks noChangeArrowheads="1"/>
                        </wps:cNvSpPr>
                        <wps:spPr bwMode="auto">
                          <a:xfrm>
                            <a:off x="4761865" y="2005887"/>
                            <a:ext cx="18097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0BF" w:rsidRDefault="00B070BF" w:rsidP="00B070BF">
                              <w:r>
                                <w:rPr>
                                  <w:color w:val="000000"/>
                                  <w:sz w:val="16"/>
                                  <w:szCs w:val="16"/>
                                </w:rPr>
                                <w:t>Nov</w:t>
                              </w:r>
                            </w:p>
                          </w:txbxContent>
                        </wps:txbx>
                        <wps:bodyPr rot="0" vert="horz" wrap="none" lIns="0" tIns="0" rIns="0" bIns="0" anchor="t" anchorCtr="0" upright="1">
                          <a:spAutoFit/>
                        </wps:bodyPr>
                      </wps:wsp>
                      <wps:wsp>
                        <wps:cNvPr id="179" name="Rectangle 76"/>
                        <wps:cNvSpPr>
                          <a:spLocks noChangeArrowheads="1"/>
                        </wps:cNvSpPr>
                        <wps:spPr bwMode="auto">
                          <a:xfrm>
                            <a:off x="5165725" y="2005887"/>
                            <a:ext cx="14732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0BF" w:rsidRDefault="00B070BF" w:rsidP="00B070BF">
                              <w:r>
                                <w:rPr>
                                  <w:color w:val="000000"/>
                                  <w:sz w:val="16"/>
                                  <w:szCs w:val="16"/>
                                </w:rPr>
                                <w:t>Dic</w:t>
                              </w:r>
                            </w:p>
                          </w:txbxContent>
                        </wps:txbx>
                        <wps:bodyPr rot="0" vert="horz" wrap="none" lIns="0" tIns="0" rIns="0" bIns="0" anchor="t" anchorCtr="0" upright="1">
                          <a:spAutoFit/>
                        </wps:bodyPr>
                      </wps:wsp>
                      <wps:wsp>
                        <wps:cNvPr id="180" name="Rectangle 77"/>
                        <wps:cNvSpPr>
                          <a:spLocks noChangeArrowheads="1"/>
                        </wps:cNvSpPr>
                        <wps:spPr bwMode="auto">
                          <a:xfrm>
                            <a:off x="2335530" y="113587"/>
                            <a:ext cx="242760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0BF" w:rsidRPr="007146F1" w:rsidRDefault="00B070BF" w:rsidP="00B070BF">
                              <w:r w:rsidRPr="007146F1">
                                <w:rPr>
                                  <w:color w:val="000000"/>
                                  <w:sz w:val="18"/>
                                  <w:szCs w:val="18"/>
                                </w:rPr>
                                <w:t xml:space="preserve">Datos registrados en </w:t>
                              </w:r>
                              <w:proofErr w:type="spellStart"/>
                              <w:r w:rsidRPr="007146F1">
                                <w:rPr>
                                  <w:color w:val="000000"/>
                                  <w:sz w:val="18"/>
                                  <w:szCs w:val="18"/>
                                </w:rPr>
                                <w:t>Patentscope</w:t>
                              </w:r>
                              <w:proofErr w:type="spellEnd"/>
                              <w:r w:rsidRPr="007146F1">
                                <w:rPr>
                                  <w:color w:val="000000"/>
                                  <w:sz w:val="18"/>
                                  <w:szCs w:val="18"/>
                                </w:rPr>
                                <w:t xml:space="preserve"> </w:t>
                              </w:r>
                              <w:r>
                                <w:rPr>
                                  <w:color w:val="000000"/>
                                  <w:sz w:val="18"/>
                                  <w:szCs w:val="18"/>
                                </w:rPr>
                                <w:t xml:space="preserve">durante </w:t>
                              </w:r>
                              <w:r w:rsidRPr="007146F1">
                                <w:rPr>
                                  <w:color w:val="000000"/>
                                  <w:sz w:val="18"/>
                                  <w:szCs w:val="18"/>
                                </w:rPr>
                                <w:t>2012</w:t>
                              </w:r>
                            </w:p>
                          </w:txbxContent>
                        </wps:txbx>
                        <wps:bodyPr rot="0" vert="horz" wrap="none" lIns="0" tIns="0" rIns="0" bIns="0" anchor="t" anchorCtr="0" upright="1">
                          <a:spAutoFit/>
                        </wps:bodyPr>
                      </wps:wsp>
                      <wps:wsp>
                        <wps:cNvPr id="181" name="Rectangle 78"/>
                        <wps:cNvSpPr>
                          <a:spLocks noChangeArrowheads="1"/>
                        </wps:cNvSpPr>
                        <wps:spPr bwMode="auto">
                          <a:xfrm>
                            <a:off x="2473960" y="347902"/>
                            <a:ext cx="138430" cy="53975"/>
                          </a:xfrm>
                          <a:prstGeom prst="rect">
                            <a:avLst/>
                          </a:prstGeom>
                          <a:solidFill>
                            <a:srgbClr val="7B92A8"/>
                          </a:solidFill>
                          <a:ln w="0">
                            <a:solidFill>
                              <a:srgbClr val="7B92A8"/>
                            </a:solidFill>
                            <a:miter lim="800000"/>
                            <a:headEnd/>
                            <a:tailEnd/>
                          </a:ln>
                        </wps:spPr>
                        <wps:bodyPr rot="0" vert="horz" wrap="square" lIns="91440" tIns="45720" rIns="91440" bIns="45720" anchor="t" anchorCtr="0" upright="1">
                          <a:noAutofit/>
                        </wps:bodyPr>
                      </wps:wsp>
                      <wps:wsp>
                        <wps:cNvPr id="182" name="Rectangle 79"/>
                        <wps:cNvSpPr>
                          <a:spLocks noChangeArrowheads="1"/>
                        </wps:cNvSpPr>
                        <wps:spPr bwMode="auto">
                          <a:xfrm>
                            <a:off x="3204845" y="347902"/>
                            <a:ext cx="138430" cy="53975"/>
                          </a:xfrm>
                          <a:prstGeom prst="rect">
                            <a:avLst/>
                          </a:prstGeom>
                          <a:solidFill>
                            <a:srgbClr val="00FFFF"/>
                          </a:solidFill>
                          <a:ln w="0">
                            <a:solidFill>
                              <a:srgbClr val="00FFFF"/>
                            </a:solidFill>
                            <a:miter lim="800000"/>
                            <a:headEnd/>
                            <a:tailEnd/>
                          </a:ln>
                        </wps:spPr>
                        <wps:bodyPr rot="0" vert="horz" wrap="square" lIns="91440" tIns="45720" rIns="91440" bIns="45720" anchor="t" anchorCtr="0" upright="1">
                          <a:noAutofit/>
                        </wps:bodyPr>
                      </wps:wsp>
                      <wps:wsp>
                        <wps:cNvPr id="183" name="Rectangle 80"/>
                        <wps:cNvSpPr>
                          <a:spLocks noChangeArrowheads="1"/>
                        </wps:cNvSpPr>
                        <wps:spPr bwMode="auto">
                          <a:xfrm>
                            <a:off x="2656840" y="318057"/>
                            <a:ext cx="24892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0BF" w:rsidRDefault="00B070BF" w:rsidP="00B070BF">
                              <w:r>
                                <w:rPr>
                                  <w:color w:val="000000"/>
                                  <w:sz w:val="16"/>
                                  <w:szCs w:val="16"/>
                                </w:rPr>
                                <w:t>Otros</w:t>
                              </w:r>
                            </w:p>
                          </w:txbxContent>
                        </wps:txbx>
                        <wps:bodyPr rot="0" vert="horz" wrap="none" lIns="0" tIns="0" rIns="0" bIns="0" anchor="t" anchorCtr="0" upright="1">
                          <a:spAutoFit/>
                        </wps:bodyPr>
                      </wps:wsp>
                      <wps:wsp>
                        <wps:cNvPr id="184" name="Rectangle 81"/>
                        <wps:cNvSpPr>
                          <a:spLocks noChangeArrowheads="1"/>
                        </wps:cNvSpPr>
                        <wps:spPr bwMode="auto">
                          <a:xfrm>
                            <a:off x="3367758" y="317931"/>
                            <a:ext cx="36512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0BF" w:rsidRDefault="00B070BF" w:rsidP="00B070BF">
                              <w:r>
                                <w:rPr>
                                  <w:color w:val="000000"/>
                                  <w:sz w:val="16"/>
                                  <w:szCs w:val="16"/>
                                </w:rPr>
                                <w:t xml:space="preserve">PCT      </w:t>
                              </w:r>
                            </w:p>
                          </w:txbxContent>
                        </wps:txbx>
                        <wps:bodyPr rot="0" vert="horz" wrap="square" lIns="0" tIns="0" rIns="0" bIns="0" anchor="t" anchorCtr="0" upright="1">
                          <a:spAutoFit/>
                        </wps:bodyPr>
                      </wps:wsp>
                      <pic:pic xmlns:pic="http://schemas.openxmlformats.org/drawingml/2006/picture">
                        <pic:nvPicPr>
                          <pic:cNvPr id="279" name="Picture 279"/>
                          <pic:cNvPicPr>
                            <a:picLocks noChangeAspect="1"/>
                          </pic:cNvPicPr>
                        </pic:nvPicPr>
                        <pic:blipFill>
                          <a:blip r:embed="rId64"/>
                          <a:stretch>
                            <a:fillRect/>
                          </a:stretch>
                        </pic:blipFill>
                        <pic:spPr>
                          <a:xfrm>
                            <a:off x="0" y="717329"/>
                            <a:ext cx="5826642" cy="1200546"/>
                          </a:xfrm>
                          <a:prstGeom prst="rect">
                            <a:avLst/>
                          </a:prstGeom>
                        </pic:spPr>
                      </pic:pic>
                    </wpc:wpc>
                  </a:graphicData>
                </a:graphic>
              </wp:inline>
            </w:drawing>
          </mc:Choice>
          <mc:Fallback>
            <w:pict>
              <v:group id="Canvas 185" o:spid="_x0000_s1026" editas="canvas" style="width:458.8pt;height:173.6pt;mso-position-horizontal-relative:char;mso-position-vertical-relative:line" coordsize="58261,22040"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8261;height:22040;visibility:visible;mso-wrap-style:square">
                  <v:fill o:detectmouseclick="t"/>
                  <v:path o:connecttype="none"/>
                </v:shape>
                <v:rect id="Rectangle 4" o:spid="_x0000_s1028" style="position:absolute;top:354;width:55784;height:216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4RMIA&#10;AADcAAAADwAAAGRycy9kb3ducmV2LnhtbERPS4vCMBC+L/gfwgje1kTdrVqNIoKwsOvBB3gdmrEt&#10;NpPaRK3/3iws7G0+vufMl62txJ0aXzrWMOgrEMSZMyXnGo6HzfsEhA/IBivHpOFJHpaLztscU+Me&#10;vKP7PuQihrBPUUMRQp1K6bOCLPq+q4kjd3aNxRBhk0vT4COG20oOlUqkxZJjQ4E1rQvKLvub1YDJ&#10;h7luz6Ofw/ctwWneqs3nSWnd67arGYhAbfgX/7m/TJyvxvD7TLxALl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84ThEwgAAANwAAAAPAAAAAAAAAAAAAAAAAJgCAABkcnMvZG93&#10;bnJldi54bWxQSwUGAAAAAAQABAD1AAAAhwMAAAAA&#10;" stroked="f"/>
                <v:rect id="Rectangle 5" o:spid="_x0000_s1029" style="position:absolute;left:31;top:418;width:55690;height:215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pdsUA&#10;AADcAAAADwAAAGRycy9kb3ducmV2LnhtbESP3WrCQBCF7wu+wzKCd3XX2haJrmIDhRYp1J8HGLJj&#10;Es3OhuxW49t3LgTvZjhnzvlmsep9oy7UxTqwhcnYgCIugqu5tHDYfz7PQMWE7LAJTBZuFGG1HDwt&#10;MHPhylu67FKpJIRjhhaqlNpM61hU5DGOQ0ss2jF0HpOsXaldh1cJ941+MeZde6xZGipsKa+oOO/+&#10;vIV9Ucfv/Gd6Mh8385q/NZtf3G6sHQ379RxUoj49zPfrLyf4RmjlGZlAL/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7H6l2xQAAANwAAAAPAAAAAAAAAAAAAAAAAJgCAABkcnMv&#10;ZG93bnJldi54bWxQSwUGAAAAAAQABAD1AAAAigMAAAAA&#10;" strokecolor="white" strokeweight=".25pt"/>
                <v:line id="Line 6" o:spid="_x0000_s1030" style="position:absolute;visibility:visible;mso-wrap-style:square" from="5778,19754" to="54984,197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7zXHcMAAADcAAAADwAAAGRycy9kb3ducmV2LnhtbERPTWvCQBC9F/oflil4qxsFbRJdpRRL&#10;2ltNFXocsmOymJ0N2a1J/31XELzN433OejvaVlyo98axgtk0AUFcOW24VnD4fn9OQfiArLF1TAr+&#10;yMN28/iwxly7gfd0KUMtYgj7HBU0IXS5lL5qyKKfuo44cifXWwwR9rXUPQ4x3LZyniRLadFwbGiw&#10;o7eGqnP5axWYr2Wx+Hw5Zke5K8LsJz2nxh6UmjyNrysQgcZwF9/cHzrOTzK4PhMvkJt/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81x3DAAAA3AAAAA8AAAAAAAAAAAAA&#10;AAAAoQIAAGRycy9kb3ducmV2LnhtbFBLBQYAAAAABAAEAPkAAACRAwAAAAA=&#10;" strokeweight="0"/>
                <v:line id="Line 7" o:spid="_x0000_s1031" style="position:absolute;visibility:visible;mso-wrap-style:square" from="5778,17055" to="54984,170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1/oXcUAAADcAAAADwAAAGRycy9kb3ducmV2LnhtbESPT2vDMAzF74N9B6NBb6uTQbssrVvG&#10;2Gh3W//BjiJWE9NYDrHXpt9+OhR6k3hP7/00Xw6+VWfqowtsIB9noIirYB3XBva7r+cCVEzIFtvA&#10;ZOBKEZaLx4c5ljZceEPnbaqVhHAs0UCTUldqHauGPMZx6IhFO4beY5K1r7Xt8SLhvtUvWTbVHh1L&#10;Q4MdfTRUnbZ/3oD7ma4m36+Ht4P+XKX8tzgVzu+NGT0N7zNQiYZ0N9+u11bwc8GXZ2QCvfg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1/oXcUAAADcAAAADwAAAAAAAAAA&#10;AAAAAAChAgAAZHJzL2Rvd25yZXYueG1sUEsFBgAAAAAEAAQA+QAAAJMDAAAAAA==&#10;" strokeweight="0"/>
                <v:line id="Line 8" o:spid="_x0000_s1032" style="position:absolute;visibility:visible;mso-wrap-style:square" from="5778,14350" to="54984,143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BNNxsEAAADcAAAADwAAAGRycy9kb3ducmV2LnhtbERPTYvCMBC9L+x/CLPgbU0rqLUaZVlc&#10;1JvrKngcmrENNpPSZLX+eyMI3ubxPme26GwtLtR641hB2k9AEBdOGy4V7P9+PjMQPiBrrB2Tght5&#10;WMzf32aYa3flX7rsQiliCPscFVQhNLmUvqjIou+7hjhyJ9daDBG2pdQtXmO4reUgSUbSouHYUGFD&#10;3xUV592/VWC2o9VwMz5MDnK5CukxO2fG7pXqfXRfUxCBuvASP91rHeenKTyeiRfI+R0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UE03GwQAAANwAAAAPAAAAAAAAAAAAAAAA&#10;AKECAABkcnMvZG93bnJldi54bWxQSwUGAAAAAAQABAD5AAAAjwMAAAAA&#10;" strokeweight="0"/>
                <v:line id="Line 9" o:spid="_x0000_s1033" style="position:absolute;visibility:visible;mso-wrap-style:square" from="5778,11676" to="54984,116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MHTscMAAADcAAAADwAAAGRycy9kb3ducmV2LnhtbERPS2vCQBC+F/wPywi91U2E2hjdiIhi&#10;e2t9gMchOyZLsrMhu2r677uFQm/z8T1nuRpsK+7Ue+NYQTpJQBCXThuuFJyOu5cMhA/IGlvHpOCb&#10;PKyK0dMSc+0e/EX3Q6hEDGGfo4I6hC6X0pc1WfQT1xFH7up6iyHCvpK6x0cMt62cJslMWjQcG2rs&#10;aFNT2RxuVoH5nO1fP97O87Pc7kN6yZrM2JNSz+NhvQARaAj/4j/3u47z0yn8PhMvkMU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TB07HDAAAA3AAAAA8AAAAAAAAAAAAA&#10;AAAAoQIAAGRycy9kb3ducmV2LnhtbFBLBQYAAAAABAAEAPkAAACRAwAAAAA=&#10;" strokeweight="0"/>
                <v:line id="Line 10" o:spid="_x0000_s1034" style="position:absolute;visibility:visible;mso-wrap-style:square" from="5778,8978" to="54984,89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412KsIAAADcAAAADwAAAGRycy9kb3ducmV2LnhtbERPTWvCQBC9C/0PyxR6001aamN0lSKK&#10;9qZWweOQHZPF7GzIrpr+e7cgeJvH+5zJrLO1uFLrjWMF6SABQVw4bbhUsP9d9jMQPiBrrB2Tgj/y&#10;MJu+9CaYa3fjLV13oRQxhH2OCqoQmlxKX1Rk0Q9cQxy5k2sthgjbUuoWbzHc1vI9SYbSouHYUGFD&#10;84qK8+5iFZjNcPX583UYHeRiFdJjds6M3Sv19tp9j0EE6sJT/HCvdZyffsD/M/ECOb0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412KsIAAADcAAAADwAAAAAAAAAAAAAA&#10;AAChAgAAZHJzL2Rvd25yZXYueG1sUEsFBgAAAAAEAAQA+QAAAJADAAAAAA==&#10;" strokeweight="0"/>
                <v:line id="Line 11" o:spid="_x0000_s1035" style="position:absolute;visibility:visible;mso-wrap-style:square" from="5778,6273" to="54984,62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GTuXsIAAADcAAAADwAAAGRycy9kb3ducmV2LnhtbERPTWvCQBC9C/0PyxR6001Ka2N0lSKK&#10;9qZWweOQHZPF7GzIrpr+e7cgeJvH+5zJrLO1uFLrjWMF6SABQVw4bbhUsP9d9jMQPiBrrB2Tgj/y&#10;MJu+9CaYa3fjLV13oRQxhH2OCqoQmlxKX1Rk0Q9cQxy5k2sthgjbUuoWbzHc1vI9SYbSouHYUGFD&#10;84qK8+5iFZjNcPX583UYHeRiFdJjds6M3Sv19tp9j0EE6sJT/HCvdZyffsD/M/ECOb0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GTuXsIAAADcAAAADwAAAAAAAAAAAAAA&#10;AAChAgAAZHJzL2Rvd25yZXYueG1sUEsFBgAAAAAEAAQA+QAAAJADAAAAAA==&#10;" strokeweight="0"/>
                <v:line id="Line 12" o:spid="_x0000_s1036" style="position:absolute;visibility:visible;mso-wrap-style:square" from="5778,4863" to="54984,48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7pwFsMAAADcAAAADwAAAGRycy9kb3ducmV2LnhtbERPTWsCMRC9F/wPYQq91azaimyNIlKh&#10;9CCs20O9DZtxs7iZrEm6bv99IxS8zeN9znI92Fb05EPjWMFknIEgrpxuuFbwVe6eFyBCRNbYOiYF&#10;vxRgvRo9LDHX7soF9YdYixTCIUcFJsYulzJUhiyGseuIE3dy3mJM0NdSe7ymcNvKaZbNpcWGU4PB&#10;jraGqvPhxyrwxxi+i8vss3+p3y/7szclnQqlnh6HzRuISEO8i//dHzrNn7zC7Zl0gVz9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e6cBbDAAAA3AAAAA8AAAAAAAAAAAAA&#10;AAAAoQIAAGRycy9kb3ducmV2LnhtbFBLBQYAAAAABAAEAPkAAACRAwAAAAA=&#10;" strokeweight=".25pt"/>
                <v:rect id="Rectangle 13" o:spid="_x0000_s1037" style="position:absolute;left:6991;top:14293;width:2413;height:54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e5msAA&#10;AADcAAAADwAAAGRycy9kb3ducmV2LnhtbERPzYrCMBC+L/gOYQQvi6ZV6Eo1igqCJ3F1H2Boxrba&#10;TEoTNb69EYS9zcf3O/NlMI24U+dqywrSUQKCuLC65lLB32k7nIJwHlljY5kUPMnBctH7mmOu7YN/&#10;6X70pYgh7HJUUHnf5lK6oiKDbmRb4sidbWfQR9iVUnf4iOGmkeMkyaTBmmNDhS1tKiqux5tRMEnD&#10;z4nMYXfbh+/15ZI99ZRrpQb9sJqB8BT8v/jj3uk4P83g/Uy8QC5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Ve5msAAAADcAAAADwAAAAAAAAAAAAAAAACYAgAAZHJzL2Rvd25y&#10;ZXYueG1sUEsFBgAAAAAEAAQA9QAAAIUDAAAAAA==&#10;" fillcolor="#7b92a8" strokecolor="#7b92a8" strokeweight="0"/>
                <v:rect id="Rectangle 14" o:spid="_x0000_s1038" style="position:absolute;left:6991;top:12940;width:2413;height:13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WFbsEA&#10;AADcAAAADwAAAGRycy9kb3ducmV2LnhtbERP32vCMBB+H/g/hBN8W1OlTOmMIsJwb2OdCHs7mltT&#10;11xKk9b43y+Dwd7u4/t52320nZho8K1jBcssB0FcO91yo+D88fK4AeEDssbOMSm4k4f9bvawxVK7&#10;G7/TVIVGpBD2JSowIfSllL42ZNFnridO3JcbLIYEh0bqAW8p3HZyledP0mLLqcFgT0dD9Xc1WgV4&#10;XdmuWBfmOl2Ci5/xxOPbSanFPB6eQQSK4V/8537Vaf5yDb/PpAvk7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W1hW7BAAAA3AAAAA8AAAAAAAAAAAAAAAAAmAIAAGRycy9kb3du&#10;cmV2LnhtbFBLBQYAAAAABAAEAPUAAACGAwAAAAA=&#10;" fillcolor="aqua" strokecolor="aqua" strokeweight="0"/>
                <v:rect id="Rectangle 15" o:spid="_x0000_s1039" style="position:absolute;left:11029;top:13988;width:2420;height:57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4SIc8QA&#10;AADcAAAADwAAAGRycy9kb3ducmV2LnhtbESP3WrCQBCF7wt9h2UEb4pu0oJKdJUqFLwq/j3AkB2T&#10;aHY2ZFdd3965KPRuhnPmnG8Wq+Radac+NJ4N5OMMFHHpbcOVgdPxZzQDFSKyxdYzGXhSgNXy/W2B&#10;hfUP3tP9ECslIRwKNFDH2BVah7Imh2HsO2LRzr53GGXtK217fEi4a/Vnlk20w4alocaONjWV18PN&#10;GfjK0/RIbre9/aaP9eUyedoZN8YMB+l7DipSiv/mv+utFfxcaOUZmUAv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EiHPEAAAA3AAAAA8AAAAAAAAAAAAAAAAAmAIAAGRycy9k&#10;b3ducmV2LnhtbFBLBQYAAAAABAAEAPUAAACJAwAAAAA=&#10;" fillcolor="#7b92a8" strokecolor="#7b92a8" strokeweight="0"/>
                <v:rect id="Rectangle 16" o:spid="_x0000_s1040" style="position:absolute;left:11029;top:12610;width:2420;height:13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2a0h8EA&#10;AADcAAAADwAAAGRycy9kb3ducmV2LnhtbERPTWsCMRC9F/ofwhS8dbOK2LoapRREb6KWQm/DZtys&#10;bibLJq7x3xtB6G0e73Pmy2gb0VPna8cKhlkOgrh0uuZKwc9h9f4JwgdkjY1jUnAjD8vF68scC+2u&#10;vKN+HyqRQtgXqMCE0BZS+tKQRZ+5ljhxR9dZDAl2ldQdXlO4beQozyfSYs2pwWBL34bK8/5iFeBp&#10;ZJvxx9ic+t/g4l9c82W7VmrwFr9mIALF8C9+ujc6zR9O4fFMukAu7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tmtIfBAAAA3AAAAA8AAAAAAAAAAAAAAAAAmAIAAGRycy9kb3du&#10;cmV2LnhtbFBLBQYAAAAABAAEAPUAAACGAwAAAAA=&#10;" fillcolor="aqua" strokecolor="aqua" strokeweight="0"/>
                <v:rect id="Rectangle 17" o:spid="_x0000_s1041" style="position:absolute;left:15068;top:13962;width:2419;height:57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55OyMMA&#10;AADcAAAADwAAAGRycy9kb3ducmV2LnhtbESPzYoCQQyE78K+Q5OFvYj26ILKaCu7guBp8e8BwnSc&#10;GZ1OD9Ottm+/OQjeEqpS9WWxSq5Rd+pC7dnAaJiBIi68rbk0cDpuBjNQISJbbDyTgScFWC0/egvM&#10;rX/wnu6HWCoJ4ZCjgSrGNtc6FBU5DEPfEot29p3DKGtXatvhQ8Jdo8dZNtEOa5aGCltaV1RcDzdn&#10;4HuUpkdyu+3tL/V/L5fJ0864NubrM/3MQUVK8W1+XW+t4I8FX56RCf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55OyMMAAADcAAAADwAAAAAAAAAAAAAAAACYAgAAZHJzL2Rv&#10;d25yZXYueG1sUEsFBgAAAAAEAAQA9QAAAIgDAAAAAA==&#10;" fillcolor="#7b92a8" strokecolor="#7b92a8" strokeweight="0"/>
                <v:rect id="Rectangle 18" o:spid="_x0000_s1042" style="position:absolute;left:15068;top:12610;width:2419;height:13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3xyPMEA&#10;AADcAAAADwAAAGRycy9kb3ducmV2LnhtbERP32vCMBB+H+x/CDfwbU0t4kY1igyGvg2dCHs7mrOp&#10;NpfSxJr990YQfLuP7+fNl9G2YqDeN44VjLMcBHHldMO1gv3v9/snCB+QNbaOScE/eVguXl/mWGp3&#10;5S0Nu1CLFMK+RAUmhK6U0leGLPrMdcSJO7reYkiwr6Xu8ZrCbSuLPJ9Kiw2nBoMdfRmqzruLVYCn&#10;wraTj4k5DYfg4l9c8+VnrdToLa5mIALF8BQ/3Bud5hdjuD+TLpCLG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t8cjzBAAAA3AAAAA8AAAAAAAAAAAAAAAAAmAIAAGRycy9kb3du&#10;cmV2LnhtbFBLBQYAAAAABAAEAPUAAACGAwAAAAA=&#10;" fillcolor="aqua" strokecolor="aqua" strokeweight="0"/>
                <v:rect id="Rectangle 19" o:spid="_x0000_s1043" style="position:absolute;left:19075;top:13962;width:2419;height:57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AB1JL8A&#10;AADcAAAADwAAAGRycy9kb3ducmV2LnhtbERPzYrCMBC+C75DGMGLaGoXVKpRVBA8ias+wNCMbbWZ&#10;lCZqfHuzIOxtPr7fWayCqcWTWldZVjAeJSCIc6srLhRczrvhDITzyBpry6TgTQ5Wy25ngZm2L/6l&#10;58kXIoawy1BB6X2TSenykgy6kW2II3e1rUEfYVtI3eIrhptapkkykQYrjg0lNrQtKb+fHkbBzzhM&#10;z2SO+8chDDa32+StZ1wp1e+F9RyEp+D/xV/3Xsf5aQp/z8QL5PI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QAHUkvwAAANwAAAAPAAAAAAAAAAAAAAAAAJgCAABkcnMvZG93bnJl&#10;di54bWxQSwUGAAAAAAQABAD1AAAAhAMAAAAA&#10;" fillcolor="#7b92a8" strokecolor="#7b92a8" strokeweight="0"/>
                <v:rect id="Rectangle 20" o:spid="_x0000_s1044" style="position:absolute;left:19075;top:12610;width:2419;height:13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OJJ0MEA&#10;AADcAAAADwAAAGRycy9kb3ducmV2LnhtbERPS2sCMRC+C/6HMEJvmnUrWrZGEaHYW/GB0NuwmW5W&#10;N5NlE9f03zcFwdt8fM9ZrqNtRE+drx0rmE4yEMSl0zVXCk7Hj/EbCB+QNTaOScEveVivhoMlFtrd&#10;eU/9IVQihbAvUIEJoS2k9KUhi37iWuLE/bjOYkiwq6Tu8J7CbSPzLJtLizWnBoMtbQ2V18PNKsBL&#10;bpvZYmYu/Tm4+B13fPvaKfUyipt3EIFieIof7k+d5uev8P9MukCu/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TiSdDBAAAA3AAAAA8AAAAAAAAAAAAAAAAAmAIAAGRycy9kb3du&#10;cmV2LnhtbFBLBQYAAAAABAAEAPUAAACGAwAAAAA=&#10;" fillcolor="aqua" strokecolor="aqua" strokeweight="0"/>
                <v:rect id="Rectangle 21" o:spid="_x0000_s1045" style="position:absolute;left:23114;top:13899;width:2419;height:58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VIy8IA&#10;AADcAAAADwAAAGRycy9kb3ducmV2LnhtbERPzWrCQBC+C77DMoVepG6MYiV1FRUKnsRqH2DITpPY&#10;7GzIbpL17V2h0Nt8fL+z3gZTi55aV1lWMJsmIIhzqysuFHxfP99WIJxH1lhbJgV3crDdjEdrzLQd&#10;+Iv6iy9EDGGXoYLS+yaT0uUlGXRT2xBH7se2Bn2EbSF1i0MMN7VMk2QpDVYcG0ps6FBS/nvpjIL5&#10;LLxfyZyP3SlM9rfb8q5XXCn1+hJ2HyA8Bf8v/nMfdZyfLuD5TLxAbh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pUjLwgAAANwAAAAPAAAAAAAAAAAAAAAAAJgCAABkcnMvZG93&#10;bnJldi54bWxQSwUGAAAAAAQABAD1AAAAhwMAAAAA&#10;" fillcolor="#7b92a8" strokecolor="#7b92a8" strokeweight="0"/>
                <v:rect id="Rectangle 22" o:spid="_x0000_s1046" style="position:absolute;left:23114;top:12489;width:2419;height:14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d0P8EA&#10;AADcAAAADwAAAGRycy9kb3ducmV2LnhtbERPTWsCMRC9C/6HMEJvmnWxWrZGEaHYm1RF6G3YTDer&#10;m8myiWv6702h4G0e73OW62gb0VPna8cKppMMBHHpdM2VgtPxY/wGwgdkjY1jUvBLHtar4WCJhXZ3&#10;/qL+ECqRQtgXqMCE0BZS+tKQRT9xLXHiflxnMSTYVVJ3eE/htpF5ls2lxZpTg8GWtobK6+FmFeAl&#10;t81sMTOX/hxc/I47vu13Sr2M4uYdRKAYnuJ/96dO8/NX+HsmXSB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RHdD/BAAAA3AAAAA8AAAAAAAAAAAAAAAAAmAIAAGRycy9kb3du&#10;cmV2LnhtbFBLBQYAAAAABAAEAPUAAACGAwAAAAA=&#10;" fillcolor="aqua" strokecolor="aqua" strokeweight="0"/>
                <v:rect id="Rectangle 23" o:spid="_x0000_s1047" style="position:absolute;left:27152;top:13867;width:2419;height:58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tzJ8IA&#10;AADcAAAADwAAAGRycy9kb3ducmV2LnhtbERPS2rDMBDdB3oHMYFuQiM7BSe4VkJbKGRVmqQHGKyp&#10;P7FGxpJt5fZVoZDdPN53ikMwnZhocI1lBek6AUFcWt1wpeD78vG0A+E8ssbOMim4kYPD/mFRYK7t&#10;zCeazr4SMYRdjgpq7/tcSlfWZNCtbU8cuR87GPQRDpXUA84x3HRykySZNNhwbKixp/eayut5NAqe&#10;07C9kPk6jp9h9da22U3vuFHqcRleX0B4Cv4u/ncfdZy/yeDvmXiB3P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O3MnwgAAANwAAAAPAAAAAAAAAAAAAAAAAJgCAABkcnMvZG93&#10;bnJldi54bWxQSwUGAAAAAAQABAD1AAAAhwMAAAAA&#10;" fillcolor="#7b92a8" strokecolor="#7b92a8" strokeweight="0"/>
                <v:rect id="Rectangle 24" o:spid="_x0000_s1048" style="position:absolute;left:27152;top:12457;width:2419;height:14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9lP08AA&#10;AADcAAAADwAAAGRycy9kb3ducmV2LnhtbERPTYvCMBC9C/6HMII3TS2ySjWKCKK3Zd1lwdvQjE21&#10;mZQm1vjvNwsLe5vH+5z1NtpG9NT52rGC2TQDQVw6XXOl4OvzMFmC8AFZY+OYFLzIw3YzHKyx0O7J&#10;H9SfQyVSCPsCFZgQ2kJKXxqy6KeuJU7c1XUWQ4JdJXWHzxRuG5ln2Zu0WHNqMNjS3lB5Pz+sArzl&#10;tpkv5ubWfwcXL/HIj/ejUuNR3K1ABIrhX/znPuk0P1/A7zPpArn5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9lP08AAAADcAAAADwAAAAAAAAAAAAAAAACYAgAAZHJzL2Rvd25y&#10;ZXYueG1sUEsFBgAAAAAEAAQA9QAAAIUDAAAAAA==&#10;" fillcolor="aqua" strokecolor="aqua" strokeweight="0"/>
                <v:rect id="Rectangle 25" o:spid="_x0000_s1049" style="position:absolute;left:31197;top:13867;width:2388;height:58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hCzsMA&#10;AADcAAAADwAAAGRycy9kb3ducmV2LnhtbESPzYoCQQyE78K+Q5OFvYj26ILKaCu7guBp8e8BwnSc&#10;GZ1OD9Ottm+/OQjeEqpS9WWxSq5Rd+pC7dnAaJiBIi68rbk0cDpuBjNQISJbbDyTgScFWC0/egvM&#10;rX/wnu6HWCoJ4ZCjgSrGNtc6FBU5DEPfEot29p3DKGtXatvhQ8Jdo8dZNtEOa5aGCltaV1RcDzdn&#10;4HuUpkdyu+3tL/V/L5fJ0864NubrM/3MQUVK8W1+XW+t4I+FVp6RCf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ehCzsMAAADcAAAADwAAAAAAAAAAAAAAAACYAgAAZHJzL2Rv&#10;d25yZXYueG1sUEsFBgAAAAAEAAQA9QAAAIgDAAAAAA==&#10;" fillcolor="#7b92a8" strokecolor="#7b92a8" strokeweight="0"/>
                <v:rect id="Rectangle 26" o:spid="_x0000_s1050" style="position:absolute;left:31197;top:12457;width:2388;height:14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p+OsEA&#10;AADcAAAADwAAAGRycy9kb3ducmV2LnhtbERPTWsCMRC9C/6HMEJvmnWRardGEaHYm1RF6G3YTDer&#10;m8myiWv6702h4G0e73OW62gb0VPna8cKppMMBHHpdM2VgtPxY7wA4QOyxsYxKfglD+vVcLDEQrs7&#10;f1F/CJVIIewLVGBCaAspfWnIop+4ljhxP66zGBLsKqk7vKdw28g8y16lxZpTg8GWtobK6+FmFeAl&#10;t81sPjOX/hxc/I47vu13Sr2M4uYdRKAYnuJ/96dO8/M3+HsmXSB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UKfjrBAAAA3AAAAA8AAAAAAAAAAAAAAAAAmAIAAGRycy9kb3du&#10;cmV2LnhtbFBLBQYAAAAABAAEAPUAAACGAwAAAAA=&#10;" fillcolor="aqua" strokecolor="aqua" strokeweight="0"/>
                <v:rect id="Rectangle 27" o:spid="_x0000_s1051" style="position:absolute;left:35204;top:11740;width:2419;height:80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fYFcMA&#10;AADcAAAADwAAAGRycy9kb3ducmV2LnhtbESPzYoCQQyE78K+Q5OFvYj2uILKaCu7guBp8e8BwnSc&#10;GZ1OD9Ottm+/OQjeEqpS9WWxSq5Rd+pC7dnAaJiBIi68rbk0cDpuBjNQISJbbDyTgScFWC0/egvM&#10;rX/wnu6HWCoJ4ZCjgSrGNtc6FBU5DEPfEot29p3DKGtXatvhQ8Jdo7+zbKId1iwNFba0rqi4Hm7O&#10;wHiUpkdyu+3tL/V/L5fJ0864NubrM/3MQUVK8W1+XW+t4I8FX56RCf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kfYFcMAAADcAAAADwAAAAAAAAAAAAAAAACYAgAAZHJzL2Rv&#10;d25yZXYueG1sUEsFBgAAAAAEAAQA9QAAAIgDAAAAAA==&#10;" fillcolor="#7b92a8" strokecolor="#7b92a8" strokeweight="0"/>
                <v:rect id="Rectangle 28" o:spid="_x0000_s1052" style="position:absolute;left:35204;top:10324;width:2419;height:14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Xk4cAA&#10;AADcAAAADwAAAGRycy9kb3ducmV2LnhtbERPTWsCMRC9C/6HMEJvmtWKymoUEYq9laoI3obNuFnd&#10;TJZNXNN/3xQK3ubxPme1ibYWHbW+cqxgPMpAEBdOV1wqOB0/hgsQPiBrrB2Tgh/ysFn3eyvMtXvy&#10;N3WHUIoUwj5HBSaEJpfSF4Ys+pFriBN3da3FkGBbSt3iM4XbWk6ybCYtVpwaDDa0M1TcDw+rAG8T&#10;W0/nU3PrzsHFS9zz42uv1NsgbpcgAsXwEv+7P3Wa/z6Gv2fSBXL9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qXk4cAAAADcAAAADwAAAAAAAAAAAAAAAACYAgAAZHJzL2Rvd25y&#10;ZXYueG1sUEsFBgAAAAAEAAQA9QAAAIUDAAAAAA==&#10;" fillcolor="aqua" strokecolor="aqua" strokeweight="0"/>
                <v:rect id="Rectangle 29" o:spid="_x0000_s1053" style="position:absolute;left:39243;top:11740;width:2419;height:80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nj+cEA&#10;AADcAAAADwAAAGRycy9kb3ducmV2LnhtbERPzYrCMBC+L/gOYQQvi6ZWcKVrFF1Y6Elc3QcYmrGt&#10;20xKE9v49kYQ9jYf3++st8E0oqfO1ZYVzGcJCOLC6ppLBb/n7+kKhPPIGhvLpOBODrab0dsaM20H&#10;/qH+5EsRQ9hlqKDyvs2kdEVFBt3MtsSRu9jOoI+wK6XucIjhppFpkiylwZpjQ4UtfVVU/J1uRsFi&#10;Hj7OZI757RDe99fr8q5XXCs1GYfdJwhPwf+LX+5cx/mLFJ7PxAvk5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XZ4/nBAAAA3AAAAA8AAAAAAAAAAAAAAAAAmAIAAGRycy9kb3du&#10;cmV2LnhtbFBLBQYAAAAABAAEAPUAAACGAwAAAAA=&#10;" fillcolor="#7b92a8" strokecolor="#7b92a8" strokeweight="0"/>
                <v:rect id="Rectangle 30" o:spid="_x0000_s1054" style="position:absolute;left:39243;top:10298;width:2419;height:14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TvfDcEA&#10;AADcAAAADwAAAGRycy9kb3ducmV2LnhtbERPTWsCMRC9C/0PYQre3GxVbNkapQiiN1FLobdhM92s&#10;3UyWTVzjvzeC4G0e73Pmy2gb0VPna8cK3rIcBHHpdM2Vgu/jevQBwgdkjY1jUnAlD8vFy2COhXYX&#10;3lN/CJVIIewLVGBCaAspfWnIos9cS5y4P9dZDAl2ldQdXlK4beQ4z2fSYs2pwWBLK0Pl/+FsFeBp&#10;bJvp+9Sc+p/g4m/c8Hm3UWr4Gr8+QQSK4Sl+uLc6zZ9M4P5MukAub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E73w3BAAAA3AAAAA8AAAAAAAAAAAAAAAAAmAIAAGRycy9kb3du&#10;cmV2LnhtbFBLBQYAAAAABAAEAPUAAACGAwAAAAA=&#10;" fillcolor="aqua" strokecolor="aqua" strokeweight="0"/>
                <v:rect id="Rectangle 31" o:spid="_x0000_s1055" style="position:absolute;left:43281;top:11708;width:2419;height:80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zeFsEA&#10;AADcAAAADwAAAGRycy9kb3ducmV2LnhtbERP24rCMBB9X/Afwgi+LDZVF5XaKCos+LSslw8YmrGt&#10;NpPSRI1/v1kQfJvDuU6+CqYRd+pcbVnBKElBEBdW11wqOB2/h3MQziNrbCyTgic5WC17Hzlm2j54&#10;T/eDL0UMYZehgsr7NpPSFRUZdIltiSN3tp1BH2FXSt3hI4abRo7TdCoN1hwbKmxpW1FxPdyMgsko&#10;zI5kfne3n/C5uVymTz3nWqlBP6wXIDwF/xa/3Dsd50++4P+ZeIFc/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V83hbBAAAA3AAAAA8AAAAAAAAAAAAAAAAAmAIAAGRycy9kb3du&#10;cmV2LnhtbFBLBQYAAAAABAAEAPUAAACGAwAAAAA=&#10;" fillcolor="#7b92a8" strokecolor="#7b92a8" strokeweight="0"/>
                <v:rect id="Rectangle 32" o:spid="_x0000_s1056" style="position:absolute;left:43281;top:10267;width:2419;height:14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7i4sIA&#10;AADcAAAADwAAAGRycy9kb3ducmV2LnhtbERP32vCMBB+F/Y/hBvsTdM5daMzlSGIexN1DPZ2NLem&#10;XXMpTazZf28Ewbf7+H7echVtKwbqfe1YwfMkA0FcOl1zpeDruBm/gfABWWPrmBT8k4dV8TBaYq7d&#10;mfc0HEIlUgj7HBWYELpcSl8asugnriNO3K/rLYYE+0rqHs8p3LZymmULabHm1GCwo7Wh8u9wsgqw&#10;mdp29jozzfAdXPyJWz7ttko9PcaPdxCBYriLb+5Pnea/zOH6TLpAFh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nuLiwgAAANwAAAAPAAAAAAAAAAAAAAAAAJgCAABkcnMvZG93&#10;bnJldi54bWxQSwUGAAAAAAQABAD1AAAAhwMAAAAA&#10;" fillcolor="aqua" strokecolor="aqua" strokeweight="0"/>
                <v:rect id="Rectangle 33" o:spid="_x0000_s1057" style="position:absolute;left:47320;top:11676;width:2387;height:80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Ll+sIA&#10;AADcAAAADwAAAGRycy9kb3ducmV2LnhtbERPS2rDMBDdF3IHMYFuSiKnASe4VkJaKHhVWjsHGKyp&#10;P7FGxlIS+fZVodDdPN538mMwg7jR5DrLCjbrBARxbXXHjYJz9b7ag3AeWeNgmRTM5OB4WDzkmGl7&#10;5y+6lb4RMYRdhgpa78dMSle3ZNCt7UgcuW87GfQRTo3UE95juBnkc5Kk0mDHsaHFkd5aqi/l1SjY&#10;bsKuIvNZXD/C02vfp7Pec6fU4zKcXkB4Cv5f/OcudJy/TeH3mXiBPP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q4uX6wgAAANwAAAAPAAAAAAAAAAAAAAAAAJgCAABkcnMvZG93&#10;bnJldi54bWxQSwUGAAAAAAQABAD1AAAAhwMAAAAA&#10;" fillcolor="#7b92a8" strokecolor="#7b92a8" strokeweight="0"/>
                <v:rect id="Rectangle 34" o:spid="_x0000_s1058" style="position:absolute;left:47320;top:10203;width:2387;height:14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gDZDsEA&#10;AADcAAAADwAAAGRycy9kb3ducmV2LnhtbERP32vCMBB+H/g/hBP2NlOdTKmmIsJwb2Mqgm9Hczat&#10;zaU0sWb//TIY7O0+vp+33kTbioF6XztWMJ1kIIhLp2uuFJyO7y9LED4ga2wdk4Jv8rApRk9rzLV7&#10;8BcNh1CJFMI+RwUmhC6X0peGLPqJ64gTd3W9xZBgX0nd4yOF21bOsuxNWqw5NRjsaGeovB3uVgE2&#10;M9vOF3PTDOfg4iXu+f65V+p5HLcrEIFi+Bf/uT90mv+6gN9n0gWy+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4A2Q7BAAAA3AAAAA8AAAAAAAAAAAAAAAAAmAIAAGRycy9kb3du&#10;cmV2LnhtbFBLBQYAAAAABAAEAPUAAACGAwAAAAA=&#10;" fillcolor="aqua" strokecolor="aqua" strokeweight="0"/>
                <v:rect id="Rectangle 35" o:spid="_x0000_s1059" style="position:absolute;left:51333;top:8673;width:2413;height:110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HUE8MA&#10;AADcAAAADwAAAGRycy9kb3ducmV2LnhtbESPzYoCQQyE78K+Q5OFvYj2uILKaCu7guBp8e8BwnSc&#10;GZ1OD9Ottm+/OQjeEqpS9WWxSq5Rd+pC7dnAaJiBIi68rbk0cDpuBjNQISJbbDyTgScFWC0/egvM&#10;rX/wnu6HWCoJ4ZCjgSrGNtc6FBU5DEPfEot29p3DKGtXatvhQ8Jdo7+zbKId1iwNFba0rqi4Hm7O&#10;wHiUpkdyu+3tL/V/L5fJ0864NubrM/3MQUVK8W1+XW+t4I+FVp6RCf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DHUE8MAAADcAAAADwAAAAAAAAAAAAAAAACYAgAAZHJzL2Rv&#10;d25yZXYueG1sUEsFBgAAAAAEAAQA9QAAAIgDAAAAAA==&#10;" fillcolor="#7b92a8" strokecolor="#7b92a8" strokeweight="0"/>
                <v:rect id="Rectangle 36" o:spid="_x0000_s1060" style="position:absolute;left:51333;top:7174;width:2413;height:14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Po58IA&#10;AADcAAAADwAAAGRycy9kb3ducmV2LnhtbERP32vCMBB+F/Y/hBvsTdM50a0zlSGIexN1DPZ2NLem&#10;XXMpTazZf28Ewbf7+H7echVtKwbqfe1YwfMkA0FcOl1zpeDruBm/gvABWWPrmBT8k4dV8TBaYq7d&#10;mfc0HEIlUgj7HBWYELpcSl8asugnriNO3K/rLYYE+0rqHs8p3LZymmVzabHm1GCwo7Wh8u9wsgqw&#10;mdp2tpiZZvgOLv7ELZ92W6WeHuPHO4hAMdzFN/enTvNf3uD6TLpAFh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0+jnwgAAANwAAAAPAAAAAAAAAAAAAAAAAJgCAABkcnMvZG93&#10;bnJldi54bWxQSwUGAAAAAAQABAD1AAAAhwMAAAAA&#10;" fillcolor="aqua" strokecolor="aqua" strokeweight="0"/>
                <v:rect id="Rectangle 37" o:spid="_x0000_s1061" style="position:absolute;left:43281;top:3148;width:8471;height:116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GLsMA&#10;AADcAAAADwAAAGRycy9kb3ducmV2LnhtbESP3WoCMRCF74W+Q5hC7zRbKSJbo5SCoMUbVx9g2Mz+&#10;0GSyJKm7vn3nQvBuhnPmnG82u8k7daOY+sAG3hcFKOI62J5bA9fLfr4GlTKyRReYDNwpwW77Mttg&#10;acPIZ7pVuVUSwqlEA13OQ6l1qjvymBZhIBatCdFjljW22kYcJdw7vSyKlfbYszR0ONB3R/Vv9ecN&#10;6Eu1H9eVi0X4WTYndzycGwrGvL1OX5+gMk35aX5cH6zgfwi+PCMT6O0/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EGLsMAAADcAAAADwAAAAAAAAAAAAAAAACYAgAAZHJzL2Rv&#10;d25yZXYueG1sUEsFBgAAAAAEAAQA9QAAAIgDAAAAAA==&#10;" filled="f" stroked="f">
                  <v:textbox style="mso-fit-shape-to-text:t" inset="0,0,0,0">
                    <w:txbxContent>
                      <w:p w:rsidR="00B070BF" w:rsidRDefault="00B070BF" w:rsidP="00B070BF">
                        <w:r>
                          <w:rPr>
                            <w:color w:val="000000"/>
                            <w:sz w:val="16"/>
                            <w:szCs w:val="16"/>
                          </w:rPr>
                          <w:t>Datos del PCT (%)</w:t>
                        </w:r>
                      </w:p>
                    </w:txbxContent>
                  </v:textbox>
                </v:rect>
                <v:rect id="Rectangle 38" o:spid="_x0000_s1062" style="position:absolute;left:7226;top:4983;width:1981;height:116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T2jtb4A&#10;AADcAAAADwAAAGRycy9kb3ducmV2LnhtbERP24rCMBB9X/Afwgi+ramyLFKNIoKgiy9WP2BophdM&#10;JiWJtv69EYR9m8O5zmozWCMe5EPrWMFsmoEgLp1uuVZwvey/FyBCRNZoHJOCJwXYrEdfK8y16/lM&#10;jyLWIoVwyFFBE2OXSxnKhiyGqeuIE1c5bzEm6GupPfYp3Bo5z7JfabHl1NBgR7uGyltxtwrkpdj3&#10;i8L4zP3Nq5M5Hs4VOaUm42G7BBFpiP/ij/ug0/yfGbyfSRfI9Q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JE9o7W+AAAA3AAAAA8AAAAAAAAAAAAAAAAAmAIAAGRycy9kb3ducmV2&#10;LnhtbFBLBQYAAAAABAAEAPUAAACDAwAAAAA=&#10;" filled="f" stroked="f">
                  <v:textbox style="mso-fit-shape-to-text:t" inset="0,0,0,0">
                    <w:txbxContent>
                      <w:p w:rsidR="00B070BF" w:rsidRDefault="00B070BF" w:rsidP="00B070BF">
                        <w:r>
                          <w:rPr>
                            <w:color w:val="000000"/>
                            <w:sz w:val="16"/>
                            <w:szCs w:val="16"/>
                          </w:rPr>
                          <w:t>19,8</w:t>
                        </w:r>
                      </w:p>
                    </w:txbxContent>
                  </v:textbox>
                </v:rect>
                <v:rect id="Rectangle 39" o:spid="_x0000_s1063" style="position:absolute;left:11264;top:4983;width:1982;height:116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89wr8A&#10;AADcAAAADwAAAGRycy9kb3ducmV2LnhtbERP24rCMBB9F/yHMMK+aWqRRbpGEUFQ2RfrfsDQTC+Y&#10;TEoSbf17s7Cwb3M419nsRmvEk3zoHCtYLjIQxJXTHTcKfm7H+RpEiMgajWNS8KIAu+10ssFCu4Gv&#10;9CxjI1IIhwIVtDH2hZShasliWLieOHG18xZjgr6R2uOQwq2ReZZ9Sosdp4YWezq0VN3Lh1Ugb+Vx&#10;WJfGZ+6S19/mfLrW5JT6mI37LxCRxvgv/nOfdJq/yuH3mXSB3L4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h7z3CvwAAANwAAAAPAAAAAAAAAAAAAAAAAJgCAABkcnMvZG93bnJl&#10;di54bWxQSwUGAAAAAAQABAD1AAAAhAMAAAAA&#10;" filled="f" stroked="f">
                  <v:textbox style="mso-fit-shape-to-text:t" inset="0,0,0,0">
                    <w:txbxContent>
                      <w:p w:rsidR="00B070BF" w:rsidRDefault="00B070BF" w:rsidP="00B070BF">
                        <w:r>
                          <w:rPr>
                            <w:color w:val="000000"/>
                            <w:sz w:val="16"/>
                            <w:szCs w:val="16"/>
                          </w:rPr>
                          <w:t>19,0</w:t>
                        </w:r>
                      </w:p>
                    </w:txbxContent>
                  </v:textbox>
                </v:rect>
                <v:rect id="Rectangle 40" o:spid="_x0000_s1064" style="position:absolute;left:15271;top:4983;width:1981;height:116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qOYWb8A&#10;AADcAAAADwAAAGRycy9kb3ducmV2LnhtbERP24rCMBB9F/yHMIJvmqrLItUoIgi67IvVDxia6QWT&#10;SUmirX+/WVjYtzmc62z3gzXiRT60jhUs5hkI4tLplmsF99tptgYRIrJG45gUvCnAfjcebTHXrucr&#10;vYpYixTCIUcFTYxdLmUoG7IY5q4jTlzlvMWYoK+l9tincGvkMss+pcWWU0ODHR0bKh/F0yqQt+LU&#10;rwvjM/e1rL7N5XytyCk1nQyHDYhIQ/wX/7nPOs3/WMHvM+kCufs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Oo5hZvwAAANwAAAAPAAAAAAAAAAAAAAAAAJgCAABkcnMvZG93bnJl&#10;di54bWxQSwUGAAAAAAQABAD1AAAAhAMAAAAA&#10;" filled="f" stroked="f">
                  <v:textbox style="mso-fit-shape-to-text:t" inset="0,0,0,0">
                    <w:txbxContent>
                      <w:p w:rsidR="00B070BF" w:rsidRDefault="00B070BF" w:rsidP="00B070BF">
                        <w:r>
                          <w:rPr>
                            <w:color w:val="000000"/>
                            <w:sz w:val="16"/>
                            <w:szCs w:val="16"/>
                          </w:rPr>
                          <w:t>19,1</w:t>
                        </w:r>
                      </w:p>
                    </w:txbxContent>
                  </v:textbox>
                </v:rect>
                <v:rect id="Rectangle 41" o:spid="_x0000_s1065" style="position:absolute;left:19342;top:4983;width:1981;height:116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oALb4A&#10;AADcAAAADwAAAGRycy9kb3ducmV2LnhtbERP24rCMBB9X/Afwgi+rakii1SjiCC44ovVDxia6QWT&#10;SUmi7f69EYR9m8O5zno7WCOe5EPrWMFsmoEgLp1uuVZwux6+lyBCRNZoHJOCPwqw3Yy+1phr1/OF&#10;nkWsRQrhkKOCJsYulzKUDVkMU9cRJ65y3mJM0NdSe+xTuDVynmU/0mLLqaHBjvYNlffiYRXIa3Ho&#10;l4XxmTvNq7P5PV4qckpNxsNuBSLSEP/FH/dRp/mLBbyfSRfIzQ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IFKAC2+AAAA3AAAAA8AAAAAAAAAAAAAAAAAmAIAAGRycy9kb3ducmV2&#10;LnhtbFBLBQYAAAAABAAEAPUAAACDAwAAAAA=&#10;" filled="f" stroked="f">
                  <v:textbox style="mso-fit-shape-to-text:t" inset="0,0,0,0">
                    <w:txbxContent>
                      <w:p w:rsidR="00B070BF" w:rsidRDefault="00B070BF" w:rsidP="00B070BF">
                        <w:r>
                          <w:rPr>
                            <w:color w:val="000000"/>
                            <w:sz w:val="16"/>
                            <w:szCs w:val="16"/>
                          </w:rPr>
                          <w:t>19,1</w:t>
                        </w:r>
                      </w:p>
                    </w:txbxContent>
                  </v:textbox>
                </v:rect>
                <v:rect id="Rectangle 42" o:spid="_x0000_s1066" style="position:absolute;left:23355;top:4983;width:1981;height:116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galtr8A&#10;AADcAAAADwAAAGRycy9kb3ducmV2LnhtbERP24rCMBB9F/yHMIJvmiruItUoIgi67IvVDxia6QWT&#10;SUmirX+/WVjYtzmc62z3gzXiRT60jhUs5hkI4tLplmsF99tptgYRIrJG45gUvCnAfjcebTHXrucr&#10;vYpYixTCIUcFTYxdLmUoG7IY5q4jTlzlvMWYoK+l9tincGvkMss+pcWWU0ODHR0bKh/F0yqQt+LU&#10;rwvjM/e1rL7N5XytyCk1nQyHDYhIQ/wX/7nPOs1ffcDvM+kCufs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uBqW2vwAAANwAAAAPAAAAAAAAAAAAAAAAAJgCAABkcnMvZG93bnJl&#10;di54bWxQSwUGAAAAAAQABAD1AAAAhAMAAAAA&#10;" filled="f" stroked="f">
                  <v:textbox style="mso-fit-shape-to-text:t" inset="0,0,0,0">
                    <w:txbxContent>
                      <w:p w:rsidR="00B070BF" w:rsidRDefault="00B070BF" w:rsidP="00B070BF">
                        <w:r>
                          <w:rPr>
                            <w:color w:val="000000"/>
                            <w:sz w:val="16"/>
                            <w:szCs w:val="16"/>
                          </w:rPr>
                          <w:t>19,1</w:t>
                        </w:r>
                      </w:p>
                    </w:txbxContent>
                  </v:textbox>
                </v:rect>
                <v:rect id="Rectangle 43" o:spid="_x0000_s1067" style="position:absolute;left:27393;top:4983;width:1982;height:116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Q7wb4A&#10;AADcAAAADwAAAGRycy9kb3ducmV2LnhtbERP24rCMBB9X/Afwgi+rakiItUoIgiu+GL1A4ZmesFk&#10;UpJou39vhIV9m8O5zmY3WCNe5EPrWMFsmoEgLp1uuVZwvx2/VyBCRNZoHJOCXwqw246+Nphr1/OV&#10;XkWsRQrhkKOCJsYulzKUDVkMU9cRJ65y3mJM0NdSe+xTuDVynmVLabHl1NBgR4eGykfxtArkrTj2&#10;q8L4zJ3n1cX8nK4VOaUm42G/BhFpiP/iP/dJp/mLJXyeSRfI7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B7UO8G+AAAA3AAAAA8AAAAAAAAAAAAAAAAAmAIAAGRycy9kb3ducmV2&#10;LnhtbFBLBQYAAAAABAAEAPUAAACDAwAAAAA=&#10;" filled="f" stroked="f">
                  <v:textbox style="mso-fit-shape-to-text:t" inset="0,0,0,0">
                    <w:txbxContent>
                      <w:p w:rsidR="00B070BF" w:rsidRDefault="00B070BF" w:rsidP="00B070BF">
                        <w:r>
                          <w:rPr>
                            <w:color w:val="000000"/>
                            <w:sz w:val="16"/>
                            <w:szCs w:val="16"/>
                          </w:rPr>
                          <w:t>19,2</w:t>
                        </w:r>
                      </w:p>
                    </w:txbxContent>
                  </v:textbox>
                </v:rect>
                <v:rect id="Rectangle 44" o:spid="_x0000_s1068" style="position:absolute;left:31400;top:4983;width:1981;height:116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ZieWr8A&#10;AADcAAAADwAAAGRycy9kb3ducmV2LnhtbERP24rCMBB9F/yHMIJvmiqyK9UoIgi67IvVDxia6QWT&#10;SUmirX+/WVjYtzmc62z3gzXiRT60jhUs5hkI4tLplmsF99tptgYRIrJG45gUvCnAfjcebTHXrucr&#10;vYpYixTCIUcFTYxdLmUoG7IY5q4jTlzlvMWYoK+l9tincGvkMss+pMWWU0ODHR0bKh/F0yqQt+LU&#10;rwvjM/e1rL7N5XytyCk1nQyHDYhIQ/wX/7nPOs1ffcLvM+kCufs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xmJ5avwAAANwAAAAPAAAAAAAAAAAAAAAAAJgCAABkcnMvZG93bnJl&#10;di54bWxQSwUGAAAAAAQABAD1AAAAhAMAAAAA&#10;" filled="f" stroked="f">
                  <v:textbox style="mso-fit-shape-to-text:t" inset="0,0,0,0">
                    <w:txbxContent>
                      <w:p w:rsidR="00B070BF" w:rsidRDefault="00B070BF" w:rsidP="00B070BF">
                        <w:r>
                          <w:rPr>
                            <w:color w:val="000000"/>
                            <w:sz w:val="16"/>
                            <w:szCs w:val="16"/>
                          </w:rPr>
                          <w:t>19,3</w:t>
                        </w:r>
                      </w:p>
                    </w:txbxContent>
                  </v:textbox>
                </v:rect>
                <v:rect id="Rectangle 45" o:spid="_x0000_s1069" style="position:absolute;left:35471;top:4983;width:1981;height:116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cKKMMA&#10;AADcAAAADwAAAGRycy9kb3ducmV2LnhtbESP3WoCMRCF74W+Q5hC7zRbKSJbo5SCoMUbVx9g2Mz+&#10;0GSyJKm7vn3nQvBuhnPmnG82u8k7daOY+sAG3hcFKOI62J5bA9fLfr4GlTKyRReYDNwpwW77Mttg&#10;acPIZ7pVuVUSwqlEA13OQ6l1qjvymBZhIBatCdFjljW22kYcJdw7vSyKlfbYszR0ONB3R/Vv9ecN&#10;6Eu1H9eVi0X4WTYndzycGwrGvL1OX5+gMk35aX5cH6zgfwitPCMT6O0/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AcKKMMAAADcAAAADwAAAAAAAAAAAAAAAACYAgAAZHJzL2Rv&#10;d25yZXYueG1sUEsFBgAAAAAEAAQA9QAAAIgDAAAAAA==&#10;" filled="f" stroked="f">
                  <v:textbox style="mso-fit-shape-to-text:t" inset="0,0,0,0">
                    <w:txbxContent>
                      <w:p w:rsidR="00B070BF" w:rsidRDefault="00B070BF" w:rsidP="00B070BF">
                        <w:r>
                          <w:rPr>
                            <w:color w:val="000000"/>
                            <w:sz w:val="16"/>
                            <w:szCs w:val="16"/>
                          </w:rPr>
                          <w:t>15,0</w:t>
                        </w:r>
                      </w:p>
                    </w:txbxContent>
                  </v:textbox>
                </v:rect>
                <v:rect id="Rectangle 46" o:spid="_x0000_s1070" style="position:absolute;left:39477;top:4983;width:1982;height:116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0uvs78A&#10;AADcAAAADwAAAGRycy9kb3ducmV2LnhtbERP24rCMBB9X/Afwgi+rakii1ajiCCo7IvVDxia6QWT&#10;SUmytvv3RljYtzmc62x2gzXiST60jhXMphkI4tLplmsF99vxcwkiRGSNxjEp+KUAu+3oY4O5dj1f&#10;6VnEWqQQDjkqaGLscilD2ZDFMHUdceIq5y3GBH0ttcc+hVsj51n2JS22nBoa7OjQUPkofqwCeSuO&#10;/bIwPnOXefVtzqdrRU6pyXjYr0FEGuK/+M990mn+YgXvZ9IFcvs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vS6+zvwAAANwAAAAPAAAAAAAAAAAAAAAAAJgCAABkcnMvZG93bnJl&#10;di54bWxQSwUGAAAAAAQABAD1AAAAhAMAAAAA&#10;" filled="f" stroked="f">
                  <v:textbox style="mso-fit-shape-to-text:t" inset="0,0,0,0">
                    <w:txbxContent>
                      <w:p w:rsidR="00B070BF" w:rsidRDefault="00B070BF" w:rsidP="00B070BF">
                        <w:r>
                          <w:rPr>
                            <w:color w:val="000000"/>
                            <w:sz w:val="16"/>
                            <w:szCs w:val="16"/>
                          </w:rPr>
                          <w:t>15,1</w:t>
                        </w:r>
                      </w:p>
                    </w:txbxContent>
                  </v:textbox>
                </v:rect>
                <v:rect id="Rectangle 47" o:spid="_x0000_s1071" style="position:absolute;left:43516;top:4983;width:1981;height:116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6iQ88MA&#10;AADcAAAADwAAAGRycy9kb3ducmV2LnhtbESP3WoCMRCF74W+Q5hC7zRboSJbo5SCoMUbVx9g2Mz+&#10;0GSyJKm7vn3nQvBuhnPmnG82u8k7daOY+sAG3hcFKOI62J5bA9fLfr4GlTKyRReYDNwpwW77Mttg&#10;acPIZ7pVuVUSwqlEA13OQ6l1qjvymBZhIBatCdFjljW22kYcJdw7vSyKlfbYszR0ONB3R/Vv9ecN&#10;6Eu1H9eVi0X4WTYndzycGwrGvL1OX5+gMk35aX5cH6zgfwi+PCMT6O0/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6iQ88MAAADcAAAADwAAAAAAAAAAAAAAAACYAgAAZHJzL2Rv&#10;d25yZXYueG1sUEsFBgAAAAAEAAQA9QAAAIgDAAAAAA==&#10;" filled="f" stroked="f">
                  <v:textbox style="mso-fit-shape-to-text:t" inset="0,0,0,0">
                    <w:txbxContent>
                      <w:p w:rsidR="00B070BF" w:rsidRDefault="00B070BF" w:rsidP="00B070BF">
                        <w:r>
                          <w:rPr>
                            <w:color w:val="000000"/>
                            <w:sz w:val="16"/>
                            <w:szCs w:val="16"/>
                          </w:rPr>
                          <w:t>15,1</w:t>
                        </w:r>
                      </w:p>
                    </w:txbxContent>
                  </v:textbox>
                </v:rect>
                <v:rect id="Rectangle 48" o:spid="_x0000_s1072" style="position:absolute;left:47586;top:4983;width:1982;height:116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Q1aL4A&#10;AADcAAAADwAAAGRycy9kb3ducmV2LnhtbERP24rCMBB9X/Afwgi+ranCLlKNIoKgiy9WP2BophdM&#10;JiWJtv69EYR9m8O5zmozWCMe5EPrWMFsmoEgLp1uuVZwvey/FyBCRNZoHJOCJwXYrEdfK8y16/lM&#10;jyLWIoVwyFFBE2OXSxnKhiyGqeuIE1c5bzEm6GupPfYp3Bo5z7JfabHl1NBgR7uGyltxtwrkpdj3&#10;i8L4zP3Nq5M5Hs4VOaUm42G7BBFpiP/ij/ug0/yfGbyfSRfI9Q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BTkNWi+AAAA3AAAAA8AAAAAAAAAAAAAAAAAmAIAAGRycy9kb3ducmV2&#10;LnhtbFBLBQYAAAAABAAEAPUAAACDAwAAAAA=&#10;" filled="f" stroked="f">
                  <v:textbox style="mso-fit-shape-to-text:t" inset="0,0,0,0">
                    <w:txbxContent>
                      <w:p w:rsidR="00B070BF" w:rsidRDefault="00B070BF" w:rsidP="00B070BF">
                        <w:r>
                          <w:rPr>
                            <w:color w:val="000000"/>
                            <w:sz w:val="16"/>
                            <w:szCs w:val="16"/>
                          </w:rPr>
                          <w:t>15,2</w:t>
                        </w:r>
                      </w:p>
                    </w:txbxContent>
                  </v:textbox>
                </v:rect>
                <v:rect id="Rectangle 49" o:spid="_x0000_s1073" style="position:absolute;left:51593;top:4983;width:1981;height:116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DarH78A&#10;AADcAAAADwAAAGRycy9kb3ducmV2LnhtbERP24rCMBB9F/yHMMK+aWrBRbpGEUFQ2RfrfsDQTC+Y&#10;TEoSbf17s7Cwb3M419nsRmvEk3zoHCtYLjIQxJXTHTcKfm7H+RpEiMgajWNS8KIAu+10ssFCu4Gv&#10;9CxjI1IIhwIVtDH2hZShasliWLieOHG18xZjgr6R2uOQwq2ReZZ9Sosdp4YWezq0VN3Lh1Ugb+Vx&#10;WJfGZ+6S19/mfLrW5JT6mI37LxCRxvgv/nOfdJq/yuH3mXSB3L4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kNqsfvwAAANwAAAAPAAAAAAAAAAAAAAAAAJgCAABkcnMvZG93bnJl&#10;di54bWxQSwUGAAAAAAQABAD1AAAAhAMAAAAA&#10;" filled="f" stroked="f">
                  <v:textbox style="mso-fit-shape-to-text:t" inset="0,0,0,0">
                    <w:txbxContent>
                      <w:p w:rsidR="00B070BF" w:rsidRDefault="00B070BF" w:rsidP="00B070BF">
                        <w:r>
                          <w:rPr>
                            <w:color w:val="000000"/>
                            <w:sz w:val="16"/>
                            <w:szCs w:val="16"/>
                          </w:rPr>
                          <w:t>11,8</w:t>
                        </w:r>
                      </w:p>
                    </w:txbxContent>
                  </v:textbox>
                </v:rect>
                <v:line id="Line 50" o:spid="_x0000_s1074" style="position:absolute;flip:y;visibility:visible;mso-wrap-style:square" from="5778,4863" to="5784,197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9A+18UAAADcAAAADwAAAGRycy9kb3ducmV2LnhtbESPQU/DMAyF75P4D5EncZlYSgeoKssm&#10;QOo0uNHB3WpMWtY4VZJt5d+TSZN2s/Xe9/y8XI+2F0fyoXOs4H6egSBunO7YKPjaVXcFiBCRNfaO&#10;ScEfBVivbiZLLLU78Scd62hECuFQooI2xqGUMjQtWQxzNxAn7cd5izGt3kjt8ZTCbS/zLHuSFjtO&#10;F1oc6K2lZl8fbKrxviuKB/3hzevMVL/5d15tio1St9Px5RlEpDFezRd6qxP3uIDzM2kCufo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9A+18UAAADcAAAADwAAAAAAAAAA&#10;AAAAAAChAgAAZHJzL2Rvd25yZXYueG1sUEsFBgAAAAAEAAQA+QAAAJMDAAAAAA==&#10;" strokeweight=".25pt"/>
                <v:line id="Line 51" o:spid="_x0000_s1075" style="position:absolute;flip:x;visibility:visible;mso-wrap-style:square" from="5632,19754" to="5930,197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Dmmo8UAAADcAAAADwAAAGRycy9kb3ducmV2LnhtbESPQWsCMRCF7wX/QxihF6nZLirL1ii2&#10;sKK9qe192EyzWzeTJUl1+++NUOhthve+N2+W68F24kI+tI4VPE8zEMS10y0bBR+n6qkAESKyxs4x&#10;KfilAOvV6GGJpXZXPtDlGI1IIRxKVNDE2JdShrohi2HqeuKkfTlvMabVG6k9XlO47WSeZQtpseV0&#10;ocGe3hqqz8cfm2rsT0Ux0+/evE5M9Z1/5tW22Cr1OB42LyAiDfHf/EfvdOLmM7g/kyaQq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Dmmo8UAAADcAAAADwAAAAAAAAAA&#10;AAAAAAChAgAAZHJzL2Rvd25yZXYueG1sUEsFBgAAAAAEAAQA+QAAAJMDAAAAAA==&#10;" strokeweight=".25pt"/>
                <v:rect id="Rectangle 52" o:spid="_x0000_s1076" style="position:absolute;left:4070;top:19182;width:1416;height:116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98za74A&#10;AADcAAAADwAAAGRycy9kb3ducmV2LnhtbERP24rCMBB9X/Afwgi+ramCi1SjiCC44ovVDxia6QWT&#10;SUmi7f69EYR9m8O5zno7WCOe5EPrWMFsmoEgLp1uuVZwux6+lyBCRNZoHJOCPwqw3Yy+1phr1/OF&#10;nkWsRQrhkKOCJsYulzKUDVkMU9cRJ65y3mJM0NdSe+xTuDVynmU/0mLLqaHBjvYNlffiYRXIa3Ho&#10;l4XxmTvNq7P5PV4qckpNxsNuBSLSEP/FH/dRp/mLBbyfSRfIzQ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GvfM2u+AAAA3AAAAA8AAAAAAAAAAAAAAAAAmAIAAGRycy9kb3ducmV2&#10;LnhtbFBLBQYAAAAABAAEAPUAAACDAwAAAAA=&#10;" filled="f" stroked="f">
                  <v:textbox style="mso-fit-shape-to-text:t" inset="0,0,0,0">
                    <w:txbxContent>
                      <w:p w:rsidR="00B070BF" w:rsidRDefault="00B070BF" w:rsidP="00B070BF">
                        <w:r>
                          <w:rPr>
                            <w:color w:val="000000"/>
                            <w:sz w:val="16"/>
                            <w:szCs w:val="16"/>
                          </w:rPr>
                          <w:t>0,0</w:t>
                        </w:r>
                      </w:p>
                    </w:txbxContent>
                  </v:textbox>
                </v:rect>
                <v:line id="Line 53" o:spid="_x0000_s1077" style="position:absolute;flip:x;visibility:visible;mso-wrap-style:square" from="5632,17055" to="5930,170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6edT8UAAADcAAAADwAAAGRycy9kb3ducmV2LnhtbESPQWsCMRCF7wX/Qxihl1KzXVpZVqPY&#10;wkrbm1rvw2bMrm4mS5Lq9t83guBthve+N2/my8F24kw+tI4VvEwyEMS10y0bBT+76rkAESKyxs4x&#10;KfijAMvF6GGOpXYX3tB5G41IIRxKVNDE2JdShrohi2HieuKkHZy3GNPqjdQeLyncdjLPsqm02HK6&#10;0GBPHw3Vp+2vTTW+dkXxqr+9eX8y1THf59W6WCv1OB5WMxCRhng33+hPnbi3KVyfSRPIxT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6edT8UAAADcAAAADwAAAAAAAAAA&#10;AAAAAAChAgAAZHJzL2Rvd25yZXYueG1sUEsFBgAAAAAEAAQA+QAAAJMDAAAAAA==&#10;" strokeweight=".25pt"/>
                <v:rect id="Rectangle 54" o:spid="_x0000_s1078" style="position:absolute;left:4070;top:16515;width:1416;height:116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EEIh78A&#10;AADcAAAADwAAAGRycy9kb3ducmV2LnhtbERP24rCMBB9F/yHMIJvmiq4K9UoIgi67IvVDxia6QWT&#10;SUmirX+/WVjYtzmc62z3gzXiRT60jhUs5hkI4tLplmsF99tptgYRIrJG45gUvCnAfjcebTHXrucr&#10;vYpYixTCIUcFTYxdLmUoG7IY5q4jTlzlvMWYoK+l9tincGvkMss+pMWWU0ODHR0bKh/F0yqQt+LU&#10;rwvjM/e1rL7N5XytyCk1nQyHDYhIQ/wX/7nPOs1ffcLvM+kCufs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0QQiHvwAAANwAAAAPAAAAAAAAAAAAAAAAAJgCAABkcnMvZG93bnJl&#10;di54bWxQSwUGAAAAAAQABAD1AAAAhAMAAAAA&#10;" filled="f" stroked="f">
                  <v:textbox style="mso-fit-shape-to-text:t" inset="0,0,0,0">
                    <w:txbxContent>
                      <w:p w:rsidR="00B070BF" w:rsidRDefault="00B070BF" w:rsidP="00B070BF">
                        <w:r>
                          <w:rPr>
                            <w:color w:val="000000"/>
                            <w:sz w:val="16"/>
                            <w:szCs w:val="16"/>
                          </w:rPr>
                          <w:t>4,0</w:t>
                        </w:r>
                      </w:p>
                    </w:txbxContent>
                  </v:textbox>
                </v:rect>
                <v:line id="Line 55" o:spid="_x0000_s1079" style="position:absolute;flip:x;visibility:visible;mso-wrap-style:square" from="5632,14350" to="5930,143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XSspsQAAADcAAAADwAAAGRycy9kb3ducmV2LnhtbESPQU/DMAyF70j7D5EncUEspQJUdcum&#10;gdQJuLGxu9WYtKxxqiRs5d/jAxI3P/l9z8+rzeQHdaaY+sAG7hYFKOI22J6dgY9Dc1uBShnZ4hCY&#10;DPxQgs16drXC2oYLv9N5n52SEE41GuhyHmutU9uRx7QII7HsPkP0mEVGp23Ei4T7QZdF8ag99iwX&#10;OhzpuaP2tP/2UuP1UFX39i26pxvXfJXHstlVO2Ou59N2CSrTlP/Nf/SLFe5B2sozMoFe/w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xdKymxAAAANwAAAAPAAAAAAAAAAAA&#10;AAAAAKECAABkcnMvZG93bnJldi54bWxQSwUGAAAAAAQABAD5AAAAkgMAAAAA&#10;" strokeweight=".25pt"/>
                <v:rect id="Rectangle 56" o:spid="_x0000_s1080" style="position:absolute;left:4070;top:13810;width:1416;height:116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pI5br8A&#10;AADcAAAADwAAAGRycy9kb3ducmV2LnhtbERP24rCMBB9X/Afwgi+ramCi1ajiCCo7IvVDxia6QWT&#10;SUmytvv3RljYtzmc62x2gzXiST60jhXMphkI4tLplmsF99vxcwkiRGSNxjEp+KUAu+3oY4O5dj1f&#10;6VnEWqQQDjkqaGLscilD2ZDFMHUdceIq5y3GBH0ttcc+hVsj51n2JS22nBoa7OjQUPkofqwCeSuO&#10;/bIwPnOXefVtzqdrRU6pyXjYr0FEGuK/+M990mn+YgXvZ9IFcvs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qkjluvwAAANwAAAAPAAAAAAAAAAAAAAAAAJgCAABkcnMvZG93bnJl&#10;di54bWxQSwUGAAAAAAQABAD1AAAAhAMAAAAA&#10;" filled="f" stroked="f">
                  <v:textbox style="mso-fit-shape-to-text:t" inset="0,0,0,0">
                    <w:txbxContent>
                      <w:p w:rsidR="00B070BF" w:rsidRDefault="00B070BF" w:rsidP="00B070BF">
                        <w:r>
                          <w:rPr>
                            <w:color w:val="000000"/>
                            <w:sz w:val="16"/>
                            <w:szCs w:val="16"/>
                          </w:rPr>
                          <w:t>8,0</w:t>
                        </w:r>
                      </w:p>
                    </w:txbxContent>
                  </v:textbox>
                </v:rect>
                <v:line id="Line 57" o:spid="_x0000_s1081" style="position:absolute;flip:x;visibility:visible;mso-wrap-style:square" from="5632,11676" to="5930,116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W5qHcQAAADcAAAADwAAAGRycy9kb3ducmV2LnhtbESPQU/DMAyF70j7D5EncUEspUJTVZZN&#10;gNQJuLHB3Wq8tKNxqiRs3b+fD0jc/OT3PT+vNpMf1Ili6gMbeFgUoIjbYHt2Br72zX0FKmVki0Ng&#10;MnChBJv17GaFtQ1n/qTTLjslIZxqNNDlPNZap7Yjj2kRRmLZHUL0mEVGp23Es4T7QZdFsdQee5YL&#10;HY702lH7s/v1UuN9X1WP9iO6lzvXHMvvstlWW2Nu59PzE6hMU/43/9FvVril1JdnZAK9v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bmodxAAAANwAAAAPAAAAAAAAAAAA&#10;AAAAAKECAABkcnMvZG93bnJldi54bWxQSwUGAAAAAAQABAD5AAAAkgMAAAAA&#10;" strokeweight=".25pt"/>
                <v:rect id="Rectangle 58" o:spid="_x0000_s1082" style="position:absolute;left:3511;top:11105;width:1981;height:116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oj/1b4A&#10;AADcAAAADwAAAGRycy9kb3ducmV2LnhtbERPy6rCMBDdC/5DGOHuNNWFSDWKCIJX7sbqBwzN9IHJ&#10;pCTR9v69EQR3czjP2ewGa8STfGgdK5jPMhDEpdMt1wpu1+N0BSJEZI3GMSn4pwC77Xi0wVy7ni/0&#10;LGItUgiHHBU0MXa5lKFsyGKYuY44cZXzFmOCvpbaY5/CrZGLLFtKiy2nhgY7OjRU3ouHVSCvxbFf&#10;FcZn7ryo/szv6VKRU+pnMuzXICIN8Sv+uE86zV/O4f1MukBuX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NqI/9W+AAAA3AAAAA8AAAAAAAAAAAAAAAAAmAIAAGRycy9kb3ducmV2&#10;LnhtbFBLBQYAAAAABAAEAPUAAACDAwAAAAA=&#10;" filled="f" stroked="f">
                  <v:textbox style="mso-fit-shape-to-text:t" inset="0,0,0,0">
                    <w:txbxContent>
                      <w:p w:rsidR="00B070BF" w:rsidRDefault="00B070BF" w:rsidP="00B070BF">
                        <w:r>
                          <w:rPr>
                            <w:color w:val="000000"/>
                            <w:sz w:val="16"/>
                            <w:szCs w:val="16"/>
                          </w:rPr>
                          <w:t>12,0</w:t>
                        </w:r>
                      </w:p>
                    </w:txbxContent>
                  </v:textbox>
                </v:rect>
                <v:line id="Line 59" o:spid="_x0000_s1083" style="position:absolute;flip:x;visibility:visible;mso-wrap-style:square" from="5632,8978" to="5930,89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vBR8cQAAADcAAAADwAAAGRycy9kb3ducmV2LnhtbESPT2sCMRDF7wW/Qxihl6JZlyLL1igq&#10;rFhv9c992Eyz224mS5Lq+u2bgtDbDO/93rxZrAbbiSv50DpWMJtmIIhrp1s2Cs6nalKACBFZY+eY&#10;FNwpwGo5elpgqd2NP+h6jEakEA4lKmhi7EspQ92QxTB1PXHSPp23GNPqjdQebyncdjLPsrm02HK6&#10;0GBP24bq7+OPTTXeT0Xxqg/ebF5M9ZVf8mpX7JR6Hg/rNxCRhvhvftB7nbh5Dn/PpAnk8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e8FHxxAAAANwAAAAPAAAAAAAAAAAA&#10;AAAAAKECAABkcnMvZG93bnJldi54bWxQSwUGAAAAAAQABAD5AAAAkgMAAAAA&#10;" strokeweight=".25pt"/>
                <v:rect id="Rectangle 60" o:spid="_x0000_s1084" style="position:absolute;left:3511;top:8406;width:1981;height:116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bEOb4A&#10;AADcAAAADwAAAGRycy9kb3ducmV2LnhtbERP24rCMBB9X/Afwgi+rakKItUoIgiu+GL1A4ZmesFk&#10;UpJou39vhIV9m8O5zmY3WCNe5EPrWMFsmoEgLp1uuVZwvx2/VyBCRNZoHJOCXwqw246+Nphr1/OV&#10;XkWsRQrhkKOCJsYulzKUDVkMU9cRJ65y3mJM0NdSe+xTuDVynmVLabHl1NBgR4eGykfxtArkrTj2&#10;q8L4zJ3n1cX8nK4VOaUm42G/BhFpiP/iP/dJp/nLBXyeSRfI7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UWxDm+AAAA3AAAAA8AAAAAAAAAAAAAAAAAmAIAAGRycy9kb3ducmV2&#10;LnhtbFBLBQYAAAAABAAEAPUAAACDAwAAAAA=&#10;" filled="f" stroked="f">
                  <v:textbox style="mso-fit-shape-to-text:t" inset="0,0,0,0">
                    <w:txbxContent>
                      <w:p w:rsidR="00B070BF" w:rsidRDefault="00B070BF" w:rsidP="00B070BF">
                        <w:r>
                          <w:rPr>
                            <w:color w:val="000000"/>
                            <w:sz w:val="16"/>
                            <w:szCs w:val="16"/>
                          </w:rPr>
                          <w:t>16,0</w:t>
                        </w:r>
                      </w:p>
                    </w:txbxContent>
                  </v:textbox>
                </v:rect>
                <v:line id="Line 61" o:spid="_x0000_s1085" style="position:absolute;flip:x;visibility:visible;mso-wrap-style:square" from="5632,6273" to="5930,62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lVsHsQAAADcAAAADwAAAGRycy9kb3ducmV2LnhtbESPQWsCMRCF7wX/QxjBS6lZF5FlaxQV&#10;Vmxv1fY+bKbZrZvJkkRd/70pFHqb4b3vzZvlerCduJIPrWMFs2kGgrh2umWj4PNUvRQgQkTW2Dkm&#10;BXcKsF6NnpZYanfjD7oeoxEphEOJCpoY+1LKUDdkMUxdT5y0b+ctxrR6I7XHWwq3ncyzbCEttpwu&#10;NNjTrqH6fLzYVOPtVBRz/e7N9tlUP/lXXu2LvVKT8bB5BRFpiP/mP/qgE7eYw+8zaQK5e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VWwexAAAANwAAAAPAAAAAAAAAAAA&#10;AAAAAKECAABkcnMvZG93bnJldi54bWxQSwUGAAAAAAQABAD5AAAAkgMAAAAA&#10;" strokeweight=".25pt"/>
                <v:rect id="Rectangle 62" o:spid="_x0000_s1086" style="position:absolute;left:3511;top:5733;width:1981;height:116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P51r4A&#10;AADcAAAADwAAAGRycy9kb3ducmV2LnhtbERP24rCMBB9X/Afwgi+ramCItUoIgiu+GL1A4ZmesFk&#10;UpJou39vhIV9m8O5zmY3WCNe5EPrWMFsmoEgLp1uuVZwvx2/VyBCRNZoHJOCXwqw246+Nphr1/OV&#10;XkWsRQrhkKOCJsYulzKUDVkMU9cRJ65y3mJM0NdSe+xTuDVynmVLabHl1NBgR4eGykfxtArkrTj2&#10;q8L4zJ3n1cX8nK4VOaUm42G/BhFpiP/iP/dJp/nLBXyeSRfI7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KWz+da+AAAA3AAAAA8AAAAAAAAAAAAAAAAAmAIAAGRycy9kb3ducmV2&#10;LnhtbFBLBQYAAAAABAAEAPUAAACDAwAAAAA=&#10;" filled="f" stroked="f">
                  <v:textbox style="mso-fit-shape-to-text:t" inset="0,0,0,0">
                    <w:txbxContent>
                      <w:p w:rsidR="00B070BF" w:rsidRDefault="00B070BF" w:rsidP="00B070BF">
                        <w:r>
                          <w:rPr>
                            <w:color w:val="000000"/>
                            <w:sz w:val="16"/>
                            <w:szCs w:val="16"/>
                          </w:rPr>
                          <w:t>20,0</w:t>
                        </w:r>
                      </w:p>
                    </w:txbxContent>
                  </v:textbox>
                </v:rect>
                <v:line id="Line 64" o:spid="_x0000_s1087" style="position:absolute;visibility:visible;mso-wrap-style:square" from="5778,19754" to="54984,197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LADVMMAAADcAAAADwAAAGRycy9kb3ducmV2LnhtbERPS2vCQBC+F/wPywi91Y2CMUY3IlKx&#10;vbU+wOOQHZMl2dmQ3Wr677uFQm/z8T1nvRlsK+7Ue+NYwXSSgCAunTZcKTif9i8ZCB+QNbaOScE3&#10;edgUo6c15to9+JPux1CJGMI+RwV1CF0upS9rsugnriOO3M31FkOEfSV1j48Ybls5S5JUWjQcG2rs&#10;aFdT2Ry/rALzkR7m74vL8iJfD2F6zZrM2LNSz+NhuwIRaAj/4j/3m47z0wX8PhMvkMU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ywA1TDAAAA3AAAAA8AAAAAAAAAAAAA&#10;AAAAoQIAAGRycy9kb3ducmV2LnhtbFBLBQYAAAAABAAEAPkAAACRAwAAAAA=&#10;" strokeweight="0"/>
                <v:rect id="Rectangle 65" o:spid="_x0000_s1088" style="position:absolute;left:7404;top:20058;width:1809;height:116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7JWSMMA&#10;AADcAAAADwAAAGRycy9kb3ducmV2LnhtbESPzWoDMQyE74G8g1Ggt6y3OYSwiRNKIZCWXLLpA4i1&#10;9ofa8mK72e3bR4dCbxIzmvl0OM3eqQfFNAQ28FqUoIibYAfuDHzdz+sdqJSRLbrAZOCXEpyOy8UB&#10;KxsmvtGjzp2SEE4VGuhzHiutU9OTx1SEkVi0NkSPWdbYaRtxknDv9KYst9rjwNLQ40jvPTXf9Y83&#10;oO/1edrVLpbhc9Ne3cfl1lIw5mU1v+1BZZrzv/nv+mIFfyu08oxMoI9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7JWSMMAAADcAAAADwAAAAAAAAAAAAAAAACYAgAAZHJzL2Rv&#10;d25yZXYueG1sUEsFBgAAAAAEAAQA9QAAAIgDAAAAAA==&#10;" filled="f" stroked="f">
                  <v:textbox style="mso-fit-shape-to-text:t" inset="0,0,0,0">
                    <w:txbxContent>
                      <w:p w:rsidR="00B070BF" w:rsidRPr="004B799C" w:rsidRDefault="00B070BF" w:rsidP="00B070BF">
                        <w:r>
                          <w:rPr>
                            <w:color w:val="000000"/>
                            <w:sz w:val="16"/>
                            <w:szCs w:val="16"/>
                          </w:rPr>
                          <w:t>Ene</w:t>
                        </w:r>
                      </w:p>
                    </w:txbxContent>
                  </v:textbox>
                </v:rect>
                <v:rect id="Rectangle 66" o:spid="_x0000_s1089" style="position:absolute;left:11385;top:20058;width:1753;height:116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7z078A&#10;AADcAAAADwAAAGRycy9kb3ducmV2LnhtbERPzYrCMBC+L/gOYQRva6oHcatRRBBc8WL1AYZm+oPJ&#10;pCTRdt/eCMLe5uP7nfV2sEY8yYfWsYLZNANBXDrdcq3gdj18L0GEiKzROCYFfxRguxl9rTHXrucL&#10;PYtYixTCIUcFTYxdLmUoG7IYpq4jTlzlvMWYoK+l9tincGvkPMsW0mLLqaHBjvYNlffiYRXIa3Ho&#10;l4XxmTvNq7P5PV4qckpNxsNuBSLSEP/FH/dRp/mLH3g/ky6Qmx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k/vPTvwAAANwAAAAPAAAAAAAAAAAAAAAAAJgCAABkcnMvZG93bnJl&#10;di54bWxQSwUGAAAAAAQABAD1AAAAhAMAAAAA&#10;" filled="f" stroked="f">
                  <v:textbox style="mso-fit-shape-to-text:t" inset="0,0,0,0">
                    <w:txbxContent>
                      <w:p w:rsidR="00B070BF" w:rsidRDefault="00B070BF" w:rsidP="00B070BF">
                        <w:r>
                          <w:rPr>
                            <w:color w:val="000000"/>
                            <w:sz w:val="16"/>
                            <w:szCs w:val="16"/>
                          </w:rPr>
                          <w:t>Feb</w:t>
                        </w:r>
                      </w:p>
                    </w:txbxContent>
                  </v:textbox>
                </v:rect>
                <v:rect id="Rectangle 67" o:spid="_x0000_s1090" style="position:absolute;left:15424;top:20058;width:1752;height:116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3Mk8MA&#10;AADcAAAADwAAAGRycy9kb3ducmV2LnhtbESPT2sCMRDF70K/Q5hCb5qthypbo5SCoMWLqx9g2Mz+&#10;oclkSVJ3/fadg+Bthvfmvd9sdpN36kYx9YENvC8KUMR1sD23Bq6X/XwNKmVkiy4wGbhTgt32ZbbB&#10;0oaRz3SrcqskhFOJBrqch1LrVHfkMS3CQCxaE6LHLGtstY04Srh3elkUH9pjz9LQ4UDfHdW/1Z83&#10;oC/VflxXLhbhZ9mc3PFwbigY8/Y6fX2CyjTlp/lxfbCCvxJ8eUYm0N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B3Mk8MAAADcAAAADwAAAAAAAAAAAAAAAACYAgAAZHJzL2Rv&#10;d25yZXYueG1sUEsFBgAAAAAEAAQA9QAAAIgDAAAAAA==&#10;" filled="f" stroked="f">
                  <v:textbox style="mso-fit-shape-to-text:t" inset="0,0,0,0">
                    <w:txbxContent>
                      <w:p w:rsidR="00B070BF" w:rsidRDefault="00B070BF" w:rsidP="00B070BF">
                        <w:r>
                          <w:rPr>
                            <w:color w:val="000000"/>
                            <w:sz w:val="16"/>
                            <w:szCs w:val="16"/>
                          </w:rPr>
                          <w:t>Mar</w:t>
                        </w:r>
                      </w:p>
                    </w:txbxContent>
                  </v:textbox>
                </v:rect>
                <v:rect id="Rectangle 68" o:spid="_x0000_s1091" style="position:absolute;left:19488;top:20058;width:1581;height:116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1FpCL8A&#10;AADcAAAADwAAAGRycy9kb3ducmV2LnhtbERPzYrCMBC+L/gOYQRva6qHXalGEUHQxYvVBxia6Q8m&#10;k5JEW9/eCMLe5uP7ndVmsEY8yIfWsYLZNANBXDrdcq3getl/L0CEiKzROCYFTwqwWY++Vphr1/OZ&#10;HkWsRQrhkKOCJsYulzKUDVkMU9cRJ65y3mJM0NdSe+xTuDVynmU/0mLLqaHBjnYNlbfibhXIS7Hv&#10;F4XxmfubVydzPJwrckpNxsN2CSLSEP/FH/dBp/m/M3g/ky6Q6x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fUWkIvwAAANwAAAAPAAAAAAAAAAAAAAAAAJgCAABkcnMvZG93bnJl&#10;di54bWxQSwUGAAAAAAQABAD1AAAAhAMAAAAA&#10;" filled="f" stroked="f">
                  <v:textbox style="mso-fit-shape-to-text:t" inset="0,0,0,0">
                    <w:txbxContent>
                      <w:p w:rsidR="00B070BF" w:rsidRDefault="00B070BF" w:rsidP="00B070BF">
                        <w:r>
                          <w:rPr>
                            <w:color w:val="000000"/>
                            <w:sz w:val="16"/>
                            <w:szCs w:val="16"/>
                          </w:rPr>
                          <w:t>Abr</w:t>
                        </w:r>
                      </w:p>
                    </w:txbxContent>
                  </v:textbox>
                </v:rect>
                <v:rect id="Rectangle 69" o:spid="_x0000_s1092" style="position:absolute;left:23380;top:20058;width:1924;height:116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4P3f78A&#10;AADcAAAADwAAAGRycy9kb3ducmV2LnhtbERPzYrCMBC+C75DGGFvmtqDK12jiCCo7MW6DzA00x9M&#10;JiWJtr69WVjY23x8v7PZjdaIJ/nQOVawXGQgiCunO24U/NyO8zWIEJE1Gsek4EUBdtvpZIOFdgNf&#10;6VnGRqQQDgUqaGPsCylD1ZLFsHA9ceJq5y3GBH0jtcchhVsj8yxbSYsdp4YWezq0VN3Lh1Ugb+Vx&#10;WJfGZ+6S19/mfLrW5JT6mI37LxCRxvgv/nOfdJr/mcPvM+kCuX0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vg/d/vwAAANwAAAAPAAAAAAAAAAAAAAAAAJgCAABkcnMvZG93bnJl&#10;di54bWxQSwUGAAAAAAQABAD1AAAAhAMAAAAA&#10;" filled="f" stroked="f">
                  <v:textbox style="mso-fit-shape-to-text:t" inset="0,0,0,0">
                    <w:txbxContent>
                      <w:p w:rsidR="00B070BF" w:rsidRDefault="00B070BF" w:rsidP="00B070BF">
                        <w:r>
                          <w:rPr>
                            <w:color w:val="000000"/>
                            <w:sz w:val="16"/>
                            <w:szCs w:val="16"/>
                          </w:rPr>
                          <w:t>May</w:t>
                        </w:r>
                      </w:p>
                    </w:txbxContent>
                  </v:textbox>
                </v:rect>
                <v:rect id="Rectangle 70" o:spid="_x0000_s1093" style="position:absolute;left:27539;top:20058;width:1639;height:116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9S5L8A&#10;AADcAAAADwAAAGRycy9kb3ducmV2LnhtbERP24rCMBB9F/yHMIJvmqqwK9UoIgi67IvVDxia6QWT&#10;SUmirX+/WVjYtzmc62z3gzXiRT60jhUs5hkI4tLplmsF99tptgYRIrJG45gUvCnAfjcebTHXrucr&#10;vYpYixTCIUcFTYxdLmUoG7IY5q4jTlzlvMWYoK+l9tincGvkMss+pMWWU0ODHR0bKh/F0yqQt+LU&#10;rwvjM/e1rL7N5XytyCk1nQyHDYhIQ/wX/7nPOs3/XMHvM+kCufs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Az1LkvwAAANwAAAAPAAAAAAAAAAAAAAAAAJgCAABkcnMvZG93bnJl&#10;di54bWxQSwUGAAAAAAQABAD1AAAAhAMAAAAA&#10;" filled="f" stroked="f">
                  <v:textbox style="mso-fit-shape-to-text:t" inset="0,0,0,0">
                    <w:txbxContent>
                      <w:p w:rsidR="00B070BF" w:rsidRDefault="00B070BF" w:rsidP="00B070BF">
                        <w:r>
                          <w:rPr>
                            <w:color w:val="000000"/>
                            <w:sz w:val="16"/>
                            <w:szCs w:val="16"/>
                          </w:rPr>
                          <w:t>Jun</w:t>
                        </w:r>
                      </w:p>
                    </w:txbxContent>
                  </v:textbox>
                </v:rect>
                <v:rect id="Rectangle 71" o:spid="_x0000_s1094" style="position:absolute;left:31756;top:20058;width:1302;height:116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ybKkL8A&#10;AADcAAAADwAAAGRycy9kb3ducmV2LnhtbERP24rCMBB9F/yHMIJvmiqyK9UoIgi67IvVDxia6QWT&#10;SUmirX+/WVjYtzmc62z3gzXiRT60jhUs5hkI4tLplmsF99tptgYRIrJG45gUvCnAfjcebTHXrucr&#10;vYpYixTCIUcFTYxdLmUoG7IY5q4jTlzlvMWYoK+l9tincGvkMss+pMWWU0ODHR0bKh/F0yqQt+LU&#10;rwvjM/e1rL7N5XytyCk1nQyHDYhIQ/wX/7nPOs3/XMHvM+kCufs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PJsqQvwAAANwAAAAPAAAAAAAAAAAAAAAAAJgCAABkcnMvZG93bnJl&#10;di54bWxQSwUGAAAAAAQABAD1AAAAhAMAAAAA&#10;" filled="f" stroked="f">
                  <v:textbox style="mso-fit-shape-to-text:t" inset="0,0,0,0">
                    <w:txbxContent>
                      <w:p w:rsidR="00B070BF" w:rsidRDefault="00B070BF" w:rsidP="00B070BF">
                        <w:r>
                          <w:rPr>
                            <w:color w:val="000000"/>
                            <w:sz w:val="16"/>
                            <w:szCs w:val="16"/>
                          </w:rPr>
                          <w:t>Jul</w:t>
                        </w:r>
                      </w:p>
                    </w:txbxContent>
                  </v:textbox>
                </v:rect>
                <v:rect id="Rectangle 72" o:spid="_x0000_s1095" style="position:absolute;left:35528;top:20058;width:1810;height:116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pvC78A&#10;AADcAAAADwAAAGRycy9kb3ducmV2LnhtbERP24rCMBB9F/yHMIJvmiq4K9UoIgi67IvVDxia6QWT&#10;SUmirX+/WVjYtzmc62z3gzXiRT60jhUs5hkI4tLplmsF99tptgYRIrJG45gUvCnAfjcebTHXrucr&#10;vYpYixTCIUcFTYxdLmUoG7IY5q4jTlzlvMWYoK+l9tincGvkMss+pMWWU0ODHR0bKh/F0yqQt+LU&#10;rwvjM/e1rL7N5XytyCk1nQyHDYhIQ/wX/7nPOs3/XMHvM+kCufs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gam8LvwAAANwAAAAPAAAAAAAAAAAAAAAAAJgCAABkcnMvZG93bnJl&#10;di54bWxQSwUGAAAAAAQABAD1AAAAhAMAAAAA&#10;" filled="f" stroked="f">
                  <v:textbox style="mso-fit-shape-to-text:t" inset="0,0,0,0">
                    <w:txbxContent>
                      <w:p w:rsidR="00B070BF" w:rsidRDefault="00B070BF" w:rsidP="00B070BF">
                        <w:r>
                          <w:rPr>
                            <w:color w:val="000000"/>
                            <w:sz w:val="16"/>
                            <w:szCs w:val="16"/>
                          </w:rPr>
                          <w:t>Ago</w:t>
                        </w:r>
                      </w:p>
                    </w:txbxContent>
                  </v:textbox>
                </v:rect>
                <v:rect id="Rectangle 73" o:spid="_x0000_s1096" style="position:absolute;left:39566;top:20058;width:2096;height:116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LjxfL8A&#10;AADcAAAADwAAAGRycy9kb3ducmV2LnhtbERPzYrCMBC+L/gOYQRva6oHV6pRRBBc8WL1AYZm+oPJ&#10;pCTRdt/eCMLe5uP7nfV2sEY8yYfWsYLZNANBXDrdcq3gdj18L0GEiKzROCYFfxRguxl9rTHXrucL&#10;PYtYixTCIUcFTYxdLmUoG7IYpq4jTlzlvMWYoK+l9tincGvkPMsW0mLLqaHBjvYNlffiYRXIa3Ho&#10;l4XxmTvNq7P5PV4qckpNxsNuBSLSEP/FH/dRp/k/C3g/ky6Qmx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QuPF8vwAAANwAAAAPAAAAAAAAAAAAAAAAAJgCAABkcnMvZG93bnJl&#10;di54bWxQSwUGAAAAAAQABAD1AAAAhAMAAAAA&#10;" filled="f" stroked="f">
                  <v:textbox style="mso-fit-shape-to-text:t" inset="0,0,0,0">
                    <w:txbxContent>
                      <w:p w:rsidR="00B070BF" w:rsidRDefault="00B070BF" w:rsidP="00B070BF">
                        <w:r>
                          <w:rPr>
                            <w:color w:val="000000"/>
                            <w:sz w:val="16"/>
                            <w:szCs w:val="16"/>
                          </w:rPr>
                          <w:t>Sept</w:t>
                        </w:r>
                      </w:p>
                    </w:txbxContent>
                  </v:textbox>
                </v:rect>
                <v:rect id="Rectangle 74" o:spid="_x0000_s1097" style="position:absolute;left:43694;top:20058;width:1581;height:116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U578A&#10;AADcAAAADwAAAGRycy9kb3ducmV2LnhtbERPzYrCMBC+L/gOYQRva6oHlWoUEQRXvFh9gKGZ/mAy&#10;KUm03bc3wsLe5uP7nc1usEa8yIfWsYLZNANBXDrdcq3gfjt+r0CEiKzROCYFvxRgtx19bTDXrucr&#10;vYpYixTCIUcFTYxdLmUoG7IYpq4jTlzlvMWYoK+l9tincGvkPMsW0mLLqaHBjg4NlY/iaRXIW3Hs&#10;V4XxmTvPq4v5OV0rckpNxsN+DSLSEP/Ff+6TTvOXS/g8ky6Q2z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9FTnvwAAANwAAAAPAAAAAAAAAAAAAAAAAJgCAABkcnMvZG93bnJl&#10;di54bWxQSwUGAAAAAAQABAD1AAAAhAMAAAAA&#10;" filled="f" stroked="f">
                  <v:textbox style="mso-fit-shape-to-text:t" inset="0,0,0,0">
                    <w:txbxContent>
                      <w:p w:rsidR="00B070BF" w:rsidRDefault="00B070BF" w:rsidP="00B070BF">
                        <w:r>
                          <w:rPr>
                            <w:color w:val="000000"/>
                            <w:sz w:val="16"/>
                            <w:szCs w:val="16"/>
                          </w:rPr>
                          <w:t>Oct</w:t>
                        </w:r>
                      </w:p>
                    </w:txbxContent>
                  </v:textbox>
                </v:rect>
                <v:rect id="Rectangle 75" o:spid="_x0000_s1098" style="position:absolute;left:47618;top:20058;width:1810;height:116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vAlcMA&#10;AADcAAAADwAAAGRycy9kb3ducmV2LnhtbESPT2sCMRDF70K/Q5hCb5qthypbo5SCoMWLqx9g2Mz+&#10;oclkSVJ3/fadg+Bthvfmvd9sdpN36kYx9YENvC8KUMR1sD23Bq6X/XwNKmVkiy4wGbhTgt32ZbbB&#10;0oaRz3SrcqskhFOJBrqch1LrVHfkMS3CQCxaE6LHLGtstY04Srh3elkUH9pjz9LQ4UDfHdW/1Z83&#10;oC/VflxXLhbhZ9mc3PFwbigY8/Y6fX2CyjTlp/lxfbCCvxJaeUYm0N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mvAlcMAAADcAAAADwAAAAAAAAAAAAAAAACYAgAAZHJzL2Rv&#10;d25yZXYueG1sUEsFBgAAAAAEAAQA9QAAAIgDAAAAAA==&#10;" filled="f" stroked="f">
                  <v:textbox style="mso-fit-shape-to-text:t" inset="0,0,0,0">
                    <w:txbxContent>
                      <w:p w:rsidR="00B070BF" w:rsidRDefault="00B070BF" w:rsidP="00B070BF">
                        <w:r>
                          <w:rPr>
                            <w:color w:val="000000"/>
                            <w:sz w:val="16"/>
                            <w:szCs w:val="16"/>
                          </w:rPr>
                          <w:t>Nov</w:t>
                        </w:r>
                      </w:p>
                    </w:txbxContent>
                  </v:textbox>
                </v:rect>
                <v:rect id="Rectangle 76" o:spid="_x0000_s1099" style="position:absolute;left:51657;top:20058;width:1473;height:116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dlDr8A&#10;AADcAAAADwAAAGRycy9kb3ducmV2LnhtbERPzYrCMBC+L/gOYQRva6oHV6tRRBBU9mL1AYZm+oPJ&#10;pCRZ2317IyzsbT6+39nsBmvEk3xoHSuYTTMQxKXTLdcK7rfj5xJEiMgajWNS8EsBdtvRxwZz7Xq+&#10;0rOItUghHHJU0MTY5VKGsiGLYeo64sRVzluMCfpaao99CrdGzrNsIS22nBoa7OjQUPkofqwCeSuO&#10;/bIwPnOXefVtzqdrRU6pyXjYr0FEGuK/+M990mn+1wrez6QL5PY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hJ2UOvwAAANwAAAAPAAAAAAAAAAAAAAAAAJgCAABkcnMvZG93bnJl&#10;di54bWxQSwUGAAAAAAQABAD1AAAAhAMAAAAA&#10;" filled="f" stroked="f">
                  <v:textbox style="mso-fit-shape-to-text:t" inset="0,0,0,0">
                    <w:txbxContent>
                      <w:p w:rsidR="00B070BF" w:rsidRDefault="00B070BF" w:rsidP="00B070BF">
                        <w:r>
                          <w:rPr>
                            <w:color w:val="000000"/>
                            <w:sz w:val="16"/>
                            <w:szCs w:val="16"/>
                          </w:rPr>
                          <w:t>Dic</w:t>
                        </w:r>
                      </w:p>
                    </w:txbxContent>
                  </v:textbox>
                </v:rect>
                <v:rect id="Rectangle 77" o:spid="_x0000_s1100" style="position:absolute;left:23355;top:1135;width:24276;height:13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i8tMMA&#10;AADcAAAADwAAAGRycy9kb3ducmV2LnhtbESPzWoDMQyE74G8g1Ght8TbHMKyjRNKIZCGXLLpA4i1&#10;9ofa8mI72e3bR4dCbxIzmvm0O8zeqQfFNAQ28LYuQBE3wQ7cGfi+HVclqJSRLbrAZOCXEhz2y8UO&#10;KxsmvtKjzp2SEE4VGuhzHiutU9OTx7QOI7FobYges6yx0zbiJOHe6U1RbLXHgaWhx5E+e2p+6rs3&#10;oG/1cSprF4tw3rQX93W6thSMeX2ZP95BZZrzv/nv+mQFvxR8eUYm0P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ci8tMMAAADcAAAADwAAAAAAAAAAAAAAAACYAgAAZHJzL2Rv&#10;d25yZXYueG1sUEsFBgAAAAAEAAQA9QAAAIgDAAAAAA==&#10;" filled="f" stroked="f">
                  <v:textbox style="mso-fit-shape-to-text:t" inset="0,0,0,0">
                    <w:txbxContent>
                      <w:p w:rsidR="00B070BF" w:rsidRPr="007146F1" w:rsidRDefault="00B070BF" w:rsidP="00B070BF">
                        <w:r w:rsidRPr="007146F1">
                          <w:rPr>
                            <w:color w:val="000000"/>
                            <w:sz w:val="18"/>
                            <w:szCs w:val="18"/>
                          </w:rPr>
                          <w:t xml:space="preserve">Datos registrados en Patentscope </w:t>
                        </w:r>
                        <w:r>
                          <w:rPr>
                            <w:color w:val="000000"/>
                            <w:sz w:val="18"/>
                            <w:szCs w:val="18"/>
                          </w:rPr>
                          <w:t xml:space="preserve">durante </w:t>
                        </w:r>
                        <w:r w:rsidRPr="007146F1">
                          <w:rPr>
                            <w:color w:val="000000"/>
                            <w:sz w:val="18"/>
                            <w:szCs w:val="18"/>
                          </w:rPr>
                          <w:t>2012</w:t>
                        </w:r>
                      </w:p>
                    </w:txbxContent>
                  </v:textbox>
                </v:rect>
                <v:rect id="Rectangle 78" o:spid="_x0000_s1101" style="position:absolute;left:24739;top:3479;width:1384;height:5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S0acAA&#10;AADcAAAADwAAAGRycy9kb3ducmV2LnhtbERPzYrCMBC+L/gOYQQvi6Z1QUs1igqCJ3HVBxiasa02&#10;k9JEjW9vFoS9zcf3O/NlMI14UOdqywrSUQKCuLC65lLB+bQdZiCcR9bYWCYFL3KwXPS+5phr++Rf&#10;ehx9KWIIuxwVVN63uZSuqMigG9mWOHIX2xn0EXal1B0+Y7hp5DhJJtJgzbGhwpY2FRW3490o+EnD&#10;9ETmsLvvw/f6ep28dMa1UoN+WM1AeAr+X/xx73Scn6Xw90y8QC7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rS0acAAAADcAAAADwAAAAAAAAAAAAAAAACYAgAAZHJzL2Rvd25y&#10;ZXYueG1sUEsFBgAAAAAEAAQA9QAAAIUDAAAAAA==&#10;" fillcolor="#7b92a8" strokecolor="#7b92a8" strokeweight="0"/>
                <v:rect id="Rectangle 79" o:spid="_x0000_s1102" style="position:absolute;left:32048;top:3479;width:1384;height:5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izccEA&#10;AADcAAAADwAAAGRycy9kb3ducmV2LnhtbERP32vCMBB+H+x/CDfwbaYWcaUzigyGvg2dCHs7mrOp&#10;NpfSxJr990YQfLuP7+fNl9G2YqDeN44VTMYZCOLK6YZrBfvf7/cChA/IGlvHpOCfPCwXry9zLLW7&#10;8paGXahFCmFfogITQldK6StDFv3YdcSJO7reYkiwr6Xu8ZrCbSvzLJtJiw2nBoMdfRmqzruLVYCn&#10;3LbTj6k5DYfg4l9c8+VnrdToLa4+QQSK4Sl+uDc6zS9yuD+TLpCLG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3Is3HBAAAA3AAAAA8AAAAAAAAAAAAAAAAAmAIAAGRycy9kb3du&#10;cmV2LnhtbFBLBQYAAAAABAAEAPUAAACGAwAAAAA=&#10;" fillcolor="aqua" strokecolor="aqua" strokeweight="0"/>
                <v:rect id="Rectangle 80" o:spid="_x0000_s1103" style="position:absolute;left:26568;top:3180;width:2489;height:116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Roiw78A&#10;AADcAAAADwAAAGRycy9kb3ducmV2LnhtbERP24rCMBB9X/Afwgi+rakuLKVrFBEEXXyx7gcMzfSC&#10;yaQk0da/N4Kwb3M411ltRmvEnXzoHCtYzDMQxJXTHTcK/i77zxxEiMgajWNS8KAAm/XkY4WFdgOf&#10;6V7GRqQQDgUqaGPsCylD1ZLFMHc9ceJq5y3GBH0jtcchhVsjl1n2LS12nBpa7GnXUnUtb1aBvJT7&#10;IS+Nz9zvsj6Z4+Fck1NqNh23PyAijfFf/HYfdJqff8HrmXSBXD8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1GiLDvwAAANwAAAAPAAAAAAAAAAAAAAAAAJgCAABkcnMvZG93bnJl&#10;di54bWxQSwUGAAAAAAQABAD1AAAAhAMAAAAA&#10;" filled="f" stroked="f">
                  <v:textbox style="mso-fit-shape-to-text:t" inset="0,0,0,0">
                    <w:txbxContent>
                      <w:p w:rsidR="00B070BF" w:rsidRDefault="00B070BF" w:rsidP="00B070BF">
                        <w:r>
                          <w:rPr>
                            <w:color w:val="000000"/>
                            <w:sz w:val="16"/>
                            <w:szCs w:val="16"/>
                          </w:rPr>
                          <w:t>Otros</w:t>
                        </w:r>
                      </w:p>
                    </w:txbxContent>
                  </v:textbox>
                </v:rect>
                <v:rect id="Rectangle 81" o:spid="_x0000_s1104" style="position:absolute;left:33677;top:3179;width:3651;height:11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P3wMMA&#10;AADcAAAADwAAAGRycy9kb3ducmV2LnhtbERPTWvCQBC9F/wPywheim4qpcToKiIIHoRi9KC3ITtm&#10;o9nZkN2a2F/fLRR6m8f7nMWqt7V4UOsrxwreJgkI4sLpiksFp+N2nILwAVlj7ZgUPMnDajl4WWCm&#10;XccHeuShFDGEfYYKTAhNJqUvDFn0E9cQR+7qWoshwraUusUuhttaTpPkQ1qsODYYbGhjqLjnX1bB&#10;9vNcEX/Lw+ss7dytmF5ys2+UGg379RxEoD78i//cOx3np+/w+0y8QC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nP3wMMAAADcAAAADwAAAAAAAAAAAAAAAACYAgAAZHJzL2Rv&#10;d25yZXYueG1sUEsFBgAAAAAEAAQA9QAAAIgDAAAAAA==&#10;" filled="f" stroked="f">
                  <v:textbox style="mso-fit-shape-to-text:t" inset="0,0,0,0">
                    <w:txbxContent>
                      <w:p w:rsidR="00B070BF" w:rsidRDefault="00B070BF" w:rsidP="00B070BF">
                        <w:r>
                          <w:rPr>
                            <w:color w:val="000000"/>
                            <w:sz w:val="16"/>
                            <w:szCs w:val="16"/>
                          </w:rPr>
                          <w:t xml:space="preserve">PCT      </w:t>
                        </w:r>
                      </w:p>
                    </w:txbxContent>
                  </v:textbox>
                </v:rect>
                <v:shape id="Picture 279" o:spid="_x0000_s1105" type="#_x0000_t75" style="position:absolute;top:7173;width:58266;height:1200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4fP5HFAAAA3AAAAA8AAABkcnMvZG93bnJldi54bWxEj09rwkAUxO8Fv8PyBG+6UdTa1I2IIPRg&#10;wfrn0Nsj+5rE7L4N2a1Jv323IPQ4zMxvmPWmt0bcqfWVYwXTSQKCOHe64kLB5bwfr0D4gKzROCYF&#10;P+Rhkw2e1phq1/EH3U+hEBHCPkUFZQhNKqXPS7LoJ64hjt6Xay2GKNtC6ha7CLdGzpJkKS1WHBdK&#10;bGhXUl6fvq2Cq50v9NaYW8Ik95+H925X1EelRsN++woiUB/+w4/2m1Ywe36BvzPxCMjsF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eHz+RxQAAANwAAAAPAAAAAAAAAAAAAAAA&#10;AJ8CAABkcnMvZG93bnJldi54bWxQSwUGAAAAAAQABAD3AAAAkQMAAAAA&#10;">
                  <v:imagedata r:id="rId65" o:title=""/>
                  <v:path arrowok="t"/>
                </v:shape>
                <w10:anchorlock/>
              </v:group>
            </w:pict>
          </mc:Fallback>
        </mc:AlternateContent>
      </w:r>
    </w:p>
    <w:p w:rsidR="00B070BF" w:rsidRPr="009577DE" w:rsidRDefault="00B070BF" w:rsidP="00B070BF">
      <w:pPr>
        <w:widowControl w:val="0"/>
        <w:autoSpaceDE w:val="0"/>
        <w:autoSpaceDN w:val="0"/>
        <w:adjustRightInd w:val="0"/>
        <w:jc w:val="both"/>
        <w:rPr>
          <w:bCs/>
          <w:sz w:val="20"/>
          <w:lang w:val="en-US"/>
        </w:rPr>
      </w:pPr>
    </w:p>
    <w:p w:rsidR="00B070BF" w:rsidRPr="009577DE" w:rsidRDefault="00B070BF" w:rsidP="00B070BF">
      <w:pPr>
        <w:widowControl w:val="0"/>
        <w:numPr>
          <w:ilvl w:val="0"/>
          <w:numId w:val="30"/>
        </w:numPr>
        <w:autoSpaceDE w:val="0"/>
        <w:autoSpaceDN w:val="0"/>
        <w:adjustRightInd w:val="0"/>
        <w:jc w:val="both"/>
        <w:rPr>
          <w:bCs/>
          <w:sz w:val="20"/>
        </w:rPr>
      </w:pPr>
      <w:r w:rsidRPr="009577DE">
        <w:rPr>
          <w:bCs/>
          <w:sz w:val="20"/>
        </w:rPr>
        <w:t>La base mundial de datos sobre marcas se puso en marcha en 2012 con los sistemas de Madrid y Lisboa y las colecciones sobre el Artículo 6ter y registró a lo largo de ese año un constante ascenso del número de visitantes, que pasó de los 9.000 a los 13.000 usuarios por trimestre.  Además, se inició el proceso de incorporación de colecciones con tres colecciones nacionales.  El año 2012 fue testigo de un considerable incremento en el número de datos que alberga el sistema, pasando de los 700.000 a los dos millones registros.</w:t>
      </w:r>
    </w:p>
    <w:p w:rsidR="00B070BF" w:rsidRPr="009577DE" w:rsidRDefault="00B070BF" w:rsidP="00B070BF">
      <w:pPr>
        <w:widowControl w:val="0"/>
        <w:jc w:val="both"/>
        <w:rPr>
          <w:bCs/>
          <w:sz w:val="20"/>
        </w:rPr>
      </w:pPr>
    </w:p>
    <w:p w:rsidR="00B070BF" w:rsidRPr="009577DE" w:rsidRDefault="00B070BF" w:rsidP="00B070BF">
      <w:pPr>
        <w:widowControl w:val="0"/>
        <w:jc w:val="both"/>
        <w:rPr>
          <w:bCs/>
          <w:sz w:val="20"/>
        </w:rPr>
      </w:pPr>
    </w:p>
    <w:p w:rsidR="00B070BF" w:rsidRPr="009577DE" w:rsidRDefault="00B070BF" w:rsidP="00B070BF">
      <w:pPr>
        <w:widowControl w:val="0"/>
        <w:jc w:val="both"/>
        <w:rPr>
          <w:bCs/>
          <w:sz w:val="20"/>
          <w:lang w:val="pt-BR"/>
        </w:rPr>
      </w:pPr>
      <w:r w:rsidRPr="009577DE">
        <w:rPr>
          <w:bCs/>
          <w:sz w:val="20"/>
          <w:lang w:val="es-ES_tradnl"/>
        </w:rPr>
        <w:t>APLICACIÓN DE LA AGENDA PARA EL DESARROLLO</w:t>
      </w:r>
      <w:r w:rsidRPr="009577DE">
        <w:rPr>
          <w:bCs/>
          <w:sz w:val="20"/>
          <w:lang w:val="pt-BR"/>
        </w:rPr>
        <w:t xml:space="preserve"> </w:t>
      </w:r>
    </w:p>
    <w:p w:rsidR="00B070BF" w:rsidRPr="009577DE" w:rsidRDefault="00B070BF" w:rsidP="00B070BF">
      <w:pPr>
        <w:widowControl w:val="0"/>
        <w:autoSpaceDE w:val="0"/>
        <w:autoSpaceDN w:val="0"/>
        <w:adjustRightInd w:val="0"/>
        <w:jc w:val="both"/>
        <w:rPr>
          <w:b/>
          <w:bCs/>
          <w:sz w:val="20"/>
          <w:lang w:val="es-ES_tradnl"/>
        </w:rPr>
      </w:pPr>
    </w:p>
    <w:p w:rsidR="00B070BF" w:rsidRPr="009577DE" w:rsidRDefault="00B070BF" w:rsidP="00B070BF">
      <w:pPr>
        <w:widowControl w:val="0"/>
        <w:numPr>
          <w:ilvl w:val="0"/>
          <w:numId w:val="30"/>
        </w:numPr>
        <w:jc w:val="both"/>
        <w:rPr>
          <w:sz w:val="20"/>
          <w:lang w:val="es-ES_tradnl"/>
        </w:rPr>
      </w:pPr>
      <w:r w:rsidRPr="009577DE">
        <w:rPr>
          <w:iCs/>
          <w:sz w:val="20"/>
          <w:lang w:val="es-ES_tradnl"/>
        </w:rPr>
        <w:t>Este programa siguió contribuyendo a las recomendaciones 24 y 31 de la Agenda para el Desarrollo, colmando la brecha digital y facilitando un mayor acceso a la información publicada sobre patentes mediante el constante aumento de los datos sobre P.I. disponibles para consulta y la ampliación de las funciones de apoyo a otros idiomas.</w:t>
      </w:r>
    </w:p>
    <w:p w:rsidR="00B070BF" w:rsidRPr="009577DE" w:rsidRDefault="00B070BF" w:rsidP="00B070BF">
      <w:pPr>
        <w:widowControl w:val="0"/>
        <w:jc w:val="both"/>
        <w:rPr>
          <w:sz w:val="20"/>
          <w:lang w:val="es-ES_tradnl"/>
        </w:rPr>
      </w:pPr>
    </w:p>
    <w:p w:rsidR="00B070BF" w:rsidRPr="009577DE" w:rsidRDefault="00B070BF" w:rsidP="00B070BF">
      <w:pPr>
        <w:widowControl w:val="0"/>
        <w:jc w:val="both"/>
        <w:rPr>
          <w:sz w:val="20"/>
          <w:lang w:val="es-ES_tradnl"/>
        </w:rPr>
      </w:pPr>
    </w:p>
    <w:p w:rsidR="00B070BF" w:rsidRPr="00CB3668" w:rsidRDefault="00B070BF" w:rsidP="00B070BF">
      <w:pPr>
        <w:keepNext/>
        <w:widowControl w:val="0"/>
        <w:jc w:val="both"/>
        <w:rPr>
          <w:bCs/>
          <w:sz w:val="20"/>
          <w:lang w:val="es-ES_tradnl"/>
        </w:rPr>
      </w:pPr>
      <w:r w:rsidRPr="00CB3668">
        <w:rPr>
          <w:bCs/>
          <w:sz w:val="20"/>
          <w:lang w:val="es-ES_tradnl"/>
        </w:rPr>
        <w:t>DATOS SOBRE EL RENDIMIENTO</w:t>
      </w:r>
    </w:p>
    <w:p w:rsidR="00B070BF" w:rsidRPr="009577DE" w:rsidRDefault="00B070BF" w:rsidP="00B070BF">
      <w:pPr>
        <w:widowControl w:val="0"/>
        <w:rPr>
          <w:sz w:val="20"/>
          <w:lang w:val="es-ES_tradnl"/>
        </w:rPr>
      </w:pPr>
    </w:p>
    <w:tbl>
      <w:tblPr>
        <w:tblW w:w="5000" w:type="pct"/>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950"/>
        <w:gridCol w:w="1565"/>
        <w:gridCol w:w="1819"/>
        <w:gridCol w:w="3158"/>
        <w:gridCol w:w="1079"/>
      </w:tblGrid>
      <w:tr w:rsidR="00B070BF" w:rsidRPr="009577DE" w:rsidTr="00C33D4A">
        <w:trPr>
          <w:cantSplit/>
        </w:trPr>
        <w:tc>
          <w:tcPr>
            <w:tcW w:w="5000" w:type="pct"/>
            <w:gridSpan w:val="5"/>
            <w:tcBorders>
              <w:top w:val="single" w:sz="4" w:space="0" w:color="auto"/>
              <w:left w:val="single" w:sz="4" w:space="0" w:color="auto"/>
              <w:bottom w:val="single" w:sz="4" w:space="0" w:color="auto"/>
              <w:right w:val="single" w:sz="4" w:space="0" w:color="auto"/>
            </w:tcBorders>
            <w:shd w:val="clear" w:color="auto" w:fill="CCFFFF"/>
            <w:vAlign w:val="center"/>
          </w:tcPr>
          <w:p w:rsidR="00B070BF" w:rsidRPr="009577DE" w:rsidRDefault="00B070BF" w:rsidP="00C33D4A">
            <w:pPr>
              <w:widowControl w:val="0"/>
              <w:spacing w:before="120" w:after="120"/>
              <w:ind w:left="1735" w:hanging="1735"/>
              <w:rPr>
                <w:b/>
                <w:bCs/>
                <w:sz w:val="16"/>
                <w:szCs w:val="16"/>
                <w:lang w:val="es-ES_tradnl"/>
              </w:rPr>
            </w:pPr>
            <w:r w:rsidRPr="009577DE">
              <w:rPr>
                <w:b/>
                <w:bCs/>
                <w:sz w:val="16"/>
                <w:szCs w:val="16"/>
                <w:lang w:val="es-ES_tradnl"/>
              </w:rPr>
              <w:lastRenderedPageBreak/>
              <w:t>Resultado previsto:</w:t>
            </w:r>
            <w:r w:rsidRPr="009577DE">
              <w:rPr>
                <w:b/>
                <w:bCs/>
                <w:sz w:val="16"/>
                <w:szCs w:val="16"/>
                <w:lang w:val="es-ES_tradnl"/>
              </w:rPr>
              <w:tab/>
            </w:r>
            <w:r w:rsidRPr="009577DE">
              <w:rPr>
                <w:bCs/>
                <w:sz w:val="16"/>
                <w:szCs w:val="16"/>
                <w:lang w:val="es-ES_tradnl"/>
              </w:rPr>
              <w:t>Mejora en el acceso a la información y los conocimientos sobre P.I. y su utilización por las instituciones de P.I. y el público, para fomentar la innovación y aumentar el acceso a las obras que son fruto de la creatividad, tanto las que están protegidas como las que se encuentran en el dominio público.</w:t>
            </w:r>
          </w:p>
        </w:tc>
      </w:tr>
      <w:tr w:rsidR="00B070BF" w:rsidRPr="009577DE" w:rsidTr="00C33D4A">
        <w:trPr>
          <w:cantSplit/>
        </w:trPr>
        <w:tc>
          <w:tcPr>
            <w:tcW w:w="1031" w:type="pct"/>
            <w:tcBorders>
              <w:top w:val="single" w:sz="4" w:space="0" w:color="auto"/>
              <w:left w:val="single" w:sz="4" w:space="0" w:color="auto"/>
              <w:bottom w:val="nil"/>
            </w:tcBorders>
            <w:shd w:val="clear" w:color="auto" w:fill="auto"/>
          </w:tcPr>
          <w:p w:rsidR="00B070BF" w:rsidRPr="009577DE" w:rsidRDefault="00B070BF" w:rsidP="00C33D4A">
            <w:pPr>
              <w:widowControl w:val="0"/>
              <w:spacing w:after="120"/>
              <w:rPr>
                <w:sz w:val="16"/>
                <w:szCs w:val="16"/>
                <w:lang w:val="es-ES_tradnl"/>
              </w:rPr>
            </w:pPr>
            <w:r w:rsidRPr="009577DE">
              <w:rPr>
                <w:b/>
                <w:bCs/>
                <w:sz w:val="16"/>
                <w:szCs w:val="16"/>
                <w:lang w:val="es-ES_tradnl"/>
              </w:rPr>
              <w:t>Indicadores de rendimiento</w:t>
            </w:r>
          </w:p>
        </w:tc>
        <w:tc>
          <w:tcPr>
            <w:tcW w:w="830" w:type="pct"/>
            <w:tcBorders>
              <w:top w:val="single" w:sz="4" w:space="0" w:color="auto"/>
              <w:bottom w:val="nil"/>
            </w:tcBorders>
            <w:shd w:val="clear" w:color="auto" w:fill="C0C0C0"/>
          </w:tcPr>
          <w:p w:rsidR="00B070BF" w:rsidRPr="009577DE" w:rsidRDefault="00B070BF" w:rsidP="00C33D4A">
            <w:pPr>
              <w:widowControl w:val="0"/>
              <w:spacing w:after="120"/>
              <w:rPr>
                <w:b/>
                <w:bCs/>
                <w:sz w:val="16"/>
                <w:szCs w:val="16"/>
                <w:lang w:val="es-ES_tradnl"/>
              </w:rPr>
            </w:pPr>
            <w:r w:rsidRPr="009577DE">
              <w:rPr>
                <w:b/>
                <w:bCs/>
                <w:sz w:val="16"/>
                <w:szCs w:val="16"/>
                <w:lang w:val="es-ES_tradnl"/>
              </w:rPr>
              <w:t>Referencia (</w:t>
            </w:r>
            <w:proofErr w:type="spellStart"/>
            <w:r w:rsidRPr="009577DE">
              <w:rPr>
                <w:b/>
                <w:bCs/>
                <w:sz w:val="16"/>
                <w:szCs w:val="16"/>
                <w:lang w:val="es-ES_tradnl"/>
              </w:rPr>
              <w:t>Presup</w:t>
            </w:r>
            <w:proofErr w:type="spellEnd"/>
            <w:r w:rsidRPr="009577DE">
              <w:rPr>
                <w:b/>
                <w:bCs/>
                <w:sz w:val="16"/>
                <w:szCs w:val="16"/>
                <w:lang w:val="es-ES_tradnl"/>
              </w:rPr>
              <w:t xml:space="preserve">. por </w:t>
            </w:r>
            <w:proofErr w:type="spellStart"/>
            <w:r w:rsidRPr="009577DE">
              <w:rPr>
                <w:b/>
                <w:bCs/>
                <w:sz w:val="16"/>
                <w:szCs w:val="16"/>
                <w:lang w:val="es-ES_tradnl"/>
              </w:rPr>
              <w:t>prog</w:t>
            </w:r>
            <w:proofErr w:type="spellEnd"/>
            <w:r w:rsidRPr="009577DE">
              <w:rPr>
                <w:b/>
                <w:bCs/>
                <w:sz w:val="16"/>
                <w:szCs w:val="16"/>
                <w:lang w:val="es-ES_tradnl"/>
              </w:rPr>
              <w:t>. 2012/13)</w:t>
            </w:r>
          </w:p>
        </w:tc>
        <w:tc>
          <w:tcPr>
            <w:tcW w:w="963" w:type="pct"/>
            <w:tcBorders>
              <w:top w:val="single" w:sz="4" w:space="0" w:color="auto"/>
              <w:bottom w:val="nil"/>
            </w:tcBorders>
            <w:shd w:val="clear" w:color="auto" w:fill="auto"/>
            <w:tcMar>
              <w:top w:w="110" w:type="dxa"/>
            </w:tcMar>
          </w:tcPr>
          <w:p w:rsidR="00B070BF" w:rsidRPr="009577DE" w:rsidRDefault="00B070BF" w:rsidP="00C33D4A">
            <w:pPr>
              <w:widowControl w:val="0"/>
              <w:spacing w:after="120"/>
              <w:rPr>
                <w:b/>
                <w:sz w:val="16"/>
                <w:szCs w:val="16"/>
                <w:lang w:val="es-ES_tradnl"/>
              </w:rPr>
            </w:pPr>
            <w:r w:rsidRPr="00BF138D">
              <w:rPr>
                <w:b/>
                <w:color w:val="993300"/>
                <w:sz w:val="16"/>
                <w:szCs w:val="16"/>
                <w:lang w:val="es-ES_tradnl"/>
              </w:rPr>
              <w:t>Referencia actualizada a finales de 2011</w:t>
            </w:r>
          </w:p>
        </w:tc>
        <w:tc>
          <w:tcPr>
            <w:tcW w:w="1662" w:type="pct"/>
            <w:tcBorders>
              <w:top w:val="single" w:sz="4" w:space="0" w:color="auto"/>
              <w:bottom w:val="nil"/>
            </w:tcBorders>
            <w:shd w:val="clear" w:color="auto" w:fill="FFFFFF"/>
            <w:tcMar>
              <w:top w:w="110" w:type="dxa"/>
            </w:tcMar>
          </w:tcPr>
          <w:p w:rsidR="00B070BF" w:rsidRPr="009577DE" w:rsidRDefault="00B070BF" w:rsidP="00C33D4A">
            <w:pPr>
              <w:widowControl w:val="0"/>
              <w:rPr>
                <w:b/>
                <w:bCs/>
                <w:sz w:val="16"/>
                <w:szCs w:val="16"/>
                <w:lang w:val="es-ES_tradnl"/>
              </w:rPr>
            </w:pPr>
            <w:r w:rsidRPr="009577DE">
              <w:rPr>
                <w:b/>
                <w:bCs/>
                <w:sz w:val="16"/>
                <w:szCs w:val="16"/>
                <w:lang w:val="es-ES_tradnl"/>
              </w:rPr>
              <w:t>Datos sobre el rendimiento</w:t>
            </w:r>
          </w:p>
          <w:p w:rsidR="00B070BF" w:rsidRPr="009577DE" w:rsidRDefault="00B070BF" w:rsidP="00C33D4A">
            <w:pPr>
              <w:widowControl w:val="0"/>
              <w:spacing w:after="120"/>
              <w:rPr>
                <w:sz w:val="16"/>
                <w:szCs w:val="16"/>
                <w:lang w:val="es-ES_tradnl"/>
              </w:rPr>
            </w:pPr>
          </w:p>
        </w:tc>
        <w:tc>
          <w:tcPr>
            <w:tcW w:w="514" w:type="pct"/>
            <w:tcBorders>
              <w:top w:val="single" w:sz="4" w:space="0" w:color="auto"/>
              <w:bottom w:val="nil"/>
              <w:right w:val="single" w:sz="4" w:space="0" w:color="auto"/>
            </w:tcBorders>
            <w:shd w:val="clear" w:color="auto" w:fill="auto"/>
            <w:tcMar>
              <w:top w:w="110" w:type="dxa"/>
            </w:tcMar>
          </w:tcPr>
          <w:p w:rsidR="00B070BF" w:rsidRPr="009577DE" w:rsidRDefault="00B070BF" w:rsidP="00C33D4A">
            <w:pPr>
              <w:widowControl w:val="0"/>
              <w:spacing w:after="120"/>
              <w:rPr>
                <w:b/>
                <w:bCs/>
                <w:sz w:val="16"/>
                <w:szCs w:val="16"/>
                <w:lang w:val="es-ES_tradnl"/>
              </w:rPr>
            </w:pPr>
            <w:r w:rsidRPr="009577DE">
              <w:rPr>
                <w:b/>
                <w:bCs/>
                <w:sz w:val="16"/>
                <w:szCs w:val="16"/>
                <w:lang w:val="es-ES_tradnl"/>
              </w:rPr>
              <w:t>Clave de colores</w:t>
            </w:r>
          </w:p>
        </w:tc>
      </w:tr>
      <w:tr w:rsidR="00B070BF" w:rsidRPr="009577DE" w:rsidTr="00C33D4A">
        <w:trPr>
          <w:cantSplit/>
        </w:trPr>
        <w:tc>
          <w:tcPr>
            <w:tcW w:w="1031" w:type="pct"/>
            <w:tcBorders>
              <w:top w:val="nil"/>
              <w:left w:val="single" w:sz="4" w:space="0" w:color="auto"/>
              <w:bottom w:val="nil"/>
            </w:tcBorders>
            <w:shd w:val="clear" w:color="auto" w:fill="auto"/>
          </w:tcPr>
          <w:p w:rsidR="00B070BF" w:rsidRPr="009577DE" w:rsidRDefault="00B070BF" w:rsidP="00C33D4A">
            <w:pPr>
              <w:widowControl w:val="0"/>
              <w:rPr>
                <w:sz w:val="16"/>
                <w:szCs w:val="16"/>
                <w:lang w:val="es-ES_tradnl"/>
              </w:rPr>
            </w:pPr>
            <w:r w:rsidRPr="009577DE">
              <w:rPr>
                <w:sz w:val="16"/>
                <w:szCs w:val="16"/>
                <w:lang w:val="es-ES_tradnl"/>
              </w:rPr>
              <w:t>Número de usuarios por trimestre y sistema (PATENTSCOPE y Base Mundial de Datos sobre Marcas)</w:t>
            </w:r>
          </w:p>
        </w:tc>
        <w:tc>
          <w:tcPr>
            <w:tcW w:w="830" w:type="pct"/>
            <w:tcBorders>
              <w:top w:val="nil"/>
              <w:bottom w:val="nil"/>
            </w:tcBorders>
            <w:shd w:val="clear" w:color="auto" w:fill="C0C0C0"/>
          </w:tcPr>
          <w:p w:rsidR="00B070BF" w:rsidRPr="009577DE" w:rsidRDefault="00B070BF" w:rsidP="00C33D4A">
            <w:pPr>
              <w:widowControl w:val="0"/>
              <w:rPr>
                <w:sz w:val="16"/>
                <w:szCs w:val="16"/>
                <w:lang w:val="es-ES_tradnl"/>
              </w:rPr>
            </w:pPr>
            <w:r w:rsidRPr="009577DE">
              <w:rPr>
                <w:sz w:val="16"/>
                <w:szCs w:val="16"/>
                <w:lang w:val="es-ES_tradnl"/>
              </w:rPr>
              <w:t>PATENTSCOPE:</w:t>
            </w:r>
          </w:p>
          <w:p w:rsidR="00B070BF" w:rsidRPr="009577DE" w:rsidRDefault="00B070BF" w:rsidP="00C33D4A">
            <w:pPr>
              <w:widowControl w:val="0"/>
              <w:rPr>
                <w:sz w:val="16"/>
                <w:szCs w:val="16"/>
                <w:lang w:val="es-ES_tradnl"/>
              </w:rPr>
            </w:pPr>
            <w:r w:rsidRPr="009577DE">
              <w:rPr>
                <w:sz w:val="16"/>
                <w:szCs w:val="16"/>
                <w:lang w:val="es-ES_tradnl"/>
              </w:rPr>
              <w:t>175.000 (principios de 2011, sistema PATENTSCOPE antiguo y nuevo).</w:t>
            </w:r>
            <w:r w:rsidRPr="009577DE">
              <w:rPr>
                <w:sz w:val="16"/>
                <w:szCs w:val="16"/>
                <w:lang w:val="es-ES_tradnl"/>
              </w:rPr>
              <w:br/>
            </w:r>
          </w:p>
          <w:p w:rsidR="00B070BF" w:rsidRPr="009577DE" w:rsidRDefault="00B070BF" w:rsidP="00C33D4A">
            <w:pPr>
              <w:widowControl w:val="0"/>
              <w:rPr>
                <w:sz w:val="16"/>
                <w:szCs w:val="16"/>
                <w:lang w:val="es-ES_tradnl"/>
              </w:rPr>
            </w:pPr>
            <w:r w:rsidRPr="009577DE">
              <w:rPr>
                <w:sz w:val="16"/>
                <w:szCs w:val="16"/>
                <w:lang w:val="es-ES_tradnl"/>
              </w:rPr>
              <w:t>Base Mundial de Datos sobre Marcas: No se aplica.</w:t>
            </w:r>
            <w:r w:rsidRPr="009577DE">
              <w:rPr>
                <w:sz w:val="16"/>
                <w:szCs w:val="16"/>
                <w:lang w:val="es-ES_tradnl"/>
              </w:rPr>
              <w:br/>
            </w:r>
          </w:p>
        </w:tc>
        <w:tc>
          <w:tcPr>
            <w:tcW w:w="963" w:type="pct"/>
            <w:tcBorders>
              <w:top w:val="nil"/>
              <w:bottom w:val="nil"/>
            </w:tcBorders>
            <w:shd w:val="clear" w:color="auto" w:fill="auto"/>
            <w:tcMar>
              <w:top w:w="110" w:type="dxa"/>
            </w:tcMar>
          </w:tcPr>
          <w:p w:rsidR="00B070BF" w:rsidRPr="00F2661C" w:rsidRDefault="00B070BF" w:rsidP="00C33D4A">
            <w:pPr>
              <w:widowControl w:val="0"/>
              <w:rPr>
                <w:color w:val="993300"/>
                <w:sz w:val="16"/>
                <w:szCs w:val="16"/>
                <w:lang w:val="es-ES_tradnl" w:bidi="th-TH"/>
              </w:rPr>
            </w:pPr>
            <w:r w:rsidRPr="00F2661C">
              <w:rPr>
                <w:color w:val="993300"/>
                <w:sz w:val="16"/>
                <w:szCs w:val="16"/>
                <w:lang w:val="es-ES_tradnl" w:bidi="th-TH"/>
              </w:rPr>
              <w:t>PATENTSCOPE: 216.289</w:t>
            </w:r>
          </w:p>
          <w:p w:rsidR="00B070BF" w:rsidRPr="00F2661C" w:rsidRDefault="00B070BF" w:rsidP="00C33D4A">
            <w:pPr>
              <w:widowControl w:val="0"/>
              <w:rPr>
                <w:color w:val="993300"/>
                <w:sz w:val="16"/>
                <w:szCs w:val="16"/>
                <w:lang w:val="es-ES_tradnl" w:bidi="th-TH"/>
              </w:rPr>
            </w:pPr>
          </w:p>
          <w:p w:rsidR="00B070BF" w:rsidRPr="00F2661C" w:rsidRDefault="00B070BF" w:rsidP="00C33D4A">
            <w:pPr>
              <w:widowControl w:val="0"/>
              <w:rPr>
                <w:color w:val="993300"/>
                <w:sz w:val="16"/>
                <w:szCs w:val="16"/>
                <w:lang w:val="es-ES_tradnl" w:bidi="th-TH"/>
              </w:rPr>
            </w:pPr>
            <w:r w:rsidRPr="00F2661C">
              <w:rPr>
                <w:color w:val="993300"/>
                <w:sz w:val="16"/>
                <w:szCs w:val="16"/>
                <w:lang w:val="es-ES_tradnl"/>
              </w:rPr>
              <w:t>Base Mundial de Datos sobre Marcas</w:t>
            </w:r>
            <w:r w:rsidRPr="00F2661C">
              <w:rPr>
                <w:color w:val="993300"/>
                <w:sz w:val="16"/>
                <w:szCs w:val="16"/>
                <w:lang w:val="es-ES_tradnl" w:bidi="th-TH"/>
              </w:rPr>
              <w:t>:</w:t>
            </w:r>
          </w:p>
          <w:p w:rsidR="00B070BF" w:rsidRPr="009577DE" w:rsidRDefault="00B070BF" w:rsidP="00C33D4A">
            <w:pPr>
              <w:widowControl w:val="0"/>
              <w:rPr>
                <w:i/>
                <w:sz w:val="16"/>
                <w:szCs w:val="16"/>
                <w:lang w:val="es-ES_tradnl"/>
              </w:rPr>
            </w:pPr>
            <w:r w:rsidRPr="00F2661C">
              <w:rPr>
                <w:color w:val="993300"/>
                <w:sz w:val="16"/>
                <w:szCs w:val="16"/>
                <w:lang w:val="es-ES_tradnl" w:bidi="th-TH"/>
              </w:rPr>
              <w:t>9.000</w:t>
            </w:r>
          </w:p>
        </w:tc>
        <w:tc>
          <w:tcPr>
            <w:tcW w:w="1662" w:type="pct"/>
            <w:tcBorders>
              <w:top w:val="nil"/>
              <w:bottom w:val="nil"/>
            </w:tcBorders>
            <w:shd w:val="clear" w:color="auto" w:fill="FFFFFF"/>
            <w:tcMar>
              <w:top w:w="110" w:type="dxa"/>
            </w:tcMar>
          </w:tcPr>
          <w:p w:rsidR="00B070BF" w:rsidRPr="009577DE" w:rsidRDefault="00B070BF" w:rsidP="00C33D4A">
            <w:pPr>
              <w:widowControl w:val="0"/>
              <w:rPr>
                <w:sz w:val="16"/>
                <w:szCs w:val="16"/>
                <w:lang w:val="es-ES_tradnl" w:bidi="th-TH"/>
              </w:rPr>
            </w:pPr>
            <w:r w:rsidRPr="009577DE">
              <w:rPr>
                <w:sz w:val="16"/>
                <w:szCs w:val="16"/>
                <w:lang w:val="es-ES_tradnl" w:bidi="th-TH"/>
              </w:rPr>
              <w:t>219.000</w:t>
            </w:r>
          </w:p>
          <w:p w:rsidR="00B070BF" w:rsidRPr="009577DE" w:rsidRDefault="00B070BF" w:rsidP="00C33D4A">
            <w:pPr>
              <w:widowControl w:val="0"/>
              <w:rPr>
                <w:sz w:val="16"/>
                <w:szCs w:val="16"/>
                <w:lang w:val="es-ES_tradnl" w:bidi="th-TH"/>
              </w:rPr>
            </w:pPr>
          </w:p>
          <w:p w:rsidR="00B070BF" w:rsidRPr="009577DE" w:rsidRDefault="00B070BF" w:rsidP="00C33D4A">
            <w:pPr>
              <w:widowControl w:val="0"/>
              <w:rPr>
                <w:sz w:val="16"/>
                <w:szCs w:val="16"/>
                <w:lang w:val="es-ES_tradnl" w:bidi="th-TH"/>
              </w:rPr>
            </w:pPr>
          </w:p>
          <w:p w:rsidR="00B070BF" w:rsidRPr="009577DE" w:rsidRDefault="00B070BF" w:rsidP="00C33D4A">
            <w:pPr>
              <w:widowControl w:val="0"/>
              <w:rPr>
                <w:sz w:val="16"/>
                <w:szCs w:val="16"/>
                <w:lang w:val="es-ES_tradnl" w:bidi="th-TH"/>
              </w:rPr>
            </w:pPr>
            <w:r w:rsidRPr="009577DE">
              <w:rPr>
                <w:sz w:val="16"/>
                <w:szCs w:val="16"/>
                <w:lang w:val="es-ES_tradnl" w:bidi="th-TH"/>
              </w:rPr>
              <w:t>13.000</w:t>
            </w:r>
          </w:p>
          <w:p w:rsidR="00B070BF" w:rsidRPr="009577DE" w:rsidRDefault="00B070BF" w:rsidP="00C33D4A">
            <w:pPr>
              <w:widowControl w:val="0"/>
              <w:rPr>
                <w:sz w:val="16"/>
                <w:szCs w:val="16"/>
                <w:lang w:val="es-ES_tradnl"/>
              </w:rPr>
            </w:pPr>
          </w:p>
        </w:tc>
        <w:tc>
          <w:tcPr>
            <w:tcW w:w="514" w:type="pct"/>
            <w:tcBorders>
              <w:top w:val="nil"/>
              <w:bottom w:val="nil"/>
              <w:right w:val="single" w:sz="4" w:space="0" w:color="auto"/>
            </w:tcBorders>
            <w:shd w:val="clear" w:color="auto" w:fill="auto"/>
            <w:tcMar>
              <w:top w:w="110" w:type="dxa"/>
            </w:tcMar>
          </w:tcPr>
          <w:p w:rsidR="00B070BF" w:rsidRPr="009577DE" w:rsidRDefault="00B070BF" w:rsidP="00C33D4A">
            <w:pPr>
              <w:widowControl w:val="0"/>
              <w:jc w:val="center"/>
              <w:rPr>
                <w:bCs/>
                <w:sz w:val="16"/>
                <w:szCs w:val="16"/>
                <w:lang w:val="es-ES_tradnl"/>
              </w:rPr>
            </w:pPr>
            <w:r w:rsidRPr="009577DE">
              <w:rPr>
                <w:b/>
                <w:color w:val="008000"/>
                <w:sz w:val="16"/>
                <w:szCs w:val="16"/>
                <w:lang w:val="es-ES_tradnl"/>
              </w:rPr>
              <w:t>Progresa con normalidad</w:t>
            </w:r>
          </w:p>
          <w:p w:rsidR="00B070BF" w:rsidRPr="009577DE" w:rsidRDefault="00B070BF" w:rsidP="00C33D4A">
            <w:pPr>
              <w:widowControl w:val="0"/>
              <w:jc w:val="center"/>
              <w:rPr>
                <w:bCs/>
                <w:sz w:val="16"/>
                <w:szCs w:val="16"/>
                <w:lang w:val="es-ES_tradnl"/>
              </w:rPr>
            </w:pPr>
          </w:p>
          <w:p w:rsidR="00B070BF" w:rsidRPr="009577DE" w:rsidRDefault="00B070BF" w:rsidP="00C33D4A">
            <w:pPr>
              <w:widowControl w:val="0"/>
              <w:jc w:val="center"/>
              <w:rPr>
                <w:bCs/>
                <w:sz w:val="16"/>
                <w:szCs w:val="16"/>
                <w:lang w:val="es-ES_tradnl"/>
              </w:rPr>
            </w:pPr>
          </w:p>
        </w:tc>
      </w:tr>
      <w:tr w:rsidR="00B070BF" w:rsidRPr="009577DE" w:rsidTr="00C33D4A">
        <w:trPr>
          <w:cantSplit/>
        </w:trPr>
        <w:tc>
          <w:tcPr>
            <w:tcW w:w="1031" w:type="pct"/>
            <w:tcBorders>
              <w:top w:val="nil"/>
              <w:left w:val="single" w:sz="4" w:space="0" w:color="auto"/>
              <w:bottom w:val="single" w:sz="4" w:space="0" w:color="auto"/>
            </w:tcBorders>
            <w:shd w:val="clear" w:color="auto" w:fill="FFFFFF"/>
          </w:tcPr>
          <w:p w:rsidR="00B070BF" w:rsidRPr="009577DE" w:rsidRDefault="00B070BF" w:rsidP="00C33D4A">
            <w:pPr>
              <w:widowControl w:val="0"/>
              <w:rPr>
                <w:sz w:val="16"/>
                <w:szCs w:val="16"/>
                <w:lang w:val="es-ES_tradnl" w:bidi="th-TH"/>
              </w:rPr>
            </w:pPr>
            <w:r w:rsidRPr="009577DE">
              <w:rPr>
                <w:sz w:val="16"/>
                <w:szCs w:val="16"/>
                <w:lang w:val="es-ES_tradnl"/>
              </w:rPr>
              <w:t>Número de idiomas en los que se pueden efectuar búsquedas simultáneamente.</w:t>
            </w:r>
          </w:p>
        </w:tc>
        <w:tc>
          <w:tcPr>
            <w:tcW w:w="830" w:type="pct"/>
            <w:tcBorders>
              <w:top w:val="nil"/>
              <w:bottom w:val="single" w:sz="4" w:space="0" w:color="auto"/>
            </w:tcBorders>
            <w:shd w:val="clear" w:color="auto" w:fill="C0C0C0"/>
          </w:tcPr>
          <w:p w:rsidR="00B070BF" w:rsidRPr="009577DE" w:rsidRDefault="00B070BF" w:rsidP="00C33D4A">
            <w:pPr>
              <w:widowControl w:val="0"/>
              <w:rPr>
                <w:sz w:val="16"/>
                <w:szCs w:val="16"/>
                <w:lang w:val="es-ES_tradnl" w:bidi="th-TH"/>
              </w:rPr>
            </w:pPr>
            <w:r w:rsidRPr="009577DE">
              <w:rPr>
                <w:sz w:val="16"/>
                <w:szCs w:val="16"/>
                <w:lang w:val="es-ES_tradnl"/>
              </w:rPr>
              <w:t>5</w:t>
            </w:r>
          </w:p>
        </w:tc>
        <w:tc>
          <w:tcPr>
            <w:tcW w:w="963" w:type="pct"/>
            <w:tcBorders>
              <w:top w:val="nil"/>
              <w:bottom w:val="single" w:sz="4" w:space="0" w:color="auto"/>
            </w:tcBorders>
            <w:shd w:val="clear" w:color="auto" w:fill="auto"/>
            <w:tcMar>
              <w:top w:w="110" w:type="dxa"/>
            </w:tcMar>
          </w:tcPr>
          <w:p w:rsidR="00B070BF" w:rsidRPr="009577DE" w:rsidRDefault="00B070BF" w:rsidP="00C33D4A">
            <w:pPr>
              <w:widowControl w:val="0"/>
              <w:rPr>
                <w:sz w:val="16"/>
                <w:szCs w:val="16"/>
                <w:lang w:val="es-ES_tradnl" w:bidi="th-TH"/>
              </w:rPr>
            </w:pPr>
            <w:r w:rsidRPr="009577DE">
              <w:rPr>
                <w:sz w:val="16"/>
                <w:szCs w:val="16"/>
                <w:lang w:val="es-ES_tradnl" w:bidi="th-TH"/>
              </w:rPr>
              <w:t>9</w:t>
            </w:r>
          </w:p>
        </w:tc>
        <w:tc>
          <w:tcPr>
            <w:tcW w:w="1662" w:type="pct"/>
            <w:tcBorders>
              <w:top w:val="nil"/>
              <w:bottom w:val="single" w:sz="4" w:space="0" w:color="auto"/>
            </w:tcBorders>
            <w:shd w:val="clear" w:color="auto" w:fill="FFFFFF"/>
            <w:tcMar>
              <w:top w:w="110" w:type="dxa"/>
            </w:tcMar>
          </w:tcPr>
          <w:p w:rsidR="00B070BF" w:rsidRPr="009577DE" w:rsidRDefault="00B070BF" w:rsidP="00C33D4A">
            <w:pPr>
              <w:widowControl w:val="0"/>
              <w:rPr>
                <w:sz w:val="16"/>
                <w:szCs w:val="16"/>
                <w:lang w:val="es-ES_tradnl" w:bidi="th-TH"/>
              </w:rPr>
            </w:pPr>
            <w:r w:rsidRPr="009577DE">
              <w:rPr>
                <w:sz w:val="16"/>
                <w:szCs w:val="16"/>
                <w:lang w:val="es-ES_tradnl" w:bidi="th-TH"/>
              </w:rPr>
              <w:t>12 en Beta (total)</w:t>
            </w:r>
          </w:p>
          <w:p w:rsidR="00B070BF" w:rsidRPr="009577DE" w:rsidRDefault="00B070BF" w:rsidP="00C33D4A">
            <w:pPr>
              <w:widowControl w:val="0"/>
              <w:rPr>
                <w:sz w:val="16"/>
                <w:szCs w:val="16"/>
                <w:lang w:val="es-ES_tradnl" w:bidi="th-TH"/>
              </w:rPr>
            </w:pPr>
          </w:p>
          <w:p w:rsidR="00B070BF" w:rsidRPr="009577DE" w:rsidRDefault="00B070BF" w:rsidP="00C33D4A">
            <w:pPr>
              <w:widowControl w:val="0"/>
              <w:rPr>
                <w:sz w:val="16"/>
                <w:szCs w:val="16"/>
                <w:lang w:val="es-ES_tradnl" w:bidi="th-TH"/>
              </w:rPr>
            </w:pPr>
          </w:p>
          <w:p w:rsidR="00B070BF" w:rsidRPr="009577DE" w:rsidRDefault="00B070BF" w:rsidP="00C33D4A">
            <w:pPr>
              <w:widowControl w:val="0"/>
              <w:rPr>
                <w:sz w:val="16"/>
                <w:szCs w:val="16"/>
                <w:lang w:val="es-ES_tradnl" w:bidi="th-TH"/>
              </w:rPr>
            </w:pPr>
          </w:p>
        </w:tc>
        <w:tc>
          <w:tcPr>
            <w:tcW w:w="514" w:type="pct"/>
            <w:tcBorders>
              <w:top w:val="nil"/>
              <w:bottom w:val="single" w:sz="4" w:space="0" w:color="auto"/>
              <w:right w:val="single" w:sz="4" w:space="0" w:color="auto"/>
            </w:tcBorders>
            <w:shd w:val="clear" w:color="auto" w:fill="auto"/>
            <w:tcMar>
              <w:top w:w="110" w:type="dxa"/>
            </w:tcMar>
          </w:tcPr>
          <w:p w:rsidR="00B070BF" w:rsidRPr="009577DE" w:rsidRDefault="00B070BF" w:rsidP="00C33D4A">
            <w:pPr>
              <w:widowControl w:val="0"/>
              <w:jc w:val="center"/>
              <w:rPr>
                <w:bCs/>
                <w:sz w:val="16"/>
                <w:szCs w:val="16"/>
                <w:lang w:val="es-ES_tradnl"/>
              </w:rPr>
            </w:pPr>
            <w:r w:rsidRPr="009577DE">
              <w:rPr>
                <w:b/>
                <w:color w:val="008000"/>
                <w:sz w:val="16"/>
                <w:szCs w:val="16"/>
                <w:lang w:val="es-ES_tradnl"/>
              </w:rPr>
              <w:t>Progresa con normalidad</w:t>
            </w:r>
            <w:r w:rsidRPr="009577DE" w:rsidDel="00DC572F">
              <w:rPr>
                <w:bCs/>
                <w:sz w:val="16"/>
                <w:szCs w:val="16"/>
                <w:lang w:val="es-ES_tradnl"/>
              </w:rPr>
              <w:t xml:space="preserve"> </w:t>
            </w:r>
          </w:p>
          <w:p w:rsidR="00B070BF" w:rsidRPr="009577DE" w:rsidRDefault="00B070BF" w:rsidP="00C33D4A">
            <w:pPr>
              <w:widowControl w:val="0"/>
              <w:jc w:val="center"/>
              <w:rPr>
                <w:bCs/>
                <w:sz w:val="16"/>
                <w:szCs w:val="16"/>
                <w:lang w:val="es-ES_tradnl"/>
              </w:rPr>
            </w:pPr>
          </w:p>
        </w:tc>
      </w:tr>
      <w:tr w:rsidR="00B070BF" w:rsidRPr="009577DE" w:rsidTr="00C33D4A">
        <w:trPr>
          <w:cantSplit/>
        </w:trPr>
        <w:tc>
          <w:tcPr>
            <w:tcW w:w="5000" w:type="pct"/>
            <w:gridSpan w:val="5"/>
            <w:tcBorders>
              <w:top w:val="single" w:sz="4" w:space="0" w:color="auto"/>
              <w:left w:val="single" w:sz="4" w:space="0" w:color="auto"/>
              <w:bottom w:val="single" w:sz="4" w:space="0" w:color="auto"/>
              <w:right w:val="single" w:sz="4" w:space="0" w:color="auto"/>
            </w:tcBorders>
            <w:shd w:val="clear" w:color="auto" w:fill="CCFFFF"/>
            <w:vAlign w:val="center"/>
          </w:tcPr>
          <w:p w:rsidR="00B070BF" w:rsidRPr="009577DE" w:rsidRDefault="00B070BF" w:rsidP="00C33D4A">
            <w:pPr>
              <w:widowControl w:val="0"/>
              <w:spacing w:before="120" w:after="120"/>
              <w:ind w:left="1735" w:hanging="1735"/>
              <w:rPr>
                <w:b/>
                <w:bCs/>
                <w:sz w:val="16"/>
                <w:szCs w:val="16"/>
                <w:lang w:val="es-ES_tradnl"/>
              </w:rPr>
            </w:pPr>
            <w:r w:rsidRPr="009577DE">
              <w:rPr>
                <w:b/>
                <w:bCs/>
                <w:sz w:val="16"/>
                <w:szCs w:val="16"/>
                <w:lang w:val="es-ES_tradnl"/>
              </w:rPr>
              <w:t>Resultado previsto:</w:t>
            </w:r>
            <w:r w:rsidRPr="009577DE">
              <w:rPr>
                <w:b/>
                <w:bCs/>
                <w:sz w:val="16"/>
                <w:szCs w:val="16"/>
                <w:lang w:val="es-ES_tradnl"/>
              </w:rPr>
              <w:tab/>
            </w:r>
            <w:r w:rsidRPr="009577DE">
              <w:rPr>
                <w:bCs/>
                <w:sz w:val="16"/>
                <w:szCs w:val="16"/>
                <w:lang w:val="es-ES_tradnl"/>
              </w:rPr>
              <w:t xml:space="preserve"> Mayor difusión de colecciones digitalizadas sobre patentes de las oficinas nacionales/regionales de los Estados miembros de la OMPI.</w:t>
            </w:r>
          </w:p>
        </w:tc>
      </w:tr>
      <w:tr w:rsidR="00B070BF" w:rsidRPr="009577DE" w:rsidTr="00C33D4A">
        <w:trPr>
          <w:cantSplit/>
        </w:trPr>
        <w:tc>
          <w:tcPr>
            <w:tcW w:w="1031" w:type="pct"/>
            <w:tcBorders>
              <w:top w:val="single" w:sz="4" w:space="0" w:color="auto"/>
              <w:left w:val="single" w:sz="4" w:space="0" w:color="auto"/>
              <w:bottom w:val="nil"/>
            </w:tcBorders>
            <w:shd w:val="clear" w:color="auto" w:fill="auto"/>
            <w:vAlign w:val="center"/>
          </w:tcPr>
          <w:p w:rsidR="00B070BF" w:rsidRPr="009577DE" w:rsidRDefault="00B070BF" w:rsidP="00C33D4A">
            <w:pPr>
              <w:widowControl w:val="0"/>
              <w:spacing w:after="120"/>
              <w:rPr>
                <w:sz w:val="16"/>
                <w:szCs w:val="16"/>
                <w:lang w:val="es-ES_tradnl"/>
              </w:rPr>
            </w:pPr>
            <w:r w:rsidRPr="009577DE">
              <w:rPr>
                <w:b/>
                <w:bCs/>
                <w:sz w:val="16"/>
                <w:szCs w:val="16"/>
                <w:lang w:val="es-ES_tradnl"/>
              </w:rPr>
              <w:t>Indicadores de rendimiento</w:t>
            </w:r>
          </w:p>
        </w:tc>
        <w:tc>
          <w:tcPr>
            <w:tcW w:w="830" w:type="pct"/>
            <w:tcBorders>
              <w:top w:val="single" w:sz="4" w:space="0" w:color="auto"/>
              <w:bottom w:val="nil"/>
            </w:tcBorders>
            <w:shd w:val="clear" w:color="auto" w:fill="C0C0C0"/>
          </w:tcPr>
          <w:p w:rsidR="00B070BF" w:rsidRPr="009577DE" w:rsidRDefault="00B070BF" w:rsidP="00C33D4A">
            <w:pPr>
              <w:widowControl w:val="0"/>
              <w:spacing w:after="120"/>
              <w:rPr>
                <w:b/>
                <w:bCs/>
                <w:sz w:val="16"/>
                <w:szCs w:val="16"/>
                <w:lang w:val="es-ES_tradnl"/>
              </w:rPr>
            </w:pPr>
            <w:r w:rsidRPr="009577DE">
              <w:rPr>
                <w:b/>
                <w:bCs/>
                <w:sz w:val="16"/>
                <w:szCs w:val="16"/>
                <w:lang w:val="es-ES_tradnl"/>
              </w:rPr>
              <w:t>Referencia (</w:t>
            </w:r>
            <w:proofErr w:type="spellStart"/>
            <w:r w:rsidRPr="009577DE">
              <w:rPr>
                <w:b/>
                <w:bCs/>
                <w:sz w:val="16"/>
                <w:szCs w:val="16"/>
                <w:lang w:val="es-ES_tradnl"/>
              </w:rPr>
              <w:t>Presup</w:t>
            </w:r>
            <w:proofErr w:type="spellEnd"/>
            <w:r w:rsidRPr="009577DE">
              <w:rPr>
                <w:b/>
                <w:bCs/>
                <w:sz w:val="16"/>
                <w:szCs w:val="16"/>
                <w:lang w:val="es-ES_tradnl"/>
              </w:rPr>
              <w:t xml:space="preserve">. por </w:t>
            </w:r>
            <w:proofErr w:type="spellStart"/>
            <w:r w:rsidRPr="009577DE">
              <w:rPr>
                <w:b/>
                <w:bCs/>
                <w:sz w:val="16"/>
                <w:szCs w:val="16"/>
                <w:lang w:val="es-ES_tradnl"/>
              </w:rPr>
              <w:t>prog</w:t>
            </w:r>
            <w:proofErr w:type="spellEnd"/>
            <w:r w:rsidRPr="009577DE">
              <w:rPr>
                <w:b/>
                <w:bCs/>
                <w:sz w:val="16"/>
                <w:szCs w:val="16"/>
                <w:lang w:val="es-ES_tradnl"/>
              </w:rPr>
              <w:t>. 2012/13)</w:t>
            </w:r>
          </w:p>
        </w:tc>
        <w:tc>
          <w:tcPr>
            <w:tcW w:w="963" w:type="pct"/>
            <w:tcBorders>
              <w:top w:val="single" w:sz="4" w:space="0" w:color="auto"/>
              <w:bottom w:val="nil"/>
            </w:tcBorders>
            <w:shd w:val="clear" w:color="auto" w:fill="auto"/>
            <w:tcMar>
              <w:top w:w="110" w:type="dxa"/>
            </w:tcMar>
            <w:vAlign w:val="center"/>
          </w:tcPr>
          <w:p w:rsidR="00B070BF" w:rsidRPr="009577DE" w:rsidRDefault="00B070BF" w:rsidP="00C33D4A">
            <w:pPr>
              <w:widowControl w:val="0"/>
              <w:spacing w:after="120"/>
              <w:rPr>
                <w:b/>
                <w:sz w:val="16"/>
                <w:szCs w:val="16"/>
                <w:lang w:val="es-ES_tradnl"/>
              </w:rPr>
            </w:pPr>
            <w:r w:rsidRPr="00BF138D">
              <w:rPr>
                <w:b/>
                <w:color w:val="993300"/>
                <w:sz w:val="16"/>
                <w:szCs w:val="16"/>
                <w:lang w:val="es-ES_tradnl"/>
              </w:rPr>
              <w:t>Referencia actualizada a finales de 2011</w:t>
            </w:r>
          </w:p>
        </w:tc>
        <w:tc>
          <w:tcPr>
            <w:tcW w:w="1662" w:type="pct"/>
            <w:tcBorders>
              <w:top w:val="single" w:sz="4" w:space="0" w:color="auto"/>
              <w:bottom w:val="nil"/>
            </w:tcBorders>
            <w:shd w:val="clear" w:color="auto" w:fill="FFFFFF"/>
            <w:tcMar>
              <w:top w:w="110" w:type="dxa"/>
            </w:tcMar>
            <w:vAlign w:val="center"/>
          </w:tcPr>
          <w:p w:rsidR="00B070BF" w:rsidRPr="009577DE" w:rsidRDefault="00B070BF" w:rsidP="00C33D4A">
            <w:pPr>
              <w:widowControl w:val="0"/>
              <w:rPr>
                <w:b/>
                <w:bCs/>
                <w:sz w:val="16"/>
                <w:szCs w:val="16"/>
                <w:lang w:val="es-ES_tradnl"/>
              </w:rPr>
            </w:pPr>
            <w:r w:rsidRPr="009577DE">
              <w:rPr>
                <w:b/>
                <w:bCs/>
                <w:sz w:val="16"/>
                <w:szCs w:val="16"/>
                <w:lang w:val="es-ES_tradnl"/>
              </w:rPr>
              <w:t>Datos sobre el rendimiento</w:t>
            </w:r>
          </w:p>
          <w:p w:rsidR="00B070BF" w:rsidRPr="009577DE" w:rsidRDefault="00B070BF" w:rsidP="00C33D4A">
            <w:pPr>
              <w:widowControl w:val="0"/>
              <w:spacing w:after="120"/>
              <w:rPr>
                <w:sz w:val="16"/>
                <w:szCs w:val="16"/>
                <w:lang w:val="es-ES_tradnl"/>
              </w:rPr>
            </w:pPr>
          </w:p>
        </w:tc>
        <w:tc>
          <w:tcPr>
            <w:tcW w:w="514" w:type="pct"/>
            <w:tcBorders>
              <w:top w:val="single" w:sz="4" w:space="0" w:color="auto"/>
              <w:bottom w:val="nil"/>
              <w:right w:val="single" w:sz="4" w:space="0" w:color="auto"/>
            </w:tcBorders>
            <w:shd w:val="clear" w:color="auto" w:fill="auto"/>
            <w:tcMar>
              <w:top w:w="110" w:type="dxa"/>
            </w:tcMar>
            <w:vAlign w:val="center"/>
          </w:tcPr>
          <w:p w:rsidR="00B070BF" w:rsidRPr="009577DE" w:rsidRDefault="00B070BF" w:rsidP="00C33D4A">
            <w:pPr>
              <w:widowControl w:val="0"/>
              <w:spacing w:after="120"/>
              <w:rPr>
                <w:b/>
                <w:bCs/>
                <w:sz w:val="16"/>
                <w:szCs w:val="16"/>
                <w:lang w:val="es-ES_tradnl"/>
              </w:rPr>
            </w:pPr>
            <w:r w:rsidRPr="009577DE">
              <w:rPr>
                <w:b/>
                <w:bCs/>
                <w:sz w:val="16"/>
                <w:szCs w:val="16"/>
                <w:lang w:val="es-ES_tradnl"/>
              </w:rPr>
              <w:t>Clave de colores</w:t>
            </w:r>
          </w:p>
        </w:tc>
      </w:tr>
      <w:tr w:rsidR="00B070BF" w:rsidRPr="009577DE" w:rsidTr="00C33D4A">
        <w:trPr>
          <w:cantSplit/>
        </w:trPr>
        <w:tc>
          <w:tcPr>
            <w:tcW w:w="1031" w:type="pct"/>
            <w:tcBorders>
              <w:top w:val="nil"/>
              <w:left w:val="single" w:sz="4" w:space="0" w:color="auto"/>
              <w:bottom w:val="nil"/>
            </w:tcBorders>
            <w:shd w:val="clear" w:color="auto" w:fill="auto"/>
          </w:tcPr>
          <w:p w:rsidR="00B070BF" w:rsidRPr="009577DE" w:rsidRDefault="00B070BF" w:rsidP="00C33D4A">
            <w:pPr>
              <w:widowControl w:val="0"/>
              <w:rPr>
                <w:sz w:val="16"/>
                <w:szCs w:val="16"/>
                <w:lang w:val="es-ES_tradnl"/>
              </w:rPr>
            </w:pPr>
            <w:r w:rsidRPr="009577DE">
              <w:rPr>
                <w:sz w:val="16"/>
                <w:szCs w:val="16"/>
                <w:lang w:val="es-ES_tradnl"/>
              </w:rPr>
              <w:t>Número de registros en PATENTSCOPE/Base Mundial de Datos sobre Marcas que no produce la Oficina Internacional.</w:t>
            </w:r>
          </w:p>
        </w:tc>
        <w:tc>
          <w:tcPr>
            <w:tcW w:w="830" w:type="pct"/>
            <w:tcBorders>
              <w:top w:val="nil"/>
              <w:bottom w:val="nil"/>
            </w:tcBorders>
            <w:shd w:val="clear" w:color="auto" w:fill="C0C0C0"/>
          </w:tcPr>
          <w:p w:rsidR="00B070BF" w:rsidRPr="009577DE" w:rsidRDefault="00B070BF" w:rsidP="00C33D4A">
            <w:pPr>
              <w:widowControl w:val="0"/>
              <w:ind w:left="89"/>
              <w:rPr>
                <w:sz w:val="16"/>
                <w:szCs w:val="16"/>
                <w:lang w:val="es-ES_tradnl"/>
              </w:rPr>
            </w:pPr>
            <w:r w:rsidRPr="009577DE">
              <w:rPr>
                <w:sz w:val="16"/>
                <w:szCs w:val="16"/>
                <w:lang w:val="es-ES_tradnl"/>
              </w:rPr>
              <w:t xml:space="preserve">PATENTSCOPE: siete millones de documentos (febrero de 2011); </w:t>
            </w:r>
          </w:p>
          <w:p w:rsidR="00B070BF" w:rsidRPr="009577DE" w:rsidRDefault="00B070BF" w:rsidP="00C33D4A">
            <w:pPr>
              <w:widowControl w:val="0"/>
              <w:ind w:left="89"/>
              <w:rPr>
                <w:sz w:val="16"/>
                <w:szCs w:val="16"/>
                <w:lang w:val="es-ES_tradnl"/>
              </w:rPr>
            </w:pPr>
            <w:r w:rsidRPr="009577DE">
              <w:rPr>
                <w:sz w:val="16"/>
                <w:szCs w:val="16"/>
                <w:lang w:val="es-ES_tradnl"/>
              </w:rPr>
              <w:t>Base Mundial de Datos sobre Marcas: 0</w:t>
            </w:r>
          </w:p>
        </w:tc>
        <w:tc>
          <w:tcPr>
            <w:tcW w:w="963" w:type="pct"/>
            <w:tcBorders>
              <w:top w:val="nil"/>
              <w:bottom w:val="nil"/>
            </w:tcBorders>
            <w:shd w:val="clear" w:color="auto" w:fill="auto"/>
            <w:tcMar>
              <w:top w:w="110" w:type="dxa"/>
            </w:tcMar>
          </w:tcPr>
          <w:p w:rsidR="00B070BF" w:rsidRPr="00F2661C" w:rsidRDefault="00B070BF" w:rsidP="00C33D4A">
            <w:pPr>
              <w:widowControl w:val="0"/>
              <w:rPr>
                <w:color w:val="993300"/>
                <w:sz w:val="16"/>
                <w:szCs w:val="16"/>
                <w:lang w:val="es-ES_tradnl" w:bidi="th-TH"/>
              </w:rPr>
            </w:pPr>
            <w:r w:rsidRPr="00F2661C">
              <w:rPr>
                <w:color w:val="993300"/>
                <w:sz w:val="16"/>
                <w:szCs w:val="16"/>
                <w:lang w:val="es-ES_tradnl" w:bidi="th-TH"/>
              </w:rPr>
              <w:t xml:space="preserve">PATENTSCOPE: </w:t>
            </w:r>
          </w:p>
          <w:p w:rsidR="00B070BF" w:rsidRPr="00F2661C" w:rsidRDefault="00B070BF" w:rsidP="00C33D4A">
            <w:pPr>
              <w:widowControl w:val="0"/>
              <w:rPr>
                <w:color w:val="993300"/>
                <w:sz w:val="16"/>
                <w:szCs w:val="16"/>
                <w:lang w:val="es-ES_tradnl" w:bidi="th-TH"/>
              </w:rPr>
            </w:pPr>
            <w:r w:rsidRPr="00F2661C">
              <w:rPr>
                <w:color w:val="993300"/>
                <w:sz w:val="16"/>
                <w:szCs w:val="16"/>
                <w:lang w:val="es-ES_tradnl" w:bidi="th-TH"/>
              </w:rPr>
              <w:t>10 millones</w:t>
            </w:r>
          </w:p>
          <w:p w:rsidR="00B070BF" w:rsidRPr="00F2661C" w:rsidRDefault="00B070BF" w:rsidP="00C33D4A">
            <w:pPr>
              <w:widowControl w:val="0"/>
              <w:rPr>
                <w:color w:val="993300"/>
                <w:sz w:val="16"/>
                <w:szCs w:val="16"/>
                <w:lang w:val="es-ES_tradnl" w:bidi="th-TH"/>
              </w:rPr>
            </w:pPr>
            <w:r w:rsidRPr="00F2661C">
              <w:rPr>
                <w:color w:val="993300"/>
                <w:sz w:val="16"/>
                <w:szCs w:val="16"/>
                <w:lang w:val="es-ES_tradnl" w:bidi="th-TH"/>
              </w:rPr>
              <w:t>de documentos</w:t>
            </w:r>
          </w:p>
          <w:p w:rsidR="00B070BF" w:rsidRPr="00F2661C" w:rsidRDefault="00B070BF" w:rsidP="00C33D4A">
            <w:pPr>
              <w:widowControl w:val="0"/>
              <w:rPr>
                <w:color w:val="993300"/>
                <w:sz w:val="16"/>
                <w:szCs w:val="16"/>
                <w:lang w:val="es-ES_tradnl" w:bidi="th-TH"/>
              </w:rPr>
            </w:pPr>
          </w:p>
          <w:p w:rsidR="00B070BF" w:rsidRPr="00F2661C" w:rsidRDefault="00B070BF" w:rsidP="00C33D4A">
            <w:pPr>
              <w:widowControl w:val="0"/>
              <w:rPr>
                <w:color w:val="993300"/>
                <w:sz w:val="16"/>
                <w:szCs w:val="16"/>
                <w:lang w:val="es-ES_tradnl" w:bidi="th-TH"/>
              </w:rPr>
            </w:pPr>
          </w:p>
          <w:p w:rsidR="00B070BF" w:rsidRPr="00F2661C" w:rsidRDefault="00B070BF" w:rsidP="00C33D4A">
            <w:pPr>
              <w:widowControl w:val="0"/>
              <w:rPr>
                <w:color w:val="993300"/>
                <w:sz w:val="16"/>
                <w:szCs w:val="16"/>
                <w:lang w:val="es-ES_tradnl" w:bidi="th-TH"/>
              </w:rPr>
            </w:pPr>
            <w:r w:rsidRPr="00F2661C">
              <w:rPr>
                <w:color w:val="993300"/>
                <w:sz w:val="16"/>
                <w:szCs w:val="16"/>
                <w:lang w:val="es-ES_tradnl" w:bidi="th-TH"/>
              </w:rPr>
              <w:t>Base Mundial de Datos sobre Marcas: 700.000</w:t>
            </w:r>
          </w:p>
        </w:tc>
        <w:tc>
          <w:tcPr>
            <w:tcW w:w="1662" w:type="pct"/>
            <w:tcBorders>
              <w:top w:val="nil"/>
              <w:bottom w:val="nil"/>
            </w:tcBorders>
            <w:shd w:val="clear" w:color="auto" w:fill="FFFFFF"/>
            <w:tcMar>
              <w:top w:w="110" w:type="dxa"/>
            </w:tcMar>
          </w:tcPr>
          <w:p w:rsidR="00B070BF" w:rsidRPr="009577DE" w:rsidRDefault="00B070BF" w:rsidP="00C33D4A">
            <w:pPr>
              <w:widowControl w:val="0"/>
              <w:rPr>
                <w:sz w:val="16"/>
                <w:szCs w:val="16"/>
                <w:lang w:val="es-ES_tradnl" w:bidi="th-TH"/>
              </w:rPr>
            </w:pPr>
            <w:r w:rsidRPr="009577DE">
              <w:rPr>
                <w:sz w:val="16"/>
                <w:szCs w:val="16"/>
                <w:lang w:val="es-ES_tradnl" w:bidi="th-TH"/>
              </w:rPr>
              <w:t>18 millones de documentos</w:t>
            </w:r>
          </w:p>
          <w:p w:rsidR="00B070BF" w:rsidRPr="009577DE" w:rsidRDefault="00B070BF" w:rsidP="00C33D4A">
            <w:pPr>
              <w:widowControl w:val="0"/>
              <w:rPr>
                <w:sz w:val="16"/>
                <w:szCs w:val="16"/>
                <w:lang w:val="es-ES_tradnl" w:bidi="th-TH"/>
              </w:rPr>
            </w:pPr>
          </w:p>
          <w:p w:rsidR="00B070BF" w:rsidRPr="009577DE" w:rsidRDefault="00B070BF" w:rsidP="00C33D4A">
            <w:pPr>
              <w:widowControl w:val="0"/>
              <w:rPr>
                <w:sz w:val="16"/>
                <w:szCs w:val="16"/>
                <w:lang w:val="es-ES_tradnl" w:bidi="th-TH"/>
              </w:rPr>
            </w:pPr>
          </w:p>
          <w:p w:rsidR="00B070BF" w:rsidRPr="009577DE" w:rsidRDefault="00B070BF" w:rsidP="00C33D4A">
            <w:pPr>
              <w:widowControl w:val="0"/>
              <w:rPr>
                <w:sz w:val="16"/>
                <w:szCs w:val="16"/>
                <w:lang w:val="es-ES_tradnl" w:bidi="th-TH"/>
              </w:rPr>
            </w:pPr>
          </w:p>
          <w:p w:rsidR="00B070BF" w:rsidRPr="009577DE" w:rsidRDefault="00B070BF" w:rsidP="00C33D4A">
            <w:pPr>
              <w:widowControl w:val="0"/>
              <w:rPr>
                <w:sz w:val="16"/>
                <w:szCs w:val="16"/>
                <w:lang w:val="es-ES_tradnl" w:bidi="th-TH"/>
              </w:rPr>
            </w:pPr>
          </w:p>
          <w:p w:rsidR="00B070BF" w:rsidRPr="009577DE" w:rsidRDefault="00B070BF" w:rsidP="00C33D4A">
            <w:pPr>
              <w:widowControl w:val="0"/>
              <w:rPr>
                <w:sz w:val="16"/>
                <w:szCs w:val="16"/>
                <w:lang w:val="es-ES_tradnl" w:bidi="th-TH"/>
              </w:rPr>
            </w:pPr>
            <w:r w:rsidRPr="009577DE">
              <w:rPr>
                <w:sz w:val="16"/>
                <w:szCs w:val="16"/>
                <w:lang w:val="es-ES_tradnl" w:bidi="th-TH"/>
              </w:rPr>
              <w:t xml:space="preserve">Base Mundial de Datos sobre Marcas: </w:t>
            </w:r>
          </w:p>
          <w:p w:rsidR="00B070BF" w:rsidRPr="009577DE" w:rsidRDefault="00B070BF" w:rsidP="00C33D4A">
            <w:pPr>
              <w:widowControl w:val="0"/>
              <w:rPr>
                <w:sz w:val="16"/>
                <w:szCs w:val="16"/>
                <w:lang w:val="es-ES_tradnl" w:bidi="th-TH"/>
              </w:rPr>
            </w:pPr>
            <w:r w:rsidRPr="009577DE">
              <w:rPr>
                <w:sz w:val="16"/>
                <w:szCs w:val="16"/>
                <w:lang w:val="es-ES_tradnl" w:bidi="th-TH"/>
              </w:rPr>
              <w:t>2 millones</w:t>
            </w:r>
          </w:p>
          <w:p w:rsidR="00B070BF" w:rsidRPr="009577DE" w:rsidRDefault="00B070BF" w:rsidP="00C33D4A">
            <w:pPr>
              <w:widowControl w:val="0"/>
              <w:rPr>
                <w:sz w:val="16"/>
                <w:szCs w:val="16"/>
                <w:lang w:val="es-ES_tradnl"/>
              </w:rPr>
            </w:pPr>
          </w:p>
        </w:tc>
        <w:tc>
          <w:tcPr>
            <w:tcW w:w="514" w:type="pct"/>
            <w:tcBorders>
              <w:top w:val="nil"/>
              <w:bottom w:val="nil"/>
              <w:right w:val="single" w:sz="4" w:space="0" w:color="auto"/>
            </w:tcBorders>
            <w:shd w:val="clear" w:color="auto" w:fill="auto"/>
            <w:tcMar>
              <w:top w:w="110" w:type="dxa"/>
            </w:tcMar>
          </w:tcPr>
          <w:p w:rsidR="00B070BF" w:rsidRPr="009577DE" w:rsidRDefault="00B070BF" w:rsidP="00C33D4A">
            <w:pPr>
              <w:widowControl w:val="0"/>
              <w:jc w:val="center"/>
              <w:rPr>
                <w:b/>
                <w:sz w:val="16"/>
                <w:szCs w:val="16"/>
                <w:lang w:val="es-ES_tradnl"/>
              </w:rPr>
            </w:pPr>
            <w:r w:rsidRPr="009577DE">
              <w:rPr>
                <w:b/>
                <w:color w:val="008000"/>
                <w:sz w:val="16"/>
                <w:szCs w:val="16"/>
                <w:lang w:val="es-ES_tradnl"/>
              </w:rPr>
              <w:t>Progresa con normalidad</w:t>
            </w:r>
          </w:p>
          <w:p w:rsidR="00B070BF" w:rsidRPr="009577DE" w:rsidRDefault="00B070BF" w:rsidP="00C33D4A">
            <w:pPr>
              <w:widowControl w:val="0"/>
              <w:jc w:val="center"/>
              <w:rPr>
                <w:bCs/>
                <w:sz w:val="16"/>
                <w:szCs w:val="16"/>
                <w:lang w:val="es-ES_tradnl"/>
              </w:rPr>
            </w:pPr>
          </w:p>
          <w:p w:rsidR="00B070BF" w:rsidRPr="009577DE" w:rsidRDefault="00B070BF" w:rsidP="00C33D4A">
            <w:pPr>
              <w:widowControl w:val="0"/>
              <w:jc w:val="center"/>
              <w:rPr>
                <w:bCs/>
                <w:sz w:val="16"/>
                <w:szCs w:val="16"/>
                <w:lang w:val="es-ES_tradnl"/>
              </w:rPr>
            </w:pPr>
          </w:p>
        </w:tc>
      </w:tr>
      <w:tr w:rsidR="00B070BF" w:rsidRPr="009577DE" w:rsidTr="00C33D4A">
        <w:trPr>
          <w:cantSplit/>
        </w:trPr>
        <w:tc>
          <w:tcPr>
            <w:tcW w:w="1031" w:type="pct"/>
            <w:tcBorders>
              <w:top w:val="nil"/>
              <w:left w:val="single" w:sz="4" w:space="0" w:color="auto"/>
              <w:bottom w:val="nil"/>
            </w:tcBorders>
            <w:shd w:val="clear" w:color="auto" w:fill="auto"/>
          </w:tcPr>
          <w:p w:rsidR="00B070BF" w:rsidRPr="009577DE" w:rsidRDefault="00B070BF" w:rsidP="00C33D4A">
            <w:pPr>
              <w:widowControl w:val="0"/>
              <w:rPr>
                <w:sz w:val="16"/>
                <w:szCs w:val="16"/>
                <w:lang w:val="es-ES_tradnl"/>
              </w:rPr>
            </w:pPr>
            <w:r w:rsidRPr="009577DE">
              <w:rPr>
                <w:sz w:val="16"/>
                <w:szCs w:val="16"/>
                <w:lang w:val="es-ES_tradnl"/>
              </w:rPr>
              <w:t>Número de colecciones nacionales en PATENTSCOPE.</w:t>
            </w:r>
          </w:p>
        </w:tc>
        <w:tc>
          <w:tcPr>
            <w:tcW w:w="830" w:type="pct"/>
            <w:tcBorders>
              <w:top w:val="nil"/>
              <w:bottom w:val="nil"/>
            </w:tcBorders>
            <w:shd w:val="clear" w:color="auto" w:fill="C0C0C0"/>
          </w:tcPr>
          <w:p w:rsidR="00B070BF" w:rsidRPr="009577DE" w:rsidRDefault="00B070BF" w:rsidP="00C33D4A">
            <w:pPr>
              <w:widowControl w:val="0"/>
              <w:ind w:left="1" w:firstLineChars="54" w:firstLine="86"/>
              <w:rPr>
                <w:sz w:val="16"/>
                <w:szCs w:val="16"/>
                <w:lang w:val="es-ES_tradnl"/>
              </w:rPr>
            </w:pPr>
            <w:r w:rsidRPr="009577DE">
              <w:rPr>
                <w:sz w:val="16"/>
                <w:szCs w:val="16"/>
                <w:lang w:val="es-ES_tradnl"/>
              </w:rPr>
              <w:t>18</w:t>
            </w:r>
          </w:p>
        </w:tc>
        <w:tc>
          <w:tcPr>
            <w:tcW w:w="963" w:type="pct"/>
            <w:tcBorders>
              <w:top w:val="nil"/>
              <w:bottom w:val="nil"/>
            </w:tcBorders>
            <w:shd w:val="clear" w:color="auto" w:fill="auto"/>
            <w:tcMar>
              <w:top w:w="110" w:type="dxa"/>
            </w:tcMar>
          </w:tcPr>
          <w:p w:rsidR="00B070BF" w:rsidRPr="00F2661C" w:rsidRDefault="00B070BF" w:rsidP="00C33D4A">
            <w:pPr>
              <w:widowControl w:val="0"/>
              <w:rPr>
                <w:color w:val="993300"/>
                <w:sz w:val="16"/>
                <w:szCs w:val="16"/>
                <w:lang w:val="es-ES_tradnl" w:bidi="th-TH"/>
              </w:rPr>
            </w:pPr>
            <w:r w:rsidRPr="00F2661C">
              <w:rPr>
                <w:color w:val="993300"/>
                <w:sz w:val="16"/>
                <w:szCs w:val="16"/>
                <w:lang w:val="es-ES_tradnl" w:bidi="th-TH"/>
              </w:rPr>
              <w:t>28</w:t>
            </w:r>
          </w:p>
        </w:tc>
        <w:tc>
          <w:tcPr>
            <w:tcW w:w="1662" w:type="pct"/>
            <w:tcBorders>
              <w:top w:val="nil"/>
              <w:bottom w:val="nil"/>
            </w:tcBorders>
            <w:shd w:val="clear" w:color="auto" w:fill="FFFFFF"/>
            <w:tcMar>
              <w:top w:w="110" w:type="dxa"/>
            </w:tcMar>
          </w:tcPr>
          <w:p w:rsidR="00B070BF" w:rsidRPr="009577DE" w:rsidRDefault="00B070BF" w:rsidP="00C33D4A">
            <w:pPr>
              <w:widowControl w:val="0"/>
              <w:rPr>
                <w:sz w:val="16"/>
                <w:szCs w:val="16"/>
                <w:lang w:val="es-ES_tradnl" w:bidi="th-TH"/>
              </w:rPr>
            </w:pPr>
            <w:r w:rsidRPr="009577DE">
              <w:rPr>
                <w:sz w:val="16"/>
                <w:szCs w:val="16"/>
                <w:lang w:val="es-ES_tradnl" w:bidi="th-TH"/>
              </w:rPr>
              <w:t>30</w:t>
            </w:r>
          </w:p>
          <w:p w:rsidR="00B070BF" w:rsidRPr="009577DE" w:rsidRDefault="00B070BF" w:rsidP="00C33D4A">
            <w:pPr>
              <w:widowControl w:val="0"/>
              <w:rPr>
                <w:sz w:val="16"/>
                <w:szCs w:val="16"/>
                <w:lang w:val="es-ES_tradnl" w:bidi="th-TH"/>
              </w:rPr>
            </w:pPr>
          </w:p>
          <w:p w:rsidR="00B070BF" w:rsidRPr="009577DE" w:rsidRDefault="00B070BF" w:rsidP="00C33D4A">
            <w:pPr>
              <w:widowControl w:val="0"/>
              <w:rPr>
                <w:sz w:val="16"/>
                <w:szCs w:val="16"/>
                <w:lang w:val="es-ES_tradnl" w:bidi="th-TH"/>
              </w:rPr>
            </w:pPr>
          </w:p>
          <w:p w:rsidR="00B070BF" w:rsidRPr="009577DE" w:rsidRDefault="00B070BF" w:rsidP="00C33D4A">
            <w:pPr>
              <w:widowControl w:val="0"/>
              <w:rPr>
                <w:sz w:val="16"/>
                <w:szCs w:val="16"/>
                <w:lang w:val="es-ES_tradnl"/>
              </w:rPr>
            </w:pPr>
          </w:p>
        </w:tc>
        <w:tc>
          <w:tcPr>
            <w:tcW w:w="514" w:type="pct"/>
            <w:tcBorders>
              <w:top w:val="nil"/>
              <w:bottom w:val="nil"/>
              <w:right w:val="single" w:sz="4" w:space="0" w:color="auto"/>
            </w:tcBorders>
            <w:shd w:val="clear" w:color="auto" w:fill="auto"/>
            <w:tcMar>
              <w:top w:w="110" w:type="dxa"/>
            </w:tcMar>
          </w:tcPr>
          <w:p w:rsidR="00B070BF" w:rsidRPr="009577DE" w:rsidRDefault="00B070BF" w:rsidP="00C33D4A">
            <w:pPr>
              <w:widowControl w:val="0"/>
              <w:jc w:val="center"/>
              <w:rPr>
                <w:b/>
                <w:sz w:val="16"/>
                <w:szCs w:val="16"/>
                <w:lang w:val="es-ES_tradnl"/>
              </w:rPr>
            </w:pPr>
            <w:r w:rsidRPr="009577DE">
              <w:rPr>
                <w:b/>
                <w:color w:val="008000"/>
                <w:sz w:val="16"/>
                <w:szCs w:val="16"/>
                <w:lang w:val="es-ES_tradnl"/>
              </w:rPr>
              <w:t>Progresa con normalidad</w:t>
            </w:r>
          </w:p>
          <w:p w:rsidR="00B070BF" w:rsidRPr="009577DE" w:rsidRDefault="00B070BF" w:rsidP="00C33D4A">
            <w:pPr>
              <w:widowControl w:val="0"/>
              <w:jc w:val="center"/>
              <w:rPr>
                <w:bCs/>
                <w:sz w:val="16"/>
                <w:szCs w:val="16"/>
                <w:lang w:val="es-ES_tradnl"/>
              </w:rPr>
            </w:pPr>
          </w:p>
        </w:tc>
      </w:tr>
      <w:tr w:rsidR="00B070BF" w:rsidRPr="009577DE" w:rsidTr="00C33D4A">
        <w:trPr>
          <w:cantSplit/>
        </w:trPr>
        <w:tc>
          <w:tcPr>
            <w:tcW w:w="1031" w:type="pct"/>
            <w:tcBorders>
              <w:top w:val="nil"/>
              <w:left w:val="single" w:sz="4" w:space="0" w:color="auto"/>
              <w:bottom w:val="single" w:sz="4" w:space="0" w:color="auto"/>
            </w:tcBorders>
            <w:shd w:val="clear" w:color="auto" w:fill="auto"/>
          </w:tcPr>
          <w:p w:rsidR="00B070BF" w:rsidRPr="009577DE" w:rsidRDefault="00B070BF" w:rsidP="00C33D4A">
            <w:pPr>
              <w:widowControl w:val="0"/>
              <w:rPr>
                <w:sz w:val="16"/>
                <w:szCs w:val="16"/>
                <w:lang w:val="es-ES_tradnl"/>
              </w:rPr>
            </w:pPr>
            <w:r w:rsidRPr="009577DE">
              <w:rPr>
                <w:sz w:val="16"/>
                <w:szCs w:val="16"/>
                <w:lang w:val="es-ES_tradnl"/>
              </w:rPr>
              <w:t>Número de colecciones nacionales en la Base Mundial de Datos sobre Marcas.</w:t>
            </w:r>
          </w:p>
        </w:tc>
        <w:tc>
          <w:tcPr>
            <w:tcW w:w="830" w:type="pct"/>
            <w:tcBorders>
              <w:top w:val="nil"/>
              <w:bottom w:val="single" w:sz="4" w:space="0" w:color="auto"/>
            </w:tcBorders>
            <w:shd w:val="clear" w:color="auto" w:fill="C0C0C0"/>
          </w:tcPr>
          <w:p w:rsidR="00B070BF" w:rsidRPr="009577DE" w:rsidRDefault="00B070BF" w:rsidP="00C33D4A">
            <w:pPr>
              <w:widowControl w:val="0"/>
              <w:ind w:left="176"/>
              <w:rPr>
                <w:sz w:val="16"/>
                <w:szCs w:val="16"/>
                <w:lang w:val="es-ES_tradnl"/>
              </w:rPr>
            </w:pPr>
            <w:proofErr w:type="spellStart"/>
            <w:r>
              <w:rPr>
                <w:sz w:val="16"/>
                <w:szCs w:val="16"/>
                <w:lang w:val="es-ES_tradnl"/>
              </w:rPr>
              <w:t>n.d</w:t>
            </w:r>
            <w:proofErr w:type="spellEnd"/>
            <w:r>
              <w:rPr>
                <w:sz w:val="16"/>
                <w:szCs w:val="16"/>
                <w:lang w:val="es-ES_tradnl"/>
              </w:rPr>
              <w:t>.</w:t>
            </w:r>
          </w:p>
        </w:tc>
        <w:tc>
          <w:tcPr>
            <w:tcW w:w="963" w:type="pct"/>
            <w:tcBorders>
              <w:top w:val="nil"/>
              <w:bottom w:val="single" w:sz="4" w:space="0" w:color="auto"/>
            </w:tcBorders>
            <w:shd w:val="clear" w:color="auto" w:fill="auto"/>
            <w:tcMar>
              <w:top w:w="110" w:type="dxa"/>
            </w:tcMar>
          </w:tcPr>
          <w:p w:rsidR="00B070BF" w:rsidRPr="009577DE" w:rsidRDefault="00B070BF" w:rsidP="00C33D4A">
            <w:pPr>
              <w:widowControl w:val="0"/>
              <w:rPr>
                <w:sz w:val="16"/>
                <w:szCs w:val="16"/>
                <w:lang w:val="es-ES_tradnl" w:bidi="th-TH"/>
              </w:rPr>
            </w:pPr>
          </w:p>
        </w:tc>
        <w:tc>
          <w:tcPr>
            <w:tcW w:w="1662" w:type="pct"/>
            <w:tcBorders>
              <w:top w:val="nil"/>
              <w:bottom w:val="single" w:sz="4" w:space="0" w:color="auto"/>
            </w:tcBorders>
            <w:shd w:val="clear" w:color="auto" w:fill="FFFFFF"/>
            <w:tcMar>
              <w:top w:w="110" w:type="dxa"/>
            </w:tcMar>
          </w:tcPr>
          <w:p w:rsidR="00B070BF" w:rsidRPr="009577DE" w:rsidRDefault="00B070BF" w:rsidP="00C33D4A">
            <w:pPr>
              <w:widowControl w:val="0"/>
              <w:rPr>
                <w:sz w:val="16"/>
                <w:szCs w:val="16"/>
                <w:lang w:val="es-ES_tradnl" w:bidi="th-TH"/>
              </w:rPr>
            </w:pPr>
            <w:r w:rsidRPr="009577DE">
              <w:rPr>
                <w:sz w:val="16"/>
                <w:szCs w:val="16"/>
                <w:lang w:val="es-ES_tradnl" w:bidi="th-TH"/>
              </w:rPr>
              <w:t>Tres</w:t>
            </w:r>
          </w:p>
          <w:p w:rsidR="00B070BF" w:rsidRPr="009577DE" w:rsidRDefault="00B070BF" w:rsidP="00C33D4A">
            <w:pPr>
              <w:widowControl w:val="0"/>
              <w:rPr>
                <w:sz w:val="16"/>
                <w:szCs w:val="16"/>
                <w:lang w:val="es-ES_tradnl" w:bidi="th-TH"/>
              </w:rPr>
            </w:pPr>
          </w:p>
          <w:p w:rsidR="00B070BF" w:rsidRPr="009577DE" w:rsidRDefault="00B070BF" w:rsidP="00C33D4A">
            <w:pPr>
              <w:widowControl w:val="0"/>
              <w:rPr>
                <w:sz w:val="16"/>
                <w:szCs w:val="16"/>
                <w:lang w:val="es-ES_tradnl" w:bidi="th-TH"/>
              </w:rPr>
            </w:pPr>
          </w:p>
          <w:p w:rsidR="00B070BF" w:rsidRPr="009577DE" w:rsidRDefault="00B070BF" w:rsidP="00C33D4A">
            <w:pPr>
              <w:widowControl w:val="0"/>
              <w:rPr>
                <w:sz w:val="16"/>
                <w:szCs w:val="16"/>
                <w:lang w:val="es-ES_tradnl"/>
              </w:rPr>
            </w:pPr>
          </w:p>
        </w:tc>
        <w:tc>
          <w:tcPr>
            <w:tcW w:w="514" w:type="pct"/>
            <w:tcBorders>
              <w:top w:val="nil"/>
              <w:bottom w:val="single" w:sz="4" w:space="0" w:color="auto"/>
              <w:right w:val="single" w:sz="4" w:space="0" w:color="auto"/>
            </w:tcBorders>
            <w:shd w:val="clear" w:color="auto" w:fill="auto"/>
            <w:tcMar>
              <w:top w:w="110" w:type="dxa"/>
            </w:tcMar>
          </w:tcPr>
          <w:p w:rsidR="00B070BF" w:rsidRPr="009577DE" w:rsidRDefault="00B070BF" w:rsidP="00C33D4A">
            <w:pPr>
              <w:widowControl w:val="0"/>
              <w:jc w:val="center"/>
              <w:rPr>
                <w:b/>
                <w:sz w:val="16"/>
                <w:szCs w:val="16"/>
                <w:lang w:val="es-ES_tradnl"/>
              </w:rPr>
            </w:pPr>
            <w:r w:rsidRPr="009577DE">
              <w:rPr>
                <w:b/>
                <w:color w:val="008000"/>
                <w:sz w:val="16"/>
                <w:szCs w:val="16"/>
                <w:lang w:val="es-ES_tradnl"/>
              </w:rPr>
              <w:t>Progresa con normalidad</w:t>
            </w:r>
          </w:p>
          <w:p w:rsidR="00B070BF" w:rsidRPr="009577DE" w:rsidRDefault="00B070BF" w:rsidP="00C33D4A">
            <w:pPr>
              <w:widowControl w:val="0"/>
              <w:jc w:val="center"/>
              <w:rPr>
                <w:bCs/>
                <w:sz w:val="16"/>
                <w:szCs w:val="16"/>
                <w:lang w:val="es-ES_tradnl"/>
              </w:rPr>
            </w:pPr>
          </w:p>
          <w:p w:rsidR="00B070BF" w:rsidRPr="009577DE" w:rsidRDefault="00B070BF" w:rsidP="00C33D4A">
            <w:pPr>
              <w:widowControl w:val="0"/>
              <w:jc w:val="center"/>
              <w:rPr>
                <w:bCs/>
                <w:sz w:val="16"/>
                <w:szCs w:val="16"/>
                <w:lang w:val="es-ES_tradnl"/>
              </w:rPr>
            </w:pPr>
          </w:p>
        </w:tc>
      </w:tr>
      <w:tr w:rsidR="00B070BF" w:rsidRPr="009577DE" w:rsidTr="00C33D4A">
        <w:trPr>
          <w:cantSplit/>
        </w:trPr>
        <w:tc>
          <w:tcPr>
            <w:tcW w:w="5000" w:type="pct"/>
            <w:gridSpan w:val="5"/>
            <w:tcBorders>
              <w:top w:val="single" w:sz="4" w:space="0" w:color="auto"/>
              <w:left w:val="single" w:sz="4" w:space="0" w:color="auto"/>
              <w:bottom w:val="single" w:sz="4" w:space="0" w:color="auto"/>
              <w:right w:val="single" w:sz="4" w:space="0" w:color="auto"/>
            </w:tcBorders>
            <w:shd w:val="clear" w:color="auto" w:fill="CCFFFF"/>
            <w:vAlign w:val="center"/>
          </w:tcPr>
          <w:p w:rsidR="00B070BF" w:rsidRPr="009577DE" w:rsidRDefault="00B070BF" w:rsidP="00C33D4A">
            <w:pPr>
              <w:widowControl w:val="0"/>
              <w:spacing w:before="120" w:after="120"/>
              <w:ind w:left="1735" w:hanging="1735"/>
              <w:rPr>
                <w:b/>
                <w:bCs/>
                <w:sz w:val="16"/>
                <w:szCs w:val="16"/>
                <w:lang w:val="es-ES_tradnl"/>
              </w:rPr>
            </w:pPr>
            <w:r w:rsidRPr="009577DE">
              <w:rPr>
                <w:b/>
                <w:bCs/>
                <w:sz w:val="16"/>
                <w:szCs w:val="16"/>
                <w:lang w:val="es-ES_tradnl"/>
              </w:rPr>
              <w:t>Resultado previsto:</w:t>
            </w:r>
            <w:r w:rsidRPr="009577DE">
              <w:rPr>
                <w:b/>
                <w:bCs/>
                <w:sz w:val="16"/>
                <w:szCs w:val="16"/>
                <w:lang w:val="es-ES_tradnl"/>
              </w:rPr>
              <w:tab/>
            </w:r>
            <w:r w:rsidRPr="009577DE">
              <w:rPr>
                <w:bCs/>
                <w:sz w:val="16"/>
                <w:szCs w:val="16"/>
                <w:lang w:val="es-ES_tradnl"/>
              </w:rPr>
              <w:t xml:space="preserve"> Puntualidad de las actualizaciones de PATENTSCOPE en relación con las solicitudes PCT.</w:t>
            </w:r>
          </w:p>
        </w:tc>
      </w:tr>
      <w:tr w:rsidR="00B070BF" w:rsidRPr="009577DE" w:rsidTr="00C33D4A">
        <w:trPr>
          <w:cantSplit/>
        </w:trPr>
        <w:tc>
          <w:tcPr>
            <w:tcW w:w="1031" w:type="pct"/>
            <w:tcBorders>
              <w:top w:val="single" w:sz="4" w:space="0" w:color="auto"/>
              <w:left w:val="single" w:sz="4" w:space="0" w:color="auto"/>
              <w:bottom w:val="nil"/>
            </w:tcBorders>
            <w:shd w:val="clear" w:color="auto" w:fill="auto"/>
          </w:tcPr>
          <w:p w:rsidR="00B070BF" w:rsidRPr="009577DE" w:rsidRDefault="00B070BF" w:rsidP="00C33D4A">
            <w:pPr>
              <w:widowControl w:val="0"/>
              <w:spacing w:after="120"/>
              <w:rPr>
                <w:sz w:val="16"/>
                <w:szCs w:val="16"/>
                <w:lang w:val="es-ES_tradnl"/>
              </w:rPr>
            </w:pPr>
            <w:r w:rsidRPr="009577DE">
              <w:rPr>
                <w:b/>
                <w:bCs/>
                <w:sz w:val="16"/>
                <w:szCs w:val="16"/>
                <w:lang w:val="es-ES_tradnl"/>
              </w:rPr>
              <w:t>Indicadores de rendimiento</w:t>
            </w:r>
          </w:p>
        </w:tc>
        <w:tc>
          <w:tcPr>
            <w:tcW w:w="830" w:type="pct"/>
            <w:tcBorders>
              <w:top w:val="single" w:sz="4" w:space="0" w:color="auto"/>
              <w:bottom w:val="nil"/>
            </w:tcBorders>
            <w:shd w:val="clear" w:color="auto" w:fill="C0C0C0"/>
          </w:tcPr>
          <w:p w:rsidR="00B070BF" w:rsidRPr="009577DE" w:rsidRDefault="00B070BF" w:rsidP="00C33D4A">
            <w:pPr>
              <w:widowControl w:val="0"/>
              <w:spacing w:after="120"/>
              <w:rPr>
                <w:b/>
                <w:bCs/>
                <w:sz w:val="16"/>
                <w:szCs w:val="16"/>
                <w:lang w:val="es-ES_tradnl"/>
              </w:rPr>
            </w:pPr>
            <w:r w:rsidRPr="009577DE">
              <w:rPr>
                <w:b/>
                <w:bCs/>
                <w:sz w:val="16"/>
                <w:szCs w:val="16"/>
                <w:lang w:val="es-ES_tradnl"/>
              </w:rPr>
              <w:t>Referencia (</w:t>
            </w:r>
            <w:proofErr w:type="spellStart"/>
            <w:r w:rsidRPr="009577DE">
              <w:rPr>
                <w:b/>
                <w:bCs/>
                <w:sz w:val="16"/>
                <w:szCs w:val="16"/>
                <w:lang w:val="es-ES_tradnl"/>
              </w:rPr>
              <w:t>Presup</w:t>
            </w:r>
            <w:proofErr w:type="spellEnd"/>
            <w:r w:rsidRPr="009577DE">
              <w:rPr>
                <w:b/>
                <w:bCs/>
                <w:sz w:val="16"/>
                <w:szCs w:val="16"/>
                <w:lang w:val="es-ES_tradnl"/>
              </w:rPr>
              <w:t xml:space="preserve">. por </w:t>
            </w:r>
            <w:proofErr w:type="spellStart"/>
            <w:r w:rsidRPr="009577DE">
              <w:rPr>
                <w:b/>
                <w:bCs/>
                <w:sz w:val="16"/>
                <w:szCs w:val="16"/>
                <w:lang w:val="es-ES_tradnl"/>
              </w:rPr>
              <w:t>prog</w:t>
            </w:r>
            <w:proofErr w:type="spellEnd"/>
            <w:r w:rsidRPr="009577DE">
              <w:rPr>
                <w:b/>
                <w:bCs/>
                <w:sz w:val="16"/>
                <w:szCs w:val="16"/>
                <w:lang w:val="es-ES_tradnl"/>
              </w:rPr>
              <w:t>. 2012/13)</w:t>
            </w:r>
          </w:p>
        </w:tc>
        <w:tc>
          <w:tcPr>
            <w:tcW w:w="963" w:type="pct"/>
            <w:tcBorders>
              <w:top w:val="single" w:sz="4" w:space="0" w:color="auto"/>
              <w:bottom w:val="nil"/>
            </w:tcBorders>
            <w:shd w:val="clear" w:color="auto" w:fill="auto"/>
            <w:tcMar>
              <w:top w:w="110" w:type="dxa"/>
            </w:tcMar>
          </w:tcPr>
          <w:p w:rsidR="00B070BF" w:rsidRPr="009577DE" w:rsidRDefault="00B070BF" w:rsidP="00C33D4A">
            <w:pPr>
              <w:widowControl w:val="0"/>
              <w:spacing w:after="120"/>
              <w:rPr>
                <w:b/>
                <w:sz w:val="16"/>
                <w:szCs w:val="16"/>
                <w:lang w:val="es-ES_tradnl"/>
              </w:rPr>
            </w:pPr>
            <w:r w:rsidRPr="00BF138D">
              <w:rPr>
                <w:b/>
                <w:color w:val="993300"/>
                <w:sz w:val="16"/>
                <w:szCs w:val="16"/>
                <w:lang w:val="es-ES_tradnl"/>
              </w:rPr>
              <w:t>Referencia actualizada a finales de 2011</w:t>
            </w:r>
          </w:p>
        </w:tc>
        <w:tc>
          <w:tcPr>
            <w:tcW w:w="1662" w:type="pct"/>
            <w:tcBorders>
              <w:top w:val="single" w:sz="4" w:space="0" w:color="auto"/>
              <w:bottom w:val="nil"/>
            </w:tcBorders>
            <w:shd w:val="clear" w:color="auto" w:fill="FFFFFF"/>
            <w:tcMar>
              <w:top w:w="110" w:type="dxa"/>
            </w:tcMar>
          </w:tcPr>
          <w:p w:rsidR="00B070BF" w:rsidRPr="009577DE" w:rsidRDefault="00B070BF" w:rsidP="00C33D4A">
            <w:pPr>
              <w:widowControl w:val="0"/>
              <w:rPr>
                <w:b/>
                <w:bCs/>
                <w:sz w:val="16"/>
                <w:szCs w:val="16"/>
                <w:lang w:val="es-ES_tradnl"/>
              </w:rPr>
            </w:pPr>
            <w:r w:rsidRPr="009577DE">
              <w:rPr>
                <w:b/>
                <w:bCs/>
                <w:sz w:val="16"/>
                <w:szCs w:val="16"/>
                <w:lang w:val="es-ES_tradnl"/>
              </w:rPr>
              <w:t>Datos sobre el rendimiento</w:t>
            </w:r>
          </w:p>
          <w:p w:rsidR="00B070BF" w:rsidRPr="009577DE" w:rsidRDefault="00B070BF" w:rsidP="00C33D4A">
            <w:pPr>
              <w:widowControl w:val="0"/>
              <w:spacing w:after="120"/>
              <w:rPr>
                <w:sz w:val="16"/>
                <w:szCs w:val="16"/>
                <w:lang w:val="es-ES_tradnl"/>
              </w:rPr>
            </w:pPr>
          </w:p>
        </w:tc>
        <w:tc>
          <w:tcPr>
            <w:tcW w:w="514" w:type="pct"/>
            <w:tcBorders>
              <w:top w:val="single" w:sz="4" w:space="0" w:color="auto"/>
              <w:bottom w:val="nil"/>
              <w:right w:val="single" w:sz="4" w:space="0" w:color="auto"/>
            </w:tcBorders>
            <w:shd w:val="clear" w:color="auto" w:fill="auto"/>
            <w:tcMar>
              <w:top w:w="110" w:type="dxa"/>
            </w:tcMar>
          </w:tcPr>
          <w:p w:rsidR="00B070BF" w:rsidRPr="009577DE" w:rsidRDefault="00B070BF" w:rsidP="00C33D4A">
            <w:pPr>
              <w:widowControl w:val="0"/>
              <w:spacing w:after="120"/>
              <w:rPr>
                <w:b/>
                <w:bCs/>
                <w:sz w:val="16"/>
                <w:szCs w:val="16"/>
                <w:lang w:val="es-ES_tradnl"/>
              </w:rPr>
            </w:pPr>
            <w:r w:rsidRPr="009577DE">
              <w:rPr>
                <w:b/>
                <w:bCs/>
                <w:sz w:val="16"/>
                <w:szCs w:val="16"/>
                <w:lang w:val="es-ES_tradnl"/>
              </w:rPr>
              <w:t>Clave de colores</w:t>
            </w:r>
          </w:p>
        </w:tc>
      </w:tr>
      <w:tr w:rsidR="00B070BF" w:rsidRPr="009577DE" w:rsidTr="00C33D4A">
        <w:trPr>
          <w:cantSplit/>
        </w:trPr>
        <w:tc>
          <w:tcPr>
            <w:tcW w:w="1031" w:type="pct"/>
            <w:tcBorders>
              <w:top w:val="nil"/>
              <w:left w:val="single" w:sz="4" w:space="0" w:color="auto"/>
              <w:bottom w:val="nil"/>
            </w:tcBorders>
            <w:shd w:val="clear" w:color="auto" w:fill="auto"/>
          </w:tcPr>
          <w:p w:rsidR="00B070BF" w:rsidRPr="009577DE" w:rsidRDefault="00B070BF" w:rsidP="00C33D4A">
            <w:pPr>
              <w:widowControl w:val="0"/>
              <w:rPr>
                <w:sz w:val="16"/>
                <w:szCs w:val="16"/>
                <w:lang w:val="es-ES_tradnl"/>
              </w:rPr>
            </w:pPr>
            <w:r w:rsidRPr="009577DE">
              <w:rPr>
                <w:sz w:val="16"/>
                <w:szCs w:val="16"/>
                <w:lang w:val="es-ES_tradnl"/>
              </w:rPr>
              <w:t>Plazo (en meses) de aplicación de cambios en PATENTSCOPE en relación con el Reglamento del PCT.</w:t>
            </w:r>
          </w:p>
        </w:tc>
        <w:tc>
          <w:tcPr>
            <w:tcW w:w="830" w:type="pct"/>
            <w:tcBorders>
              <w:top w:val="nil"/>
              <w:bottom w:val="nil"/>
            </w:tcBorders>
            <w:shd w:val="clear" w:color="auto" w:fill="C0C0C0"/>
          </w:tcPr>
          <w:p w:rsidR="00B070BF" w:rsidRPr="009577DE" w:rsidRDefault="00B070BF" w:rsidP="00C33D4A">
            <w:pPr>
              <w:widowControl w:val="0"/>
              <w:ind w:left="89" w:firstLineChars="100" w:firstLine="160"/>
              <w:rPr>
                <w:sz w:val="16"/>
                <w:szCs w:val="16"/>
                <w:lang w:val="es-ES_tradnl"/>
              </w:rPr>
            </w:pPr>
            <w:r w:rsidRPr="009577DE">
              <w:rPr>
                <w:sz w:val="16"/>
                <w:szCs w:val="16"/>
                <w:lang w:val="es-ES_tradnl"/>
              </w:rPr>
              <w:t>0</w:t>
            </w:r>
          </w:p>
        </w:tc>
        <w:tc>
          <w:tcPr>
            <w:tcW w:w="963" w:type="pct"/>
            <w:tcBorders>
              <w:top w:val="nil"/>
              <w:bottom w:val="nil"/>
            </w:tcBorders>
            <w:shd w:val="clear" w:color="auto" w:fill="auto"/>
            <w:tcMar>
              <w:top w:w="110" w:type="dxa"/>
            </w:tcMar>
          </w:tcPr>
          <w:p w:rsidR="00B070BF" w:rsidRPr="009577DE" w:rsidRDefault="00B070BF" w:rsidP="00C33D4A">
            <w:pPr>
              <w:widowControl w:val="0"/>
              <w:rPr>
                <w:sz w:val="16"/>
                <w:szCs w:val="16"/>
                <w:lang w:val="es-ES_tradnl" w:bidi="th-TH"/>
              </w:rPr>
            </w:pPr>
          </w:p>
        </w:tc>
        <w:tc>
          <w:tcPr>
            <w:tcW w:w="1662" w:type="pct"/>
            <w:tcBorders>
              <w:top w:val="nil"/>
              <w:bottom w:val="nil"/>
            </w:tcBorders>
            <w:shd w:val="clear" w:color="auto" w:fill="FFFFFF"/>
            <w:tcMar>
              <w:top w:w="110" w:type="dxa"/>
            </w:tcMar>
          </w:tcPr>
          <w:p w:rsidR="00B070BF" w:rsidRPr="009577DE" w:rsidRDefault="00B070BF" w:rsidP="00C33D4A">
            <w:pPr>
              <w:widowControl w:val="0"/>
              <w:rPr>
                <w:sz w:val="16"/>
                <w:szCs w:val="16"/>
                <w:lang w:val="es-ES_tradnl" w:bidi="th-TH"/>
              </w:rPr>
            </w:pPr>
            <w:r w:rsidRPr="009577DE">
              <w:rPr>
                <w:sz w:val="16"/>
                <w:szCs w:val="16"/>
                <w:lang w:val="es-ES_tradnl" w:bidi="th-TH"/>
              </w:rPr>
              <w:t>0</w:t>
            </w:r>
          </w:p>
          <w:p w:rsidR="00B070BF" w:rsidRPr="009577DE" w:rsidRDefault="00B070BF" w:rsidP="00C33D4A">
            <w:pPr>
              <w:widowControl w:val="0"/>
              <w:rPr>
                <w:sz w:val="16"/>
                <w:szCs w:val="16"/>
                <w:lang w:val="es-ES_tradnl" w:bidi="th-TH"/>
              </w:rPr>
            </w:pPr>
          </w:p>
          <w:p w:rsidR="00B070BF" w:rsidRPr="009577DE" w:rsidRDefault="00B070BF" w:rsidP="00C33D4A">
            <w:pPr>
              <w:widowControl w:val="0"/>
              <w:rPr>
                <w:sz w:val="16"/>
                <w:szCs w:val="16"/>
                <w:lang w:val="es-ES_tradnl" w:bidi="th-TH"/>
              </w:rPr>
            </w:pPr>
          </w:p>
          <w:p w:rsidR="00B070BF" w:rsidRPr="009577DE" w:rsidRDefault="00B070BF" w:rsidP="00C33D4A">
            <w:pPr>
              <w:widowControl w:val="0"/>
              <w:rPr>
                <w:sz w:val="16"/>
                <w:szCs w:val="16"/>
                <w:lang w:val="es-ES_tradnl" w:bidi="th-TH"/>
              </w:rPr>
            </w:pPr>
          </w:p>
          <w:p w:rsidR="00B070BF" w:rsidRPr="009577DE" w:rsidRDefault="00B070BF" w:rsidP="00C33D4A">
            <w:pPr>
              <w:widowControl w:val="0"/>
              <w:rPr>
                <w:sz w:val="16"/>
                <w:szCs w:val="16"/>
                <w:lang w:val="es-ES_tradnl" w:bidi="th-TH"/>
              </w:rPr>
            </w:pPr>
          </w:p>
          <w:p w:rsidR="00B070BF" w:rsidRPr="009577DE" w:rsidRDefault="00B070BF" w:rsidP="00C33D4A">
            <w:pPr>
              <w:widowControl w:val="0"/>
              <w:rPr>
                <w:sz w:val="16"/>
                <w:szCs w:val="16"/>
                <w:lang w:val="es-ES_tradnl"/>
              </w:rPr>
            </w:pPr>
          </w:p>
        </w:tc>
        <w:tc>
          <w:tcPr>
            <w:tcW w:w="514" w:type="pct"/>
            <w:tcBorders>
              <w:top w:val="nil"/>
              <w:bottom w:val="nil"/>
              <w:right w:val="single" w:sz="4" w:space="0" w:color="auto"/>
            </w:tcBorders>
            <w:shd w:val="clear" w:color="auto" w:fill="auto"/>
            <w:tcMar>
              <w:top w:w="110" w:type="dxa"/>
            </w:tcMar>
          </w:tcPr>
          <w:p w:rsidR="00B070BF" w:rsidRPr="009577DE" w:rsidRDefault="00B070BF" w:rsidP="00C33D4A">
            <w:pPr>
              <w:widowControl w:val="0"/>
              <w:jc w:val="center"/>
              <w:rPr>
                <w:b/>
                <w:sz w:val="16"/>
                <w:szCs w:val="16"/>
                <w:lang w:val="es-ES_tradnl"/>
              </w:rPr>
            </w:pPr>
            <w:r w:rsidRPr="009577DE">
              <w:rPr>
                <w:b/>
                <w:color w:val="008000"/>
                <w:sz w:val="16"/>
                <w:szCs w:val="16"/>
                <w:lang w:val="es-ES_tradnl"/>
              </w:rPr>
              <w:t>Progresa con normalidad</w:t>
            </w:r>
          </w:p>
          <w:p w:rsidR="00B070BF" w:rsidRPr="009577DE" w:rsidRDefault="00B070BF" w:rsidP="00C33D4A">
            <w:pPr>
              <w:widowControl w:val="0"/>
              <w:jc w:val="center"/>
              <w:rPr>
                <w:bCs/>
                <w:sz w:val="16"/>
                <w:szCs w:val="16"/>
                <w:lang w:val="es-ES_tradnl"/>
              </w:rPr>
            </w:pPr>
          </w:p>
          <w:p w:rsidR="00B070BF" w:rsidRPr="009577DE" w:rsidRDefault="00B070BF" w:rsidP="00C33D4A">
            <w:pPr>
              <w:widowControl w:val="0"/>
              <w:jc w:val="center"/>
              <w:rPr>
                <w:bCs/>
                <w:sz w:val="16"/>
                <w:szCs w:val="16"/>
                <w:lang w:val="es-ES_tradnl"/>
              </w:rPr>
            </w:pPr>
          </w:p>
        </w:tc>
      </w:tr>
      <w:tr w:rsidR="00B070BF" w:rsidRPr="009577DE" w:rsidTr="00C33D4A">
        <w:trPr>
          <w:cantSplit/>
        </w:trPr>
        <w:tc>
          <w:tcPr>
            <w:tcW w:w="1031" w:type="pct"/>
            <w:tcBorders>
              <w:top w:val="nil"/>
              <w:left w:val="single" w:sz="4" w:space="0" w:color="auto"/>
              <w:bottom w:val="single" w:sz="4" w:space="0" w:color="auto"/>
            </w:tcBorders>
            <w:shd w:val="clear" w:color="auto" w:fill="auto"/>
          </w:tcPr>
          <w:p w:rsidR="00B070BF" w:rsidRPr="009577DE" w:rsidRDefault="00B070BF" w:rsidP="00C33D4A">
            <w:pPr>
              <w:widowControl w:val="0"/>
              <w:rPr>
                <w:sz w:val="16"/>
                <w:szCs w:val="16"/>
                <w:lang w:val="es-ES_tradnl"/>
              </w:rPr>
            </w:pPr>
            <w:r w:rsidRPr="009577DE">
              <w:rPr>
                <w:sz w:val="16"/>
                <w:szCs w:val="16"/>
                <w:lang w:val="es-ES_tradnl"/>
              </w:rPr>
              <w:t>Número de semanas por año en que la publicación no está disponible a las 8.00 de la noche hora de Ginebra en la fecha de publicación.</w:t>
            </w:r>
          </w:p>
          <w:p w:rsidR="00B070BF" w:rsidRPr="009577DE" w:rsidRDefault="00B070BF" w:rsidP="00C33D4A">
            <w:pPr>
              <w:widowControl w:val="0"/>
              <w:rPr>
                <w:sz w:val="16"/>
                <w:szCs w:val="16"/>
                <w:lang w:val="es-ES_tradnl"/>
              </w:rPr>
            </w:pPr>
          </w:p>
        </w:tc>
        <w:tc>
          <w:tcPr>
            <w:tcW w:w="830" w:type="pct"/>
            <w:tcBorders>
              <w:top w:val="nil"/>
              <w:bottom w:val="single" w:sz="4" w:space="0" w:color="auto"/>
            </w:tcBorders>
            <w:shd w:val="clear" w:color="auto" w:fill="C0C0C0"/>
          </w:tcPr>
          <w:p w:rsidR="00B070BF" w:rsidRPr="009577DE" w:rsidRDefault="00B070BF" w:rsidP="00C33D4A">
            <w:pPr>
              <w:widowControl w:val="0"/>
              <w:ind w:left="89" w:firstLineChars="100" w:firstLine="160"/>
              <w:rPr>
                <w:sz w:val="16"/>
                <w:szCs w:val="16"/>
                <w:lang w:val="es-ES_tradnl"/>
              </w:rPr>
            </w:pPr>
            <w:r w:rsidRPr="009577DE">
              <w:rPr>
                <w:sz w:val="16"/>
                <w:szCs w:val="16"/>
                <w:lang w:val="es-ES_tradnl"/>
              </w:rPr>
              <w:t>0</w:t>
            </w:r>
          </w:p>
        </w:tc>
        <w:tc>
          <w:tcPr>
            <w:tcW w:w="963" w:type="pct"/>
            <w:tcBorders>
              <w:top w:val="nil"/>
              <w:bottom w:val="single" w:sz="4" w:space="0" w:color="auto"/>
            </w:tcBorders>
            <w:shd w:val="clear" w:color="auto" w:fill="auto"/>
            <w:tcMar>
              <w:top w:w="110" w:type="dxa"/>
            </w:tcMar>
          </w:tcPr>
          <w:p w:rsidR="00B070BF" w:rsidRPr="009577DE" w:rsidRDefault="00B070BF" w:rsidP="00C33D4A">
            <w:pPr>
              <w:widowControl w:val="0"/>
              <w:rPr>
                <w:sz w:val="16"/>
                <w:szCs w:val="16"/>
                <w:lang w:val="es-ES_tradnl" w:bidi="th-TH"/>
              </w:rPr>
            </w:pPr>
          </w:p>
        </w:tc>
        <w:tc>
          <w:tcPr>
            <w:tcW w:w="1662" w:type="pct"/>
            <w:tcBorders>
              <w:top w:val="nil"/>
              <w:bottom w:val="single" w:sz="4" w:space="0" w:color="auto"/>
            </w:tcBorders>
            <w:shd w:val="clear" w:color="auto" w:fill="FFFFFF"/>
            <w:tcMar>
              <w:top w:w="110" w:type="dxa"/>
            </w:tcMar>
          </w:tcPr>
          <w:p w:rsidR="00B070BF" w:rsidRPr="009577DE" w:rsidRDefault="00B070BF" w:rsidP="00C33D4A">
            <w:pPr>
              <w:widowControl w:val="0"/>
              <w:rPr>
                <w:sz w:val="16"/>
                <w:szCs w:val="16"/>
                <w:lang w:val="es-ES_tradnl" w:bidi="th-TH"/>
              </w:rPr>
            </w:pPr>
            <w:r w:rsidRPr="009577DE">
              <w:rPr>
                <w:sz w:val="16"/>
                <w:szCs w:val="16"/>
                <w:lang w:val="es-ES_tradnl" w:bidi="th-TH"/>
              </w:rPr>
              <w:t>0</w:t>
            </w:r>
          </w:p>
          <w:p w:rsidR="00B070BF" w:rsidRPr="009577DE" w:rsidRDefault="00B070BF" w:rsidP="00C33D4A">
            <w:pPr>
              <w:widowControl w:val="0"/>
              <w:rPr>
                <w:sz w:val="16"/>
                <w:szCs w:val="16"/>
                <w:lang w:val="es-ES_tradnl" w:bidi="th-TH"/>
              </w:rPr>
            </w:pPr>
          </w:p>
          <w:p w:rsidR="00B070BF" w:rsidRPr="009577DE" w:rsidRDefault="00B070BF" w:rsidP="00C33D4A">
            <w:pPr>
              <w:widowControl w:val="0"/>
              <w:rPr>
                <w:sz w:val="16"/>
                <w:szCs w:val="16"/>
                <w:lang w:val="es-ES_tradnl" w:bidi="th-TH"/>
              </w:rPr>
            </w:pPr>
          </w:p>
          <w:p w:rsidR="00B070BF" w:rsidRPr="009577DE" w:rsidRDefault="00B070BF" w:rsidP="00C33D4A">
            <w:pPr>
              <w:widowControl w:val="0"/>
              <w:rPr>
                <w:sz w:val="16"/>
                <w:szCs w:val="16"/>
                <w:lang w:val="es-ES_tradnl" w:bidi="th-TH"/>
              </w:rPr>
            </w:pPr>
          </w:p>
          <w:p w:rsidR="00B070BF" w:rsidRPr="009577DE" w:rsidRDefault="00B070BF" w:rsidP="00C33D4A">
            <w:pPr>
              <w:widowControl w:val="0"/>
              <w:rPr>
                <w:sz w:val="16"/>
                <w:szCs w:val="16"/>
                <w:lang w:val="es-ES_tradnl"/>
              </w:rPr>
            </w:pPr>
          </w:p>
        </w:tc>
        <w:tc>
          <w:tcPr>
            <w:tcW w:w="514" w:type="pct"/>
            <w:tcBorders>
              <w:top w:val="nil"/>
              <w:bottom w:val="single" w:sz="4" w:space="0" w:color="auto"/>
              <w:right w:val="single" w:sz="4" w:space="0" w:color="auto"/>
            </w:tcBorders>
            <w:shd w:val="clear" w:color="auto" w:fill="auto"/>
            <w:tcMar>
              <w:top w:w="110" w:type="dxa"/>
            </w:tcMar>
          </w:tcPr>
          <w:p w:rsidR="00B070BF" w:rsidRPr="009577DE" w:rsidRDefault="00B070BF" w:rsidP="00C33D4A">
            <w:pPr>
              <w:widowControl w:val="0"/>
              <w:jc w:val="center"/>
              <w:rPr>
                <w:b/>
                <w:sz w:val="16"/>
                <w:szCs w:val="16"/>
                <w:lang w:val="es-ES_tradnl"/>
              </w:rPr>
            </w:pPr>
            <w:r w:rsidRPr="009577DE">
              <w:rPr>
                <w:b/>
                <w:color w:val="008000"/>
                <w:sz w:val="16"/>
                <w:szCs w:val="16"/>
                <w:lang w:val="es-ES_tradnl"/>
              </w:rPr>
              <w:t>Progresa con normalidad</w:t>
            </w:r>
          </w:p>
          <w:p w:rsidR="00B070BF" w:rsidRPr="009577DE" w:rsidRDefault="00B070BF" w:rsidP="00C33D4A">
            <w:pPr>
              <w:widowControl w:val="0"/>
              <w:jc w:val="center"/>
              <w:rPr>
                <w:bCs/>
                <w:sz w:val="16"/>
                <w:szCs w:val="16"/>
                <w:lang w:val="es-ES_tradnl"/>
              </w:rPr>
            </w:pPr>
          </w:p>
          <w:p w:rsidR="00B070BF" w:rsidRPr="009577DE" w:rsidRDefault="00B070BF" w:rsidP="00C33D4A">
            <w:pPr>
              <w:widowControl w:val="0"/>
              <w:jc w:val="center"/>
              <w:rPr>
                <w:bCs/>
                <w:sz w:val="16"/>
                <w:szCs w:val="16"/>
                <w:lang w:val="es-ES_tradnl"/>
              </w:rPr>
            </w:pPr>
            <w:r w:rsidRPr="009577DE">
              <w:rPr>
                <w:bCs/>
                <w:sz w:val="16"/>
                <w:szCs w:val="16"/>
                <w:lang w:val="es-ES_tradnl"/>
              </w:rPr>
              <w:br/>
            </w:r>
            <w:r w:rsidRPr="009577DE">
              <w:rPr>
                <w:bCs/>
                <w:sz w:val="16"/>
                <w:szCs w:val="16"/>
                <w:lang w:val="es-ES_tradnl"/>
              </w:rPr>
              <w:br/>
            </w:r>
          </w:p>
        </w:tc>
      </w:tr>
    </w:tbl>
    <w:p w:rsidR="00B070BF" w:rsidRDefault="00B070BF" w:rsidP="00B070BF">
      <w:pPr>
        <w:widowControl w:val="0"/>
        <w:rPr>
          <w:sz w:val="20"/>
          <w:lang w:val="es-ES_tradnl"/>
        </w:rPr>
      </w:pPr>
    </w:p>
    <w:p w:rsidR="00B070BF" w:rsidRPr="009577DE" w:rsidRDefault="00B070BF" w:rsidP="00B070BF">
      <w:pPr>
        <w:keepNext/>
        <w:widowControl w:val="0"/>
        <w:rPr>
          <w:sz w:val="20"/>
          <w:lang w:val="es-ES_tradnl"/>
        </w:rPr>
      </w:pPr>
      <w:r w:rsidRPr="009577DE">
        <w:rPr>
          <w:sz w:val="20"/>
          <w:lang w:val="es-ES_tradnl"/>
        </w:rPr>
        <w:lastRenderedPageBreak/>
        <w:t>PRESUPUESTO Y GASTOS REALES</w:t>
      </w:r>
    </w:p>
    <w:p w:rsidR="00B070BF" w:rsidRPr="006964C6" w:rsidRDefault="00B070BF" w:rsidP="00B070BF">
      <w:pPr>
        <w:keepNext/>
        <w:widowControl w:val="0"/>
        <w:rPr>
          <w:sz w:val="20"/>
          <w:lang w:val="es-ES_tradnl"/>
        </w:rPr>
      </w:pPr>
    </w:p>
    <w:p w:rsidR="00B070BF" w:rsidRPr="006964C6" w:rsidRDefault="00B070BF" w:rsidP="00B070BF">
      <w:pPr>
        <w:widowControl w:val="0"/>
        <w:jc w:val="center"/>
        <w:rPr>
          <w:sz w:val="20"/>
          <w:lang w:val="es-ES_tradnl"/>
        </w:rPr>
      </w:pPr>
      <w:r w:rsidRPr="006964C6">
        <w:rPr>
          <w:sz w:val="20"/>
          <w:lang w:val="es-ES_tradnl"/>
        </w:rPr>
        <w:t>Presupuesto y gastos reales (por resultado)</w:t>
      </w:r>
    </w:p>
    <w:p w:rsidR="00B070BF" w:rsidRPr="009577DE" w:rsidRDefault="00B070BF" w:rsidP="00B070BF">
      <w:pPr>
        <w:widowControl w:val="0"/>
        <w:jc w:val="center"/>
        <w:rPr>
          <w:sz w:val="20"/>
          <w:lang w:val="es-ES_tradnl"/>
        </w:rPr>
      </w:pPr>
      <w:r w:rsidRPr="006964C6">
        <w:rPr>
          <w:i/>
          <w:iCs/>
          <w:sz w:val="20"/>
          <w:lang w:val="es-ES_tradnl"/>
        </w:rPr>
        <w:t>(en miles de francos suizos)</w:t>
      </w:r>
      <w:r w:rsidRPr="006964C6">
        <w:rPr>
          <w:i/>
          <w:iCs/>
          <w:sz w:val="20"/>
          <w:lang w:val="es-ES_tradnl"/>
        </w:rPr>
        <w:br/>
      </w:r>
      <w:r w:rsidRPr="006964C6">
        <w:rPr>
          <w:i/>
          <w:iCs/>
          <w:sz w:val="20"/>
          <w:lang w:val="es-ES_tradnl"/>
        </w:rPr>
        <w:br/>
      </w:r>
      <w:r w:rsidRPr="009577DE">
        <w:rPr>
          <w:noProof/>
          <w:lang w:val="en-US" w:eastAsia="en-US"/>
        </w:rPr>
        <w:drawing>
          <wp:inline distT="0" distB="0" distL="0" distR="0" wp14:anchorId="08F38EAA" wp14:editId="02B4D260">
            <wp:extent cx="5902325" cy="1899920"/>
            <wp:effectExtent l="0" t="0" r="3175" b="5080"/>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902325" cy="1899920"/>
                    </a:xfrm>
                    <a:prstGeom prst="rect">
                      <a:avLst/>
                    </a:prstGeom>
                    <a:noFill/>
                    <a:ln>
                      <a:noFill/>
                    </a:ln>
                  </pic:spPr>
                </pic:pic>
              </a:graphicData>
            </a:graphic>
          </wp:inline>
        </w:drawing>
      </w:r>
    </w:p>
    <w:p w:rsidR="00B070BF" w:rsidRPr="006964C6" w:rsidRDefault="00B070BF" w:rsidP="00B070BF">
      <w:pPr>
        <w:widowControl w:val="0"/>
        <w:jc w:val="center"/>
        <w:rPr>
          <w:sz w:val="20"/>
          <w:lang w:val="es-ES_tradnl"/>
        </w:rPr>
      </w:pPr>
    </w:p>
    <w:p w:rsidR="00B070BF" w:rsidRPr="006964C6" w:rsidRDefault="00B070BF" w:rsidP="00B070BF">
      <w:pPr>
        <w:widowControl w:val="0"/>
        <w:jc w:val="center"/>
        <w:rPr>
          <w:sz w:val="20"/>
          <w:lang w:val="es-ES_tradnl"/>
        </w:rPr>
      </w:pPr>
    </w:p>
    <w:p w:rsidR="00B070BF" w:rsidRPr="009577DE" w:rsidRDefault="00B070BF" w:rsidP="00B070BF">
      <w:pPr>
        <w:widowControl w:val="0"/>
        <w:jc w:val="center"/>
        <w:rPr>
          <w:sz w:val="20"/>
          <w:lang w:val="es-ES_tradnl"/>
        </w:rPr>
      </w:pPr>
      <w:r w:rsidRPr="006964C6">
        <w:rPr>
          <w:sz w:val="20"/>
          <w:lang w:val="es-ES_tradnl"/>
        </w:rPr>
        <w:t>Presupuesto y gastos reales (de personal y no relativos al personal)</w:t>
      </w:r>
      <w:r w:rsidRPr="006964C6">
        <w:rPr>
          <w:sz w:val="20"/>
          <w:lang w:val="es-ES_tradnl"/>
        </w:rPr>
        <w:br/>
      </w:r>
      <w:r w:rsidRPr="006964C6">
        <w:rPr>
          <w:i/>
          <w:sz w:val="20"/>
          <w:lang w:val="es-ES_tradnl"/>
        </w:rPr>
        <w:t>(en miles de francos suizos)</w:t>
      </w:r>
      <w:r w:rsidRPr="006964C6">
        <w:rPr>
          <w:sz w:val="20"/>
          <w:lang w:val="es-ES_tradnl"/>
        </w:rPr>
        <w:br/>
      </w:r>
      <w:r w:rsidRPr="006964C6">
        <w:rPr>
          <w:sz w:val="20"/>
          <w:lang w:val="es-ES_tradnl"/>
        </w:rPr>
        <w:br/>
      </w:r>
      <w:r w:rsidRPr="009577DE">
        <w:rPr>
          <w:noProof/>
          <w:lang w:val="en-US" w:eastAsia="en-US"/>
        </w:rPr>
        <w:drawing>
          <wp:inline distT="0" distB="0" distL="0" distR="0" wp14:anchorId="6DF74C58" wp14:editId="4338B0E6">
            <wp:extent cx="5902325" cy="1211580"/>
            <wp:effectExtent l="0" t="0" r="3175" b="7620"/>
            <wp:docPr id="223" name="Picture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902325" cy="1211580"/>
                    </a:xfrm>
                    <a:prstGeom prst="rect">
                      <a:avLst/>
                    </a:prstGeom>
                    <a:noFill/>
                    <a:ln>
                      <a:noFill/>
                    </a:ln>
                  </pic:spPr>
                </pic:pic>
              </a:graphicData>
            </a:graphic>
          </wp:inline>
        </w:drawing>
      </w:r>
    </w:p>
    <w:p w:rsidR="00B070BF" w:rsidRPr="009577DE" w:rsidRDefault="00B070BF" w:rsidP="00B070BF">
      <w:pPr>
        <w:widowControl w:val="0"/>
        <w:autoSpaceDE w:val="0"/>
        <w:autoSpaceDN w:val="0"/>
        <w:adjustRightInd w:val="0"/>
        <w:rPr>
          <w:i/>
          <w:sz w:val="16"/>
          <w:szCs w:val="16"/>
          <w:u w:val="single"/>
          <w:lang w:val="es-ES_tradnl"/>
        </w:rPr>
      </w:pPr>
    </w:p>
    <w:p w:rsidR="00B070BF" w:rsidRPr="009577DE" w:rsidRDefault="00B070BF" w:rsidP="00B070BF">
      <w:pPr>
        <w:widowControl w:val="0"/>
        <w:autoSpaceDE w:val="0"/>
        <w:autoSpaceDN w:val="0"/>
        <w:adjustRightInd w:val="0"/>
        <w:rPr>
          <w:sz w:val="16"/>
          <w:szCs w:val="16"/>
          <w:lang w:val="es-ES_tradnl"/>
        </w:rPr>
      </w:pPr>
      <w:r w:rsidRPr="007C3E0F">
        <w:rPr>
          <w:sz w:val="16"/>
          <w:szCs w:val="16"/>
          <w:lang w:val="es-ES_tradnl"/>
        </w:rPr>
        <w:t>NOTAS:</w:t>
      </w:r>
    </w:p>
    <w:p w:rsidR="00B070BF" w:rsidRPr="009577DE" w:rsidRDefault="00B070BF" w:rsidP="00B070BF">
      <w:pPr>
        <w:widowControl w:val="0"/>
        <w:autoSpaceDE w:val="0"/>
        <w:autoSpaceDN w:val="0"/>
        <w:adjustRightInd w:val="0"/>
        <w:rPr>
          <w:sz w:val="16"/>
          <w:szCs w:val="16"/>
          <w:lang w:val="es-ES_tradnl"/>
        </w:rPr>
      </w:pPr>
    </w:p>
    <w:p w:rsidR="00B070BF" w:rsidRPr="009577DE" w:rsidRDefault="00B070BF" w:rsidP="00B070BF">
      <w:pPr>
        <w:widowControl w:val="0"/>
        <w:autoSpaceDE w:val="0"/>
        <w:autoSpaceDN w:val="0"/>
        <w:adjustRightInd w:val="0"/>
        <w:rPr>
          <w:sz w:val="16"/>
          <w:szCs w:val="16"/>
          <w:lang w:val="es-ES_tradnl"/>
        </w:rPr>
      </w:pPr>
      <w:r w:rsidRPr="009577DE">
        <w:rPr>
          <w:sz w:val="16"/>
          <w:szCs w:val="16"/>
          <w:lang w:val="es-ES_tradnl"/>
        </w:rPr>
        <w:t>1) El presupuesto después de las transferencias refleja el presupuesto de los programas ajustado después de las transferencias efectuadas en 2012/13 en virtud del artículo 5.5 del Reglamento Financiero.</w:t>
      </w:r>
    </w:p>
    <w:p w:rsidR="00B070BF" w:rsidRPr="009577DE" w:rsidRDefault="00B070BF" w:rsidP="00B070BF">
      <w:pPr>
        <w:widowControl w:val="0"/>
        <w:autoSpaceDE w:val="0"/>
        <w:autoSpaceDN w:val="0"/>
        <w:adjustRightInd w:val="0"/>
        <w:rPr>
          <w:sz w:val="16"/>
          <w:szCs w:val="16"/>
          <w:lang w:val="es-ES_tradnl"/>
        </w:rPr>
      </w:pPr>
    </w:p>
    <w:p w:rsidR="00B070BF" w:rsidRPr="009577DE" w:rsidRDefault="00B070BF" w:rsidP="00B070BF">
      <w:pPr>
        <w:widowControl w:val="0"/>
        <w:autoSpaceDE w:val="0"/>
        <w:autoSpaceDN w:val="0"/>
        <w:adjustRightInd w:val="0"/>
        <w:rPr>
          <w:sz w:val="16"/>
          <w:szCs w:val="16"/>
          <w:lang w:val="es-ES_tradnl"/>
        </w:rPr>
      </w:pPr>
      <w:r w:rsidRPr="009577DE">
        <w:rPr>
          <w:sz w:val="16"/>
          <w:szCs w:val="16"/>
          <w:lang w:val="es-ES_tradnl"/>
        </w:rPr>
        <w:t xml:space="preserve">2) La asignación para el personal del presupuesto de 2012/13 después de las transferencias representa los gastos reales efectuados hasta el 31 de marzo de 2013 y los importes presupuestados para los nueve meses restantes de 2013, sobre la base de costos estándar. </w:t>
      </w:r>
    </w:p>
    <w:p w:rsidR="00B070BF" w:rsidRPr="009577DE" w:rsidRDefault="00B070BF" w:rsidP="00B070BF">
      <w:pPr>
        <w:widowControl w:val="0"/>
        <w:autoSpaceDE w:val="0"/>
        <w:autoSpaceDN w:val="0"/>
        <w:adjustRightInd w:val="0"/>
        <w:rPr>
          <w:sz w:val="16"/>
          <w:szCs w:val="16"/>
          <w:lang w:val="es-ES_tradnl"/>
        </w:rPr>
      </w:pPr>
    </w:p>
    <w:p w:rsidR="00B070BF" w:rsidRPr="009577DE" w:rsidRDefault="00B070BF" w:rsidP="00B070BF">
      <w:pPr>
        <w:widowControl w:val="0"/>
        <w:autoSpaceDE w:val="0"/>
        <w:autoSpaceDN w:val="0"/>
        <w:adjustRightInd w:val="0"/>
        <w:rPr>
          <w:sz w:val="16"/>
          <w:szCs w:val="16"/>
          <w:lang w:val="es-ES_tradnl"/>
        </w:rPr>
      </w:pPr>
      <w:r w:rsidRPr="009577DE">
        <w:rPr>
          <w:sz w:val="16"/>
          <w:szCs w:val="16"/>
          <w:lang w:val="es-ES_tradnl"/>
        </w:rPr>
        <w:t>3) La asignación no relativa al personal del presupuesto de 2012/13 después de las transferencias refleja los ajustes a la baja efectuados para aumentar la eficacia en función de los costos, de conformidad con el compromiso de la Organización de reducir gastos por un importe de 10,2 millones de francos suizos en el bienio 2012/13.</w:t>
      </w:r>
    </w:p>
    <w:p w:rsidR="00B070BF" w:rsidRPr="009577DE" w:rsidRDefault="00B070BF" w:rsidP="00B070BF">
      <w:pPr>
        <w:widowControl w:val="0"/>
        <w:rPr>
          <w:sz w:val="20"/>
          <w:lang w:val="es-ES_tradnl"/>
        </w:rPr>
      </w:pPr>
    </w:p>
    <w:p w:rsidR="00B070BF" w:rsidRPr="009577DE" w:rsidRDefault="00B070BF" w:rsidP="00B070BF">
      <w:pPr>
        <w:widowControl w:val="0"/>
        <w:rPr>
          <w:sz w:val="20"/>
          <w:u w:val="single"/>
          <w:lang w:val="es-ES_tradnl"/>
        </w:rPr>
      </w:pPr>
      <w:r>
        <w:rPr>
          <w:sz w:val="20"/>
          <w:lang w:val="es-ES_tradnl"/>
        </w:rPr>
        <w:t xml:space="preserve">A.  </w:t>
      </w:r>
      <w:r w:rsidRPr="009577DE">
        <w:rPr>
          <w:sz w:val="20"/>
          <w:u w:val="single"/>
          <w:lang w:val="es-ES_tradnl"/>
        </w:rPr>
        <w:t xml:space="preserve">Presupuesto </w:t>
      </w:r>
      <w:r>
        <w:rPr>
          <w:sz w:val="20"/>
          <w:u w:val="single"/>
          <w:lang w:val="es-ES_tradnl"/>
        </w:rPr>
        <w:t>2012/13</w:t>
      </w:r>
      <w:r w:rsidRPr="009577DE">
        <w:rPr>
          <w:sz w:val="20"/>
          <w:u w:val="single"/>
          <w:lang w:val="es-ES_tradnl"/>
        </w:rPr>
        <w:t xml:space="preserve"> después de las transferencias</w:t>
      </w:r>
    </w:p>
    <w:p w:rsidR="00B070BF" w:rsidRPr="009577DE" w:rsidRDefault="00B070BF" w:rsidP="00B070BF">
      <w:pPr>
        <w:widowControl w:val="0"/>
        <w:rPr>
          <w:sz w:val="20"/>
          <w:u w:val="single"/>
          <w:lang w:val="es-ES_tradnl"/>
        </w:rPr>
      </w:pPr>
    </w:p>
    <w:p w:rsidR="00B070BF" w:rsidRPr="009577DE" w:rsidRDefault="00B070BF" w:rsidP="00B070BF">
      <w:pPr>
        <w:widowControl w:val="0"/>
        <w:numPr>
          <w:ilvl w:val="0"/>
          <w:numId w:val="30"/>
        </w:numPr>
        <w:jc w:val="both"/>
        <w:rPr>
          <w:sz w:val="20"/>
          <w:lang w:val="es-ES_tradnl"/>
        </w:rPr>
      </w:pPr>
      <w:r w:rsidRPr="009577DE">
        <w:rPr>
          <w:bCs/>
          <w:sz w:val="20"/>
          <w:lang w:val="es-ES_tradnl"/>
        </w:rPr>
        <w:t>El presupuesto de 2012/13 después de las transferencias refleja los ajustes que se detallan en las notas precedentes.  Los ajustes efectuados respecto de los distintos resultados son consecuencia de un reconocimiento más preciso de las actividades específicas relacionadas con cada uno de los resultados.  El aumento de los recursos relativos al resultado IV.2 (</w:t>
      </w:r>
      <w:r w:rsidRPr="009577DE">
        <w:rPr>
          <w:sz w:val="20"/>
          <w:lang w:val="es-ES_tradnl"/>
        </w:rPr>
        <w:t>Mejora en el acceso y la utilización de la información y los conocimientos sobre P.I.</w:t>
      </w:r>
      <w:r w:rsidRPr="009577DE">
        <w:rPr>
          <w:bCs/>
          <w:sz w:val="20"/>
          <w:lang w:val="es-ES_tradnl"/>
        </w:rPr>
        <w:t>) se debe a la reasignación de ciertas actividades del resultado IV.3 (Difusión de las colecciones sobre patentes) al resultado IV.4 (Puntualidad de las actualizaciones de PATENTSCOPE</w:t>
      </w:r>
      <w:r w:rsidRPr="009577DE">
        <w:rPr>
          <w:sz w:val="20"/>
          <w:lang w:val="es-ES_tradnl"/>
        </w:rPr>
        <w:t>).</w:t>
      </w:r>
    </w:p>
    <w:p w:rsidR="00B070BF" w:rsidRPr="009577DE" w:rsidRDefault="00B070BF" w:rsidP="00B070BF">
      <w:pPr>
        <w:widowControl w:val="0"/>
        <w:jc w:val="both"/>
        <w:rPr>
          <w:rFonts w:eastAsia="Batang"/>
          <w:sz w:val="20"/>
          <w:lang w:val="es-ES_tradnl" w:eastAsia="ko-KR"/>
        </w:rPr>
      </w:pPr>
    </w:p>
    <w:p w:rsidR="00B070BF" w:rsidRPr="009577DE" w:rsidRDefault="00B070BF" w:rsidP="00B070BF">
      <w:pPr>
        <w:widowControl w:val="0"/>
        <w:jc w:val="both"/>
        <w:rPr>
          <w:rFonts w:eastAsia="Batang"/>
          <w:sz w:val="20"/>
          <w:u w:val="single"/>
          <w:lang w:val="es-ES_tradnl" w:eastAsia="ko-KR"/>
        </w:rPr>
      </w:pPr>
      <w:r w:rsidRPr="009577DE">
        <w:rPr>
          <w:rFonts w:eastAsia="Batang"/>
          <w:sz w:val="20"/>
          <w:lang w:val="es-ES_tradnl" w:eastAsia="ko-KR"/>
        </w:rPr>
        <w:t xml:space="preserve">B. </w:t>
      </w:r>
      <w:r>
        <w:rPr>
          <w:rFonts w:eastAsia="Batang"/>
          <w:sz w:val="20"/>
          <w:lang w:val="es-ES_tradnl" w:eastAsia="ko-KR"/>
        </w:rPr>
        <w:t xml:space="preserve"> </w:t>
      </w:r>
      <w:r w:rsidRPr="009577DE">
        <w:rPr>
          <w:rFonts w:eastAsia="Batang"/>
          <w:sz w:val="20"/>
          <w:u w:val="single"/>
          <w:lang w:val="es-ES_tradnl" w:eastAsia="ko-KR"/>
        </w:rPr>
        <w:t>Utilización del presupuesto 2012</w:t>
      </w:r>
    </w:p>
    <w:p w:rsidR="00B070BF" w:rsidRPr="009577DE" w:rsidRDefault="00B070BF" w:rsidP="00B070BF">
      <w:pPr>
        <w:widowControl w:val="0"/>
        <w:jc w:val="both"/>
        <w:rPr>
          <w:b/>
          <w:bCs/>
          <w:sz w:val="20"/>
          <w:lang w:val="es-ES_tradnl"/>
        </w:rPr>
      </w:pPr>
    </w:p>
    <w:p w:rsidR="00B070BF" w:rsidRPr="009577DE" w:rsidRDefault="00B070BF" w:rsidP="00B070BF">
      <w:pPr>
        <w:widowControl w:val="0"/>
        <w:numPr>
          <w:ilvl w:val="0"/>
          <w:numId w:val="30"/>
        </w:numPr>
        <w:jc w:val="both"/>
        <w:rPr>
          <w:rFonts w:eastAsia="Batang"/>
          <w:sz w:val="20"/>
          <w:lang w:val="es-ES_tradnl" w:eastAsia="ko-KR"/>
        </w:rPr>
      </w:pPr>
      <w:r w:rsidRPr="009577DE">
        <w:rPr>
          <w:rFonts w:eastAsia="Batang"/>
          <w:sz w:val="20"/>
          <w:lang w:val="es-ES_tradnl" w:eastAsia="ko-KR"/>
        </w:rPr>
        <w:t>La utilización del presupuesto se mantiene entre el 40% y el 60% en el primer año del bienio y progresa con normalidad.</w:t>
      </w:r>
      <w:r w:rsidRPr="009577DE">
        <w:rPr>
          <w:sz w:val="20"/>
          <w:lang w:val="es-ES_tradnl"/>
        </w:rPr>
        <w:t xml:space="preserve">  El índice de utilización del presupuesto es ligeramente inferior a lo previsto a causa fundamentalmente de una reducción de los gastos como consecuencia de la demora en la adquisición del soporte físico del proyecto PATENTSCOPE</w:t>
      </w:r>
      <w:r w:rsidRPr="009577DE">
        <w:rPr>
          <w:rFonts w:eastAsia="Batang"/>
          <w:sz w:val="20"/>
          <w:lang w:val="es-ES_tradnl" w:eastAsia="ko-KR"/>
        </w:rPr>
        <w:t xml:space="preserve">.  </w:t>
      </w:r>
    </w:p>
    <w:p w:rsidR="00B070BF" w:rsidRPr="009577DE" w:rsidRDefault="00B070BF" w:rsidP="00B070BF">
      <w:pPr>
        <w:widowControl w:val="0"/>
        <w:rPr>
          <w:sz w:val="20"/>
          <w:lang w:val="es-ES_tradnl"/>
        </w:rPr>
      </w:pPr>
    </w:p>
    <w:p w:rsidR="00B070BF" w:rsidRPr="009577DE" w:rsidRDefault="00B070BF" w:rsidP="00B070BF">
      <w:pPr>
        <w:pStyle w:val="Heading2"/>
        <w:tabs>
          <w:tab w:val="left" w:pos="2835"/>
        </w:tabs>
        <w:ind w:left="2835" w:hanging="2835"/>
        <w:rPr>
          <w:b/>
          <w:lang w:val="es-ES_tradnl"/>
        </w:rPr>
      </w:pPr>
      <w:r w:rsidRPr="009577DE">
        <w:rPr>
          <w:sz w:val="20"/>
          <w:lang w:val="es-ES_tradnl"/>
        </w:rPr>
        <w:br w:type="page"/>
      </w:r>
      <w:bookmarkStart w:id="40" w:name="_Toc359846800"/>
      <w:bookmarkStart w:id="41" w:name="_Toc359949324"/>
      <w:r w:rsidRPr="009577DE">
        <w:rPr>
          <w:b/>
          <w:lang w:val="es-ES_tradnl"/>
        </w:rPr>
        <w:lastRenderedPageBreak/>
        <w:t>PROGRAMA 14</w:t>
      </w:r>
      <w:r w:rsidRPr="009577DE">
        <w:rPr>
          <w:b/>
          <w:lang w:val="es-ES_tradnl"/>
        </w:rPr>
        <w:tab/>
        <w:t>SERVICIOS DE ACCESO A LA INFORMACIÓN Y A LOS CONOCIMIENTOS</w:t>
      </w:r>
      <w:bookmarkEnd w:id="40"/>
      <w:bookmarkEnd w:id="41"/>
    </w:p>
    <w:p w:rsidR="00B070BF" w:rsidRPr="009577DE" w:rsidRDefault="00B070BF" w:rsidP="00B070BF">
      <w:pPr>
        <w:widowControl w:val="0"/>
        <w:rPr>
          <w:sz w:val="18"/>
          <w:szCs w:val="18"/>
          <w:lang w:val="es-ES_tradnl"/>
        </w:rPr>
      </w:pPr>
    </w:p>
    <w:p w:rsidR="00B070BF" w:rsidRPr="009577DE" w:rsidRDefault="00B070BF" w:rsidP="00B070BF">
      <w:pPr>
        <w:widowControl w:val="0"/>
        <w:rPr>
          <w:sz w:val="18"/>
          <w:szCs w:val="18"/>
          <w:lang w:val="es-ES_tradnl"/>
        </w:rPr>
      </w:pPr>
    </w:p>
    <w:p w:rsidR="00B070BF" w:rsidRPr="009577DE" w:rsidRDefault="00B070BF" w:rsidP="00B070BF">
      <w:pPr>
        <w:widowControl w:val="0"/>
        <w:tabs>
          <w:tab w:val="left" w:pos="2268"/>
        </w:tabs>
        <w:rPr>
          <w:b/>
          <w:szCs w:val="22"/>
          <w:lang w:val="es-ES_tradnl"/>
        </w:rPr>
      </w:pPr>
      <w:r w:rsidRPr="009577DE">
        <w:rPr>
          <w:b/>
          <w:szCs w:val="22"/>
          <w:lang w:val="es-ES_tradnl"/>
        </w:rPr>
        <w:t>Director del Programa</w:t>
      </w:r>
      <w:r w:rsidRPr="009577DE">
        <w:rPr>
          <w:szCs w:val="22"/>
          <w:lang w:val="es-ES_tradnl"/>
        </w:rPr>
        <w:tab/>
      </w:r>
      <w:r w:rsidRPr="009577DE">
        <w:rPr>
          <w:b/>
          <w:szCs w:val="22"/>
          <w:lang w:val="es-ES_tradnl"/>
        </w:rPr>
        <w:t>Sr. Y. Takagi</w:t>
      </w:r>
    </w:p>
    <w:p w:rsidR="00B070BF" w:rsidRPr="009577DE" w:rsidRDefault="00B070BF" w:rsidP="00B070BF">
      <w:pPr>
        <w:widowControl w:val="0"/>
        <w:rPr>
          <w:sz w:val="20"/>
          <w:lang w:val="es-ES_tradnl"/>
        </w:rPr>
      </w:pPr>
    </w:p>
    <w:p w:rsidR="00B070BF" w:rsidRPr="009577DE" w:rsidRDefault="00B070BF" w:rsidP="00B070BF">
      <w:pPr>
        <w:widowControl w:val="0"/>
        <w:rPr>
          <w:bCs/>
          <w:sz w:val="20"/>
          <w:lang w:val="es-ES_tradnl"/>
        </w:rPr>
      </w:pPr>
    </w:p>
    <w:p w:rsidR="00B070BF" w:rsidRPr="009577DE" w:rsidRDefault="00B070BF" w:rsidP="00B070BF">
      <w:pPr>
        <w:widowControl w:val="0"/>
        <w:spacing w:line="260" w:lineRule="atLeast"/>
        <w:rPr>
          <w:bCs/>
          <w:sz w:val="20"/>
          <w:lang w:val="es-ES_tradnl"/>
        </w:rPr>
      </w:pPr>
      <w:r w:rsidRPr="009577DE">
        <w:rPr>
          <w:bCs/>
          <w:sz w:val="20"/>
          <w:lang w:val="es-ES_tradnl"/>
        </w:rPr>
        <w:t>RESEÑA DE LOS AVANCES LOGRADOS EN 2012</w:t>
      </w:r>
    </w:p>
    <w:p w:rsidR="00B070BF" w:rsidRPr="009577DE" w:rsidRDefault="00B070BF" w:rsidP="00B070BF">
      <w:pPr>
        <w:widowControl w:val="0"/>
        <w:jc w:val="both"/>
        <w:rPr>
          <w:szCs w:val="22"/>
          <w:lang w:val="es-ES_tradnl"/>
        </w:rPr>
      </w:pPr>
    </w:p>
    <w:p w:rsidR="00B070BF" w:rsidRPr="009577DE" w:rsidRDefault="00B070BF" w:rsidP="00B070BF">
      <w:pPr>
        <w:widowControl w:val="0"/>
        <w:numPr>
          <w:ilvl w:val="0"/>
          <w:numId w:val="35"/>
        </w:numPr>
        <w:jc w:val="both"/>
        <w:rPr>
          <w:iCs/>
          <w:sz w:val="20"/>
          <w:lang w:val="es-ES_tradnl"/>
        </w:rPr>
      </w:pPr>
      <w:r w:rsidRPr="009577DE">
        <w:rPr>
          <w:iCs/>
          <w:sz w:val="20"/>
          <w:lang w:val="es-ES_tradnl"/>
        </w:rPr>
        <w:t>Durante el año 2012, fueron 36 los Estados miembros que crearon centros de apoyo a la tecnología y la innovación (CATI) en sus respectivos países.  Se celebraron 31 eventos de formación a escala nacional y tres a escala subregional, poniéndose en marcha antes de finalizar el año un total de 35 redes nacionales de CATI.</w:t>
      </w:r>
    </w:p>
    <w:p w:rsidR="00B070BF" w:rsidRPr="009577DE" w:rsidRDefault="00B070BF" w:rsidP="00B070BF">
      <w:pPr>
        <w:widowControl w:val="0"/>
        <w:autoSpaceDE w:val="0"/>
        <w:autoSpaceDN w:val="0"/>
        <w:adjustRightInd w:val="0"/>
        <w:jc w:val="both"/>
        <w:rPr>
          <w:bCs/>
          <w:sz w:val="20"/>
          <w:lang w:val="es-ES_tradnl"/>
        </w:rPr>
      </w:pPr>
    </w:p>
    <w:p w:rsidR="00B070BF" w:rsidRPr="009577DE" w:rsidRDefault="00B070BF" w:rsidP="00B070BF">
      <w:pPr>
        <w:widowControl w:val="0"/>
        <w:numPr>
          <w:ilvl w:val="0"/>
          <w:numId w:val="35"/>
        </w:numPr>
        <w:jc w:val="both"/>
        <w:rPr>
          <w:sz w:val="20"/>
        </w:rPr>
      </w:pPr>
      <w:r w:rsidRPr="009577DE">
        <w:rPr>
          <w:sz w:val="20"/>
          <w:lang w:val="es-ES_tradnl"/>
        </w:rPr>
        <w:t xml:space="preserve">El Programa de la OMPI de acceso a la investigación para el desarrollo y la innovación (ARDI), que facilita el acceso a publicaciones de carácter científico y técnico, registró un aumento notable del número de usuarios registrados hasta superar los 230, de los cuales 110 son usuarios institucionales activos.  En el marco de ARDI, también aumentó el número de publicaciones revisadas por expertos que están a disposición de las instituciones que reúnan las condiciones para participar en el programa, pasando de 250 a unas 3.000, y en la actualidad este programa proporciona además acceso a casi 7.000 libros electrónicos. </w:t>
      </w:r>
    </w:p>
    <w:p w:rsidR="00B070BF" w:rsidRPr="009577DE" w:rsidRDefault="00B070BF" w:rsidP="00B070BF">
      <w:pPr>
        <w:widowControl w:val="0"/>
        <w:jc w:val="both"/>
        <w:rPr>
          <w:sz w:val="20"/>
        </w:rPr>
      </w:pPr>
    </w:p>
    <w:p w:rsidR="00B070BF" w:rsidRPr="009577DE" w:rsidRDefault="00B070BF" w:rsidP="00B070BF">
      <w:pPr>
        <w:widowControl w:val="0"/>
        <w:numPr>
          <w:ilvl w:val="0"/>
          <w:numId w:val="35"/>
        </w:numPr>
        <w:jc w:val="both"/>
        <w:rPr>
          <w:iCs/>
          <w:sz w:val="20"/>
          <w:lang w:val="es-ES_tradnl"/>
        </w:rPr>
      </w:pPr>
      <w:r w:rsidRPr="009577DE">
        <w:rPr>
          <w:sz w:val="20"/>
        </w:rPr>
        <w:t xml:space="preserve">El Programa de la OMPI de acceso a la información especializada sobre patentes (ASPI), que facilita el acceso a bases de datos comerciales especializadas en patentes, sigue despertando el interés de un número cada vez mayor de usuarios, si bien a un ritmo más lento que el programa ARDI, a pesar de la campaña promocional dirigida específicamente a las oficinas de propiedad intelectual de los Estados miembros en 2012.  </w:t>
      </w:r>
      <w:r w:rsidRPr="009577DE">
        <w:rPr>
          <w:sz w:val="20"/>
          <w:lang w:val="es-ES_tradnl"/>
        </w:rPr>
        <w:t>En total, se han inscrito poco más de 30 usuarios, de los cuales 12 instituciones utilizan activamente las bases de datos disponibles por medio de ASPI.</w:t>
      </w:r>
    </w:p>
    <w:p w:rsidR="00B070BF" w:rsidRPr="009577DE" w:rsidRDefault="00B070BF" w:rsidP="00B070BF">
      <w:pPr>
        <w:widowControl w:val="0"/>
        <w:autoSpaceDE w:val="0"/>
        <w:autoSpaceDN w:val="0"/>
        <w:adjustRightInd w:val="0"/>
        <w:jc w:val="both"/>
        <w:rPr>
          <w:bCs/>
          <w:sz w:val="20"/>
          <w:lang w:val="es-ES_tradnl"/>
        </w:rPr>
      </w:pPr>
    </w:p>
    <w:p w:rsidR="00B070BF" w:rsidRPr="009577DE" w:rsidRDefault="00B070BF" w:rsidP="00B070BF">
      <w:pPr>
        <w:widowControl w:val="0"/>
        <w:numPr>
          <w:ilvl w:val="0"/>
          <w:numId w:val="35"/>
        </w:numPr>
        <w:jc w:val="both"/>
        <w:rPr>
          <w:sz w:val="20"/>
          <w:lang w:val="es-ES_tradnl"/>
        </w:rPr>
      </w:pPr>
      <w:r w:rsidRPr="009577DE">
        <w:rPr>
          <w:sz w:val="20"/>
        </w:rPr>
        <w:t xml:space="preserve">La plataforma de gestión de conocimientos </w:t>
      </w:r>
      <w:proofErr w:type="spellStart"/>
      <w:r w:rsidRPr="009577DE">
        <w:rPr>
          <w:sz w:val="20"/>
        </w:rPr>
        <w:t>eTISC</w:t>
      </w:r>
      <w:proofErr w:type="spellEnd"/>
      <w:r w:rsidRPr="009577DE">
        <w:rPr>
          <w:sz w:val="20"/>
          <w:vertAlign w:val="superscript"/>
          <w:lang w:val="en-US"/>
        </w:rPr>
        <w:footnoteReference w:id="10"/>
      </w:r>
      <w:r w:rsidRPr="009577DE">
        <w:rPr>
          <w:sz w:val="20"/>
        </w:rPr>
        <w:t xml:space="preserve"> se puso en marcha en noviembre de 2012 para fomentar el intercambio de información, experiencias y mejores prácticas entre los CATI a escala nacional e internacional.  </w:t>
      </w:r>
      <w:r w:rsidRPr="009577DE">
        <w:rPr>
          <w:sz w:val="20"/>
          <w:lang w:val="es-ES_tradnl"/>
        </w:rPr>
        <w:t>La Plataforma e-TISC ofrece herramientas avanzadas de medios sociales e integra nuevos servicios destinados a impulsar la creación de CATI en todo el mundo, con inclusión de módulos y seminarios de Internet dirigidos a determinados usuarios.</w:t>
      </w:r>
    </w:p>
    <w:p w:rsidR="00B070BF" w:rsidRPr="009577DE" w:rsidRDefault="00B070BF" w:rsidP="00B070BF">
      <w:pPr>
        <w:widowControl w:val="0"/>
        <w:jc w:val="both"/>
        <w:rPr>
          <w:sz w:val="20"/>
          <w:lang w:val="es-ES_tradnl"/>
        </w:rPr>
      </w:pPr>
    </w:p>
    <w:p w:rsidR="00B070BF" w:rsidRPr="009577DE" w:rsidRDefault="00B070BF" w:rsidP="00B070BF">
      <w:pPr>
        <w:widowControl w:val="0"/>
        <w:numPr>
          <w:ilvl w:val="0"/>
          <w:numId w:val="35"/>
        </w:numPr>
        <w:jc w:val="both"/>
        <w:rPr>
          <w:sz w:val="20"/>
          <w:lang w:val="es-ES_tradnl"/>
        </w:rPr>
      </w:pPr>
      <w:r w:rsidRPr="009577DE">
        <w:rPr>
          <w:sz w:val="20"/>
          <w:lang w:val="es-ES_tradnl"/>
        </w:rPr>
        <w:t>Se publicó oficialmente en noviembre de 2012 la guía didáctica en formato electrónico interactiva sobre el uso y la explotación de la información sobre patentes. La guía está disponible tanto en CD-ROM como en Internet</w:t>
      </w:r>
      <w:r w:rsidRPr="009577DE">
        <w:rPr>
          <w:sz w:val="20"/>
          <w:vertAlign w:val="superscript"/>
          <w:lang w:val="en-US"/>
        </w:rPr>
        <w:footnoteReference w:id="11"/>
      </w:r>
      <w:r w:rsidRPr="009577DE">
        <w:rPr>
          <w:sz w:val="20"/>
          <w:lang w:val="es-ES_tradnl"/>
        </w:rPr>
        <w:t xml:space="preserve"> y consta de tres apartados: Información básica sobre patentes, Búsqueda y recuperación de patentes, y Análisis de patentes.</w:t>
      </w:r>
    </w:p>
    <w:p w:rsidR="00B070BF" w:rsidRPr="009577DE" w:rsidRDefault="00B070BF" w:rsidP="00B070BF">
      <w:pPr>
        <w:widowControl w:val="0"/>
        <w:autoSpaceDE w:val="0"/>
        <w:autoSpaceDN w:val="0"/>
        <w:adjustRightInd w:val="0"/>
        <w:jc w:val="both"/>
        <w:rPr>
          <w:iCs/>
          <w:sz w:val="20"/>
          <w:lang w:val="es-ES_tradnl"/>
        </w:rPr>
      </w:pPr>
    </w:p>
    <w:p w:rsidR="00B070BF" w:rsidRPr="009577DE" w:rsidRDefault="00B070BF" w:rsidP="00B070BF">
      <w:pPr>
        <w:widowControl w:val="0"/>
        <w:numPr>
          <w:ilvl w:val="0"/>
          <w:numId w:val="35"/>
        </w:numPr>
        <w:jc w:val="both"/>
        <w:rPr>
          <w:iCs/>
          <w:sz w:val="20"/>
          <w:lang w:val="es-ES_tradnl"/>
        </w:rPr>
      </w:pPr>
      <w:r w:rsidRPr="009577DE">
        <w:rPr>
          <w:iCs/>
          <w:sz w:val="20"/>
          <w:lang w:val="es-ES_tradnl"/>
        </w:rPr>
        <w:t>En la información recibida de los CATI a finales de 2012 se constata una incidencia positiva en sus instituciones y usuarios, según consta en el informe resumido del cuestionario de evaluación del avance y las necesidades</w:t>
      </w:r>
      <w:r w:rsidRPr="009577DE">
        <w:rPr>
          <w:iCs/>
          <w:sz w:val="20"/>
          <w:vertAlign w:val="superscript"/>
          <w:lang w:val="en-US"/>
        </w:rPr>
        <w:footnoteReference w:id="12"/>
      </w:r>
      <w:r w:rsidRPr="009577DE">
        <w:rPr>
          <w:iCs/>
          <w:sz w:val="20"/>
          <w:lang w:val="es-ES_tradnl"/>
        </w:rPr>
        <w:t>. La fuerte demanda de ejecución del proyecto de redes de CATI en los Estados miembros indica que su diseño sigue ajustándose a las prioridades y necesidades de todos ellos.</w:t>
      </w:r>
    </w:p>
    <w:p w:rsidR="00B070BF" w:rsidRPr="009577DE" w:rsidRDefault="00B070BF" w:rsidP="00B070BF">
      <w:pPr>
        <w:widowControl w:val="0"/>
        <w:autoSpaceDE w:val="0"/>
        <w:autoSpaceDN w:val="0"/>
        <w:adjustRightInd w:val="0"/>
        <w:jc w:val="both"/>
        <w:rPr>
          <w:bCs/>
          <w:sz w:val="20"/>
          <w:lang w:val="es-ES_tradnl"/>
        </w:rPr>
      </w:pPr>
    </w:p>
    <w:p w:rsidR="00B070BF" w:rsidRPr="009577DE" w:rsidRDefault="00B070BF" w:rsidP="00B070BF">
      <w:pPr>
        <w:widowControl w:val="0"/>
        <w:numPr>
          <w:ilvl w:val="0"/>
          <w:numId w:val="35"/>
        </w:numPr>
        <w:autoSpaceDE w:val="0"/>
        <w:autoSpaceDN w:val="0"/>
        <w:adjustRightInd w:val="0"/>
        <w:jc w:val="both"/>
        <w:rPr>
          <w:rFonts w:eastAsia="MS Mincho" w:cs="ArialMT"/>
          <w:sz w:val="20"/>
          <w:lang w:val="es-ES_tradnl" w:eastAsia="ja-JP" w:bidi="th-TH"/>
        </w:rPr>
      </w:pPr>
      <w:r w:rsidRPr="009577DE">
        <w:rPr>
          <w:rFonts w:eastAsia="MS Mincho" w:cs="ArialMT"/>
          <w:sz w:val="20"/>
          <w:lang w:val="es-ES_tradnl" w:eastAsia="ja-JP" w:bidi="th-TH"/>
        </w:rPr>
        <w:t xml:space="preserve">Durante más de 30 años, la OMPI ha facilitado a los </w:t>
      </w:r>
      <w:r w:rsidRPr="009577DE">
        <w:rPr>
          <w:sz w:val="20"/>
          <w:lang w:val="es-ES_tradnl"/>
        </w:rPr>
        <w:t>países en desarrollo</w:t>
      </w:r>
      <w:r w:rsidRPr="009577DE">
        <w:rPr>
          <w:rFonts w:eastAsia="MS Mincho" w:cs="ArialMT"/>
          <w:sz w:val="20"/>
          <w:lang w:val="es-ES_tradnl" w:eastAsia="ja-JP" w:bidi="th-TH"/>
        </w:rPr>
        <w:t xml:space="preserve"> y a los PMA dos servicios de información sobre patentes, a saber, los servicios de información en materia de patentes (WPIS) y el programa de cooperación internacional en el examen (antes llamado ICSEI). Estos servicios proporcionan informes de búsqueda de información tecnológica a petición de las instituciones del sector público y privado e informes de búsqueda y examen sobre solicitudes de patente pendientes a instancias de las oficinas de patentes en los países en desarrollo.  La demanda de informes de búsqueda de información tecnológica experimentó un descenso en 2012 debido en parte a la creación de las redes nacionales de CATI, que de forma gradual acabarán por convertirse en el mecanismo de distribución de este tipo de informes.  Por lo que respecta al programa de cooperación internacional en el examen, durante el año 2012 se celebró un taller subregional dirigido a 25 participantes procedentes de las </w:t>
      </w:r>
      <w:r w:rsidRPr="009577DE">
        <w:rPr>
          <w:rFonts w:eastAsia="MS Mincho" w:cs="ArialMT"/>
          <w:sz w:val="20"/>
          <w:lang w:val="es-ES_tradnl" w:eastAsia="ja-JP" w:bidi="th-TH"/>
        </w:rPr>
        <w:lastRenderedPageBreak/>
        <w:t xml:space="preserve">oficinas de P.I. de países africanos anglófonos y dos talleres nacionales para las oficinas de patentes de Tailandia (35 participantes) y </w:t>
      </w:r>
      <w:proofErr w:type="spellStart"/>
      <w:r w:rsidRPr="009577DE">
        <w:rPr>
          <w:rFonts w:eastAsia="MS Mincho" w:cs="ArialMT"/>
          <w:sz w:val="20"/>
          <w:lang w:val="es-ES_tradnl" w:eastAsia="ja-JP" w:bidi="th-TH"/>
        </w:rPr>
        <w:t>Viet</w:t>
      </w:r>
      <w:proofErr w:type="spellEnd"/>
      <w:r w:rsidRPr="009577DE">
        <w:rPr>
          <w:rFonts w:eastAsia="MS Mincho" w:cs="ArialMT"/>
          <w:sz w:val="20"/>
          <w:lang w:val="es-ES_tradnl" w:eastAsia="ja-JP" w:bidi="th-TH"/>
        </w:rPr>
        <w:t xml:space="preserve"> </w:t>
      </w:r>
      <w:proofErr w:type="spellStart"/>
      <w:r w:rsidRPr="009577DE">
        <w:rPr>
          <w:rFonts w:eastAsia="MS Mincho" w:cs="ArialMT"/>
          <w:sz w:val="20"/>
          <w:lang w:val="es-ES_tradnl" w:eastAsia="ja-JP" w:bidi="th-TH"/>
        </w:rPr>
        <w:t>Nam</w:t>
      </w:r>
      <w:proofErr w:type="spellEnd"/>
      <w:r w:rsidRPr="009577DE">
        <w:rPr>
          <w:rFonts w:eastAsia="MS Mincho" w:cs="ArialMT"/>
          <w:sz w:val="20"/>
          <w:lang w:val="es-ES_tradnl" w:eastAsia="ja-JP" w:bidi="th-TH"/>
        </w:rPr>
        <w:t xml:space="preserve"> (60 participantes).   </w:t>
      </w:r>
    </w:p>
    <w:p w:rsidR="00B070BF" w:rsidRPr="009577DE" w:rsidRDefault="00B070BF" w:rsidP="00B070BF">
      <w:pPr>
        <w:widowControl w:val="0"/>
        <w:autoSpaceDE w:val="0"/>
        <w:autoSpaceDN w:val="0"/>
        <w:adjustRightInd w:val="0"/>
        <w:jc w:val="both"/>
        <w:rPr>
          <w:rFonts w:eastAsia="MS Mincho" w:cs="ArialMT"/>
          <w:sz w:val="20"/>
          <w:lang w:val="es-ES_tradnl" w:eastAsia="ja-JP" w:bidi="th-TH"/>
        </w:rPr>
      </w:pPr>
    </w:p>
    <w:p w:rsidR="00B070BF" w:rsidRPr="009577DE" w:rsidRDefault="00B070BF" w:rsidP="00B070BF">
      <w:pPr>
        <w:widowControl w:val="0"/>
        <w:numPr>
          <w:ilvl w:val="0"/>
          <w:numId w:val="35"/>
        </w:numPr>
        <w:autoSpaceDE w:val="0"/>
        <w:autoSpaceDN w:val="0"/>
        <w:adjustRightInd w:val="0"/>
        <w:jc w:val="both"/>
        <w:rPr>
          <w:rFonts w:eastAsia="MS Mincho" w:cs="ArialMT"/>
          <w:sz w:val="20"/>
          <w:lang w:val="es-ES_tradnl" w:eastAsia="ja-JP" w:bidi="th-TH"/>
        </w:rPr>
      </w:pPr>
      <w:r w:rsidRPr="009577DE">
        <w:rPr>
          <w:rFonts w:eastAsia="MS Mincho" w:cs="ArialMT"/>
          <w:sz w:val="20"/>
          <w:lang w:val="es-ES_tradnl" w:eastAsia="ja-JP" w:bidi="th-TH"/>
        </w:rPr>
        <w:t>WPIS concluyó dos nuevos informes de análisis de la activida</w:t>
      </w:r>
      <w:r>
        <w:rPr>
          <w:rFonts w:eastAsia="MS Mincho" w:cs="ArialMT"/>
          <w:sz w:val="20"/>
          <w:lang w:val="es-ES_tradnl" w:eastAsia="ja-JP" w:bidi="th-TH"/>
        </w:rPr>
        <w:t xml:space="preserve">d de </w:t>
      </w:r>
      <w:proofErr w:type="spellStart"/>
      <w:r>
        <w:rPr>
          <w:rFonts w:eastAsia="MS Mincho" w:cs="ArialMT"/>
          <w:sz w:val="20"/>
          <w:lang w:val="es-ES_tradnl" w:eastAsia="ja-JP" w:bidi="th-TH"/>
        </w:rPr>
        <w:t>patentamiento</w:t>
      </w:r>
      <w:proofErr w:type="spellEnd"/>
      <w:r>
        <w:rPr>
          <w:rFonts w:eastAsia="MS Mincho" w:cs="ArialMT"/>
          <w:sz w:val="20"/>
          <w:lang w:val="es-ES_tradnl" w:eastAsia="ja-JP" w:bidi="th-TH"/>
        </w:rPr>
        <w:t xml:space="preserve"> iniciados en </w:t>
      </w:r>
      <w:r w:rsidRPr="009577DE">
        <w:rPr>
          <w:rFonts w:eastAsia="MS Mincho" w:cs="ArialMT"/>
          <w:sz w:val="20"/>
          <w:lang w:val="es-ES_tradnl" w:eastAsia="ja-JP" w:bidi="th-TH"/>
        </w:rPr>
        <w:t>2011 en colaboración con instituciones públicas de países en desarrollo, OII y ONG como usuarios de primer nivel.  Los informes están disponibles de forma gratuita en un sitio Web reservado a los usuarios de segundo nivel</w:t>
      </w:r>
      <w:r w:rsidRPr="009577DE">
        <w:rPr>
          <w:rFonts w:eastAsia="MS Mincho" w:cs="ArialMT"/>
          <w:sz w:val="20"/>
          <w:vertAlign w:val="superscript"/>
          <w:lang w:val="en-US" w:eastAsia="ja-JP" w:bidi="th-TH"/>
        </w:rPr>
        <w:footnoteReference w:id="13"/>
      </w:r>
      <w:r w:rsidRPr="009577DE">
        <w:rPr>
          <w:rFonts w:eastAsia="MS Mincho" w:cs="ArialMT"/>
          <w:sz w:val="20"/>
          <w:lang w:val="es-ES_tradnl" w:eastAsia="ja-JP" w:bidi="th-TH"/>
        </w:rPr>
        <w:t>.</w:t>
      </w:r>
      <w:r w:rsidRPr="009577DE">
        <w:rPr>
          <w:rFonts w:eastAsia="MS Mincho" w:cs="ArialMT"/>
          <w:szCs w:val="22"/>
          <w:lang w:val="es-ES_tradnl" w:eastAsia="ja-JP" w:bidi="th-TH"/>
        </w:rPr>
        <w:t xml:space="preserve">  </w:t>
      </w:r>
      <w:r w:rsidRPr="009577DE">
        <w:rPr>
          <w:rFonts w:eastAsia="MS Mincho" w:cs="ArialMT"/>
          <w:sz w:val="20"/>
          <w:lang w:val="es-ES_tradnl" w:eastAsia="ja-JP" w:bidi="th-TH"/>
        </w:rPr>
        <w:t>Por último, en colaboración con la Oficina de patentes de Filipinas, se celebraron dos talleres nacionales sobre análisis y cartografía de patentes a los que asistieron aproximadamente 36 participantes procedentes de las redes de CATI y las universidades del país.</w:t>
      </w:r>
    </w:p>
    <w:p w:rsidR="00B070BF" w:rsidRPr="009577DE" w:rsidRDefault="00B070BF" w:rsidP="00B070BF">
      <w:pPr>
        <w:widowControl w:val="0"/>
        <w:rPr>
          <w:rFonts w:eastAsia="MS Mincho"/>
          <w:szCs w:val="22"/>
          <w:lang w:val="es-ES_tradnl" w:eastAsia="ja-JP" w:bidi="th-TH"/>
        </w:rPr>
      </w:pPr>
    </w:p>
    <w:p w:rsidR="00B070BF" w:rsidRPr="009577DE" w:rsidRDefault="00B070BF" w:rsidP="00B070BF">
      <w:pPr>
        <w:widowControl w:val="0"/>
        <w:rPr>
          <w:rFonts w:eastAsia="MS Mincho"/>
          <w:szCs w:val="22"/>
          <w:lang w:val="es-ES_tradnl" w:eastAsia="ja-JP" w:bidi="th-TH"/>
        </w:rPr>
      </w:pPr>
    </w:p>
    <w:p w:rsidR="00B070BF" w:rsidRPr="009577DE" w:rsidRDefault="00B070BF" w:rsidP="00B070BF">
      <w:pPr>
        <w:widowControl w:val="0"/>
        <w:jc w:val="both"/>
        <w:rPr>
          <w:bCs/>
          <w:sz w:val="20"/>
          <w:lang w:val="es-ES_tradnl"/>
        </w:rPr>
      </w:pPr>
      <w:r w:rsidRPr="009577DE">
        <w:rPr>
          <w:bCs/>
          <w:sz w:val="20"/>
          <w:lang w:val="es-ES_tradnl"/>
        </w:rPr>
        <w:t xml:space="preserve">APLICACIÓN DE LA AGENDA PARA EL DESARROLLO </w:t>
      </w:r>
    </w:p>
    <w:p w:rsidR="00B070BF" w:rsidRPr="009577DE" w:rsidRDefault="00B070BF" w:rsidP="00B070BF">
      <w:pPr>
        <w:widowControl w:val="0"/>
        <w:rPr>
          <w:rFonts w:eastAsia="MS Mincho"/>
          <w:sz w:val="20"/>
          <w:lang w:val="es-ES_tradnl" w:eastAsia="ja-JP" w:bidi="th-TH"/>
        </w:rPr>
      </w:pPr>
    </w:p>
    <w:p w:rsidR="00B070BF" w:rsidRPr="009577DE" w:rsidRDefault="00B070BF" w:rsidP="00B070BF">
      <w:pPr>
        <w:widowControl w:val="0"/>
        <w:numPr>
          <w:ilvl w:val="0"/>
          <w:numId w:val="35"/>
        </w:numPr>
        <w:jc w:val="both"/>
        <w:rPr>
          <w:rFonts w:eastAsia="MS Mincho"/>
          <w:bCs/>
          <w:sz w:val="20"/>
          <w:lang w:eastAsia="ja-JP" w:bidi="th-TH"/>
        </w:rPr>
      </w:pPr>
      <w:r w:rsidRPr="009577DE">
        <w:rPr>
          <w:rFonts w:eastAsia="MS Mincho"/>
          <w:bCs/>
          <w:sz w:val="20"/>
          <w:lang w:val="es-ES_tradnl" w:eastAsia="ja-JP" w:bidi="th-TH"/>
        </w:rPr>
        <w:t xml:space="preserve">El diseño, la planificación y el desarrollo de actividades en el marco del programa 14 se basaron en las </w:t>
      </w:r>
      <w:r w:rsidRPr="009577DE">
        <w:rPr>
          <w:iCs/>
          <w:sz w:val="20"/>
          <w:lang w:val="es-ES_tradnl"/>
        </w:rPr>
        <w:t>recomendaciones pertinentes de la Agenda para el Desarrollo</w:t>
      </w:r>
      <w:r w:rsidRPr="009577DE">
        <w:rPr>
          <w:rFonts w:eastAsia="MS Mincho"/>
          <w:bCs/>
          <w:sz w:val="20"/>
          <w:lang w:val="es-ES_tradnl" w:eastAsia="ja-JP" w:bidi="th-TH"/>
        </w:rPr>
        <w:t xml:space="preserve">, en concreto las recomendaciones 1, 8, 19, 30 y 31.  </w:t>
      </w:r>
      <w:r w:rsidRPr="009577DE">
        <w:rPr>
          <w:rFonts w:eastAsia="MS Mincho"/>
          <w:bCs/>
          <w:sz w:val="20"/>
          <w:lang w:eastAsia="ja-JP" w:bidi="th-TH"/>
        </w:rPr>
        <w:t>Durante el período objeto de examen, buena parte de las actividades del programa se centraron en la puesta en marcha de dos proyectos de la Agenda para el Desarrollo, a saber:  Acceso a bases de datos especializadas y Creación de instrumentos de acceso a la información sobre patentes. Sendos proyectos finalizaron y se evaluaron durante 2012.  El CDIP se encargó de revisar los informes de evaluación y aprobó además la Fase II para cada uno de los proyectos.  </w:t>
      </w:r>
    </w:p>
    <w:p w:rsidR="00B070BF" w:rsidRDefault="00B070BF" w:rsidP="00B070BF">
      <w:pPr>
        <w:widowControl w:val="0"/>
        <w:jc w:val="both"/>
        <w:rPr>
          <w:szCs w:val="22"/>
        </w:rPr>
      </w:pPr>
    </w:p>
    <w:p w:rsidR="00B070BF" w:rsidRPr="009577DE" w:rsidRDefault="00B070BF" w:rsidP="00B070BF">
      <w:pPr>
        <w:widowControl w:val="0"/>
        <w:jc w:val="both"/>
        <w:rPr>
          <w:szCs w:val="22"/>
        </w:rPr>
      </w:pPr>
    </w:p>
    <w:p w:rsidR="00B070BF" w:rsidRPr="00CB3668" w:rsidRDefault="00B070BF" w:rsidP="00B070BF">
      <w:pPr>
        <w:widowControl w:val="0"/>
        <w:jc w:val="both"/>
        <w:rPr>
          <w:bCs/>
          <w:sz w:val="20"/>
          <w:lang w:val="es-ES_tradnl"/>
        </w:rPr>
      </w:pPr>
      <w:r w:rsidRPr="00CB3668">
        <w:rPr>
          <w:bCs/>
          <w:sz w:val="20"/>
          <w:lang w:val="es-ES_tradnl"/>
        </w:rPr>
        <w:t>DATOS SOBRE EL RENDIMIENTO</w:t>
      </w:r>
    </w:p>
    <w:p w:rsidR="00B070BF" w:rsidRPr="009577DE" w:rsidRDefault="00B070BF" w:rsidP="00B070BF">
      <w:pPr>
        <w:widowControl w:val="0"/>
        <w:jc w:val="both"/>
        <w:rPr>
          <w:szCs w:val="22"/>
          <w:lang w:val="es-ES_tradnl"/>
        </w:rPr>
      </w:pPr>
    </w:p>
    <w:tbl>
      <w:tblPr>
        <w:tblW w:w="5041" w:type="pct"/>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749"/>
        <w:gridCol w:w="1537"/>
        <w:gridCol w:w="1749"/>
        <w:gridCol w:w="3535"/>
        <w:gridCol w:w="1079"/>
      </w:tblGrid>
      <w:tr w:rsidR="00B070BF" w:rsidRPr="009577DE" w:rsidTr="00C33D4A">
        <w:trPr>
          <w:cantSplit/>
        </w:trPr>
        <w:tc>
          <w:tcPr>
            <w:tcW w:w="5000" w:type="pct"/>
            <w:gridSpan w:val="5"/>
            <w:tcBorders>
              <w:top w:val="single" w:sz="4" w:space="0" w:color="auto"/>
              <w:left w:val="single" w:sz="4" w:space="0" w:color="auto"/>
              <w:bottom w:val="single" w:sz="4" w:space="0" w:color="auto"/>
              <w:right w:val="single" w:sz="4" w:space="0" w:color="auto"/>
            </w:tcBorders>
            <w:shd w:val="clear" w:color="auto" w:fill="CCFFFF"/>
            <w:vAlign w:val="center"/>
          </w:tcPr>
          <w:p w:rsidR="00B070BF" w:rsidRPr="009577DE" w:rsidRDefault="00B070BF" w:rsidP="00C33D4A">
            <w:pPr>
              <w:widowControl w:val="0"/>
              <w:tabs>
                <w:tab w:val="left" w:pos="1452"/>
              </w:tabs>
              <w:spacing w:before="120" w:after="120"/>
              <w:ind w:left="1452" w:hanging="1452"/>
              <w:rPr>
                <w:b/>
                <w:bCs/>
                <w:sz w:val="16"/>
                <w:szCs w:val="16"/>
                <w:lang w:val="es-ES_tradnl"/>
              </w:rPr>
            </w:pPr>
            <w:r w:rsidRPr="009577DE">
              <w:rPr>
                <w:b/>
                <w:bCs/>
                <w:sz w:val="16"/>
                <w:szCs w:val="16"/>
                <w:lang w:val="es-ES_tradnl"/>
              </w:rPr>
              <w:t>Resultado previsto:</w:t>
            </w:r>
            <w:r w:rsidRPr="009577DE">
              <w:rPr>
                <w:b/>
                <w:bCs/>
                <w:sz w:val="16"/>
                <w:szCs w:val="16"/>
                <w:lang w:val="es-ES_tradnl"/>
              </w:rPr>
              <w:tab/>
            </w:r>
            <w:r w:rsidRPr="009577DE">
              <w:rPr>
                <w:bCs/>
                <w:sz w:val="16"/>
                <w:szCs w:val="16"/>
                <w:lang w:val="es-ES_tradnl"/>
              </w:rPr>
              <w:t xml:space="preserve"> Mejora en el acceso a la información y los conocimientos sobre P.I. y su utilización por las instituciones de P.I. y el público, para fomentar la innovación y aumentar el acceso a las obras que son fruto de la creatividad, tanto las que están protegidas como las que se encuentran en el dominio público.</w:t>
            </w:r>
          </w:p>
        </w:tc>
      </w:tr>
      <w:tr w:rsidR="00B070BF" w:rsidRPr="009577DE" w:rsidTr="00C33D4A">
        <w:trPr>
          <w:cantSplit/>
        </w:trPr>
        <w:tc>
          <w:tcPr>
            <w:tcW w:w="908" w:type="pct"/>
            <w:tcBorders>
              <w:top w:val="single" w:sz="4" w:space="0" w:color="auto"/>
              <w:left w:val="single" w:sz="4" w:space="0" w:color="auto"/>
              <w:bottom w:val="nil"/>
            </w:tcBorders>
            <w:shd w:val="clear" w:color="auto" w:fill="auto"/>
            <w:vAlign w:val="center"/>
          </w:tcPr>
          <w:p w:rsidR="00B070BF" w:rsidRPr="009577DE" w:rsidRDefault="00B070BF" w:rsidP="00C33D4A">
            <w:pPr>
              <w:widowControl w:val="0"/>
              <w:spacing w:after="120"/>
              <w:rPr>
                <w:sz w:val="16"/>
                <w:szCs w:val="16"/>
                <w:lang w:val="es-ES_tradnl"/>
              </w:rPr>
            </w:pPr>
            <w:r w:rsidRPr="009577DE">
              <w:rPr>
                <w:b/>
                <w:bCs/>
                <w:sz w:val="16"/>
                <w:szCs w:val="16"/>
                <w:lang w:val="es-ES_tradnl"/>
              </w:rPr>
              <w:t>Indicadores de rendimiento</w:t>
            </w:r>
          </w:p>
        </w:tc>
        <w:tc>
          <w:tcPr>
            <w:tcW w:w="798" w:type="pct"/>
            <w:tcBorders>
              <w:top w:val="single" w:sz="4" w:space="0" w:color="auto"/>
              <w:bottom w:val="nil"/>
            </w:tcBorders>
            <w:shd w:val="clear" w:color="auto" w:fill="C0C0C0"/>
          </w:tcPr>
          <w:p w:rsidR="00B070BF" w:rsidRPr="009577DE" w:rsidRDefault="00B070BF" w:rsidP="00C33D4A">
            <w:pPr>
              <w:widowControl w:val="0"/>
              <w:spacing w:after="120"/>
              <w:rPr>
                <w:b/>
                <w:bCs/>
                <w:sz w:val="16"/>
                <w:szCs w:val="16"/>
                <w:lang w:val="es-ES_tradnl"/>
              </w:rPr>
            </w:pPr>
            <w:r w:rsidRPr="009577DE">
              <w:rPr>
                <w:b/>
                <w:bCs/>
                <w:sz w:val="16"/>
                <w:szCs w:val="16"/>
                <w:lang w:val="es-ES_tradnl"/>
              </w:rPr>
              <w:t>Referencia (</w:t>
            </w:r>
            <w:proofErr w:type="spellStart"/>
            <w:r w:rsidRPr="009577DE">
              <w:rPr>
                <w:b/>
                <w:bCs/>
                <w:sz w:val="16"/>
                <w:szCs w:val="16"/>
                <w:lang w:val="es-ES_tradnl"/>
              </w:rPr>
              <w:t>Presup</w:t>
            </w:r>
            <w:proofErr w:type="spellEnd"/>
            <w:r w:rsidRPr="009577DE">
              <w:rPr>
                <w:b/>
                <w:bCs/>
                <w:sz w:val="16"/>
                <w:szCs w:val="16"/>
                <w:lang w:val="es-ES_tradnl"/>
              </w:rPr>
              <w:t xml:space="preserve">. por </w:t>
            </w:r>
            <w:proofErr w:type="spellStart"/>
            <w:r w:rsidRPr="009577DE">
              <w:rPr>
                <w:b/>
                <w:bCs/>
                <w:sz w:val="16"/>
                <w:szCs w:val="16"/>
                <w:lang w:val="es-ES_tradnl"/>
              </w:rPr>
              <w:t>prog</w:t>
            </w:r>
            <w:proofErr w:type="spellEnd"/>
            <w:r w:rsidRPr="009577DE">
              <w:rPr>
                <w:b/>
                <w:bCs/>
                <w:sz w:val="16"/>
                <w:szCs w:val="16"/>
                <w:lang w:val="es-ES_tradnl"/>
              </w:rPr>
              <w:t>. 2012/13)</w:t>
            </w:r>
          </w:p>
        </w:tc>
        <w:tc>
          <w:tcPr>
            <w:tcW w:w="908" w:type="pct"/>
            <w:tcBorders>
              <w:top w:val="single" w:sz="4" w:space="0" w:color="auto"/>
              <w:bottom w:val="nil"/>
            </w:tcBorders>
            <w:shd w:val="clear" w:color="auto" w:fill="auto"/>
            <w:tcMar>
              <w:top w:w="110" w:type="dxa"/>
            </w:tcMar>
            <w:vAlign w:val="center"/>
          </w:tcPr>
          <w:p w:rsidR="00B070BF" w:rsidRPr="009577DE" w:rsidRDefault="00B070BF" w:rsidP="00C33D4A">
            <w:pPr>
              <w:widowControl w:val="0"/>
              <w:spacing w:after="120"/>
              <w:rPr>
                <w:b/>
                <w:sz w:val="16"/>
                <w:szCs w:val="16"/>
                <w:lang w:val="es-ES_tradnl"/>
              </w:rPr>
            </w:pPr>
            <w:r w:rsidRPr="00BF138D">
              <w:rPr>
                <w:b/>
                <w:color w:val="993300"/>
                <w:sz w:val="16"/>
                <w:szCs w:val="16"/>
                <w:lang w:val="es-ES_tradnl"/>
              </w:rPr>
              <w:t>Referencia actualizada a finales de 2011</w:t>
            </w:r>
          </w:p>
        </w:tc>
        <w:tc>
          <w:tcPr>
            <w:tcW w:w="1833" w:type="pct"/>
            <w:tcBorders>
              <w:top w:val="single" w:sz="4" w:space="0" w:color="auto"/>
              <w:bottom w:val="nil"/>
            </w:tcBorders>
            <w:shd w:val="clear" w:color="auto" w:fill="FFFFFF"/>
            <w:tcMar>
              <w:top w:w="110" w:type="dxa"/>
            </w:tcMar>
            <w:vAlign w:val="center"/>
          </w:tcPr>
          <w:p w:rsidR="00B070BF" w:rsidRPr="009577DE" w:rsidRDefault="00B070BF" w:rsidP="00C33D4A">
            <w:pPr>
              <w:widowControl w:val="0"/>
              <w:spacing w:after="120"/>
              <w:jc w:val="center"/>
              <w:rPr>
                <w:sz w:val="16"/>
                <w:szCs w:val="16"/>
                <w:lang w:val="es-ES_tradnl"/>
              </w:rPr>
            </w:pPr>
            <w:r w:rsidRPr="009577DE">
              <w:rPr>
                <w:b/>
                <w:bCs/>
                <w:sz w:val="16"/>
                <w:szCs w:val="16"/>
                <w:lang w:val="es-ES_tradnl"/>
              </w:rPr>
              <w:t>Datos sobre el rendimiento</w:t>
            </w:r>
          </w:p>
        </w:tc>
        <w:tc>
          <w:tcPr>
            <w:tcW w:w="553" w:type="pct"/>
            <w:tcBorders>
              <w:top w:val="single" w:sz="4" w:space="0" w:color="auto"/>
              <w:bottom w:val="nil"/>
              <w:right w:val="single" w:sz="4" w:space="0" w:color="auto"/>
            </w:tcBorders>
            <w:shd w:val="clear" w:color="auto" w:fill="auto"/>
            <w:tcMar>
              <w:top w:w="110" w:type="dxa"/>
            </w:tcMar>
            <w:vAlign w:val="center"/>
          </w:tcPr>
          <w:p w:rsidR="00B070BF" w:rsidRPr="009577DE" w:rsidRDefault="00B070BF" w:rsidP="00C33D4A">
            <w:pPr>
              <w:widowControl w:val="0"/>
              <w:spacing w:after="120"/>
              <w:jc w:val="center"/>
              <w:rPr>
                <w:b/>
                <w:bCs/>
                <w:sz w:val="16"/>
                <w:szCs w:val="16"/>
                <w:lang w:val="es-ES_tradnl"/>
              </w:rPr>
            </w:pPr>
            <w:r w:rsidRPr="009577DE">
              <w:rPr>
                <w:b/>
                <w:bCs/>
                <w:sz w:val="16"/>
                <w:szCs w:val="16"/>
                <w:lang w:val="es-ES_tradnl"/>
              </w:rPr>
              <w:t>Clave de colores</w:t>
            </w:r>
          </w:p>
        </w:tc>
      </w:tr>
      <w:tr w:rsidR="00B070BF" w:rsidRPr="009577DE" w:rsidTr="00C33D4A">
        <w:trPr>
          <w:cantSplit/>
        </w:trPr>
        <w:tc>
          <w:tcPr>
            <w:tcW w:w="908" w:type="pct"/>
            <w:tcBorders>
              <w:top w:val="nil"/>
              <w:left w:val="single" w:sz="4" w:space="0" w:color="auto"/>
              <w:bottom w:val="nil"/>
            </w:tcBorders>
            <w:shd w:val="clear" w:color="auto" w:fill="auto"/>
          </w:tcPr>
          <w:p w:rsidR="00B070BF" w:rsidRPr="009577DE" w:rsidRDefault="00B070BF" w:rsidP="00C33D4A">
            <w:pPr>
              <w:widowControl w:val="0"/>
              <w:rPr>
                <w:sz w:val="16"/>
                <w:szCs w:val="16"/>
                <w:lang w:val="es-ES_tradnl"/>
              </w:rPr>
            </w:pPr>
            <w:r w:rsidRPr="009577DE">
              <w:rPr>
                <w:sz w:val="16"/>
                <w:szCs w:val="16"/>
                <w:lang w:val="es-ES_tradnl"/>
              </w:rPr>
              <w:t>Número de redes nacionales de CATI puestas en marcha.</w:t>
            </w:r>
          </w:p>
        </w:tc>
        <w:tc>
          <w:tcPr>
            <w:tcW w:w="798" w:type="pct"/>
            <w:tcBorders>
              <w:top w:val="nil"/>
              <w:bottom w:val="nil"/>
            </w:tcBorders>
            <w:shd w:val="clear" w:color="auto" w:fill="C0C0C0"/>
          </w:tcPr>
          <w:p w:rsidR="00B070BF" w:rsidRPr="009577DE" w:rsidRDefault="00B070BF" w:rsidP="00C33D4A">
            <w:pPr>
              <w:widowControl w:val="0"/>
              <w:rPr>
                <w:sz w:val="16"/>
                <w:szCs w:val="16"/>
                <w:lang w:val="es-ES_tradnl"/>
              </w:rPr>
            </w:pPr>
            <w:r w:rsidRPr="009577DE">
              <w:rPr>
                <w:sz w:val="16"/>
                <w:szCs w:val="16"/>
                <w:lang w:val="es-ES_tradnl"/>
              </w:rPr>
              <w:t xml:space="preserve">12 redes nacionales de CATI puestas en marcha (primer trimestre de 2011): </w:t>
            </w:r>
          </w:p>
          <w:p w:rsidR="00B070BF" w:rsidRPr="009577DE" w:rsidRDefault="00B070BF" w:rsidP="00C33D4A">
            <w:pPr>
              <w:widowControl w:val="0"/>
              <w:rPr>
                <w:sz w:val="16"/>
                <w:szCs w:val="16"/>
                <w:lang w:val="es-ES_tradnl"/>
              </w:rPr>
            </w:pPr>
            <w:r w:rsidRPr="009577DE">
              <w:rPr>
                <w:sz w:val="16"/>
                <w:szCs w:val="16"/>
                <w:lang w:val="es-ES_tradnl"/>
              </w:rPr>
              <w:t>África (4);  región de los países árabes (3);  Asia y el Pacífico (2);  América Latina y el Caribe (2);  y  determinados países de Europa y Asia (1).</w:t>
            </w:r>
          </w:p>
        </w:tc>
        <w:tc>
          <w:tcPr>
            <w:tcW w:w="908" w:type="pct"/>
            <w:tcBorders>
              <w:top w:val="nil"/>
              <w:bottom w:val="nil"/>
            </w:tcBorders>
            <w:shd w:val="clear" w:color="auto" w:fill="auto"/>
            <w:tcMar>
              <w:top w:w="110" w:type="dxa"/>
            </w:tcMar>
          </w:tcPr>
          <w:p w:rsidR="00B070BF" w:rsidRPr="00F2661C" w:rsidRDefault="00B070BF" w:rsidP="00C33D4A">
            <w:pPr>
              <w:widowControl w:val="0"/>
              <w:rPr>
                <w:color w:val="993300"/>
                <w:sz w:val="16"/>
                <w:szCs w:val="16"/>
                <w:lang w:val="es-ES_tradnl" w:bidi="th-TH"/>
              </w:rPr>
            </w:pPr>
            <w:r w:rsidRPr="00F2661C">
              <w:rPr>
                <w:color w:val="993300"/>
                <w:sz w:val="16"/>
                <w:szCs w:val="16"/>
                <w:lang w:val="es-ES_tradnl" w:bidi="th-TH"/>
              </w:rPr>
              <w:t xml:space="preserve">20 redes CATI: </w:t>
            </w:r>
          </w:p>
          <w:p w:rsidR="00B070BF" w:rsidRPr="009577DE" w:rsidRDefault="00B070BF" w:rsidP="00C33D4A">
            <w:pPr>
              <w:widowControl w:val="0"/>
              <w:rPr>
                <w:i/>
                <w:sz w:val="16"/>
                <w:szCs w:val="16"/>
                <w:lang w:val="es-ES_tradnl"/>
              </w:rPr>
            </w:pPr>
            <w:r w:rsidRPr="00F2661C">
              <w:rPr>
                <w:color w:val="993300"/>
                <w:sz w:val="16"/>
                <w:szCs w:val="16"/>
                <w:lang w:val="es-ES_tradnl" w:bidi="th-TH"/>
              </w:rPr>
              <w:t xml:space="preserve">África (4); </w:t>
            </w:r>
            <w:r w:rsidRPr="00F2661C">
              <w:rPr>
                <w:color w:val="993300"/>
                <w:sz w:val="16"/>
                <w:szCs w:val="16"/>
                <w:lang w:val="es-ES_tradnl" w:bidi="th-TH"/>
              </w:rPr>
              <w:br/>
              <w:t xml:space="preserve">región de los países árabes (7); </w:t>
            </w:r>
            <w:r w:rsidRPr="00F2661C">
              <w:rPr>
                <w:color w:val="993300"/>
                <w:sz w:val="16"/>
                <w:szCs w:val="16"/>
                <w:lang w:val="es-ES_tradnl" w:bidi="th-TH"/>
              </w:rPr>
              <w:br/>
              <w:t xml:space="preserve">Asia y el Pacífico (2); </w:t>
            </w:r>
            <w:r w:rsidRPr="00F2661C">
              <w:rPr>
                <w:color w:val="993300"/>
                <w:sz w:val="16"/>
                <w:szCs w:val="16"/>
                <w:lang w:val="es-ES_tradnl" w:bidi="th-TH"/>
              </w:rPr>
              <w:br/>
              <w:t>América Latina y el Caribe (5);  y</w:t>
            </w:r>
            <w:r w:rsidRPr="00F2661C">
              <w:rPr>
                <w:color w:val="993300"/>
                <w:sz w:val="16"/>
                <w:szCs w:val="16"/>
                <w:lang w:val="es-ES_tradnl" w:bidi="th-TH"/>
              </w:rPr>
              <w:br/>
              <w:t>determinados países de Europa y Asia (2).</w:t>
            </w:r>
          </w:p>
        </w:tc>
        <w:tc>
          <w:tcPr>
            <w:tcW w:w="1833" w:type="pct"/>
            <w:tcBorders>
              <w:top w:val="nil"/>
              <w:bottom w:val="nil"/>
            </w:tcBorders>
            <w:shd w:val="clear" w:color="auto" w:fill="FFFFFF"/>
            <w:tcMar>
              <w:top w:w="110" w:type="dxa"/>
            </w:tcMar>
          </w:tcPr>
          <w:p w:rsidR="00B070BF" w:rsidRPr="009577DE" w:rsidRDefault="00B070BF" w:rsidP="00C33D4A">
            <w:pPr>
              <w:widowControl w:val="0"/>
              <w:rPr>
                <w:sz w:val="16"/>
                <w:szCs w:val="16"/>
                <w:lang w:val="es-ES_tradnl" w:bidi="th-TH"/>
              </w:rPr>
            </w:pPr>
            <w:r w:rsidRPr="009577DE">
              <w:rPr>
                <w:sz w:val="16"/>
                <w:szCs w:val="16"/>
                <w:lang w:val="es-ES_tradnl" w:bidi="th-TH"/>
              </w:rPr>
              <w:t xml:space="preserve">Puesta en marcha de 16 redes CATI adicionales:  África (10);  región de los países árabes (1);  América Latina y el Caribe (4);  y determinados países de Europa y Asia (1).  </w:t>
            </w:r>
          </w:p>
          <w:p w:rsidR="00B070BF" w:rsidRPr="009577DE" w:rsidRDefault="00B070BF" w:rsidP="00C33D4A">
            <w:pPr>
              <w:widowControl w:val="0"/>
              <w:rPr>
                <w:sz w:val="16"/>
                <w:szCs w:val="16"/>
                <w:lang w:val="es-ES_tradnl" w:bidi="th-TH"/>
              </w:rPr>
            </w:pPr>
          </w:p>
          <w:p w:rsidR="00B070BF" w:rsidRPr="009577DE" w:rsidRDefault="00B070BF" w:rsidP="00C33D4A">
            <w:pPr>
              <w:widowControl w:val="0"/>
              <w:rPr>
                <w:sz w:val="16"/>
                <w:szCs w:val="16"/>
                <w:lang w:val="es-ES_tradnl"/>
              </w:rPr>
            </w:pPr>
          </w:p>
        </w:tc>
        <w:tc>
          <w:tcPr>
            <w:tcW w:w="553" w:type="pct"/>
            <w:tcBorders>
              <w:top w:val="nil"/>
              <w:bottom w:val="nil"/>
              <w:right w:val="single" w:sz="4" w:space="0" w:color="auto"/>
            </w:tcBorders>
            <w:shd w:val="clear" w:color="auto" w:fill="auto"/>
            <w:tcMar>
              <w:top w:w="110" w:type="dxa"/>
            </w:tcMar>
          </w:tcPr>
          <w:p w:rsidR="00B070BF" w:rsidRPr="009577DE" w:rsidRDefault="00B070BF" w:rsidP="00C33D4A">
            <w:pPr>
              <w:widowControl w:val="0"/>
              <w:jc w:val="center"/>
              <w:rPr>
                <w:b/>
                <w:sz w:val="16"/>
                <w:szCs w:val="16"/>
                <w:lang w:val="es-ES_tradnl"/>
              </w:rPr>
            </w:pPr>
            <w:r w:rsidRPr="009577DE">
              <w:rPr>
                <w:b/>
                <w:color w:val="008000"/>
                <w:sz w:val="16"/>
                <w:szCs w:val="16"/>
                <w:lang w:val="es-ES_tradnl"/>
              </w:rPr>
              <w:t>Progresa con normalidad</w:t>
            </w:r>
          </w:p>
          <w:p w:rsidR="00B070BF" w:rsidRPr="009577DE" w:rsidRDefault="00B070BF" w:rsidP="00C33D4A">
            <w:pPr>
              <w:widowControl w:val="0"/>
              <w:jc w:val="center"/>
              <w:rPr>
                <w:bCs/>
                <w:sz w:val="16"/>
                <w:szCs w:val="16"/>
                <w:lang w:val="es-ES_tradnl"/>
              </w:rPr>
            </w:pPr>
          </w:p>
          <w:p w:rsidR="00B070BF" w:rsidRPr="009577DE" w:rsidRDefault="00B070BF" w:rsidP="00C33D4A">
            <w:pPr>
              <w:widowControl w:val="0"/>
              <w:jc w:val="center"/>
              <w:rPr>
                <w:bCs/>
                <w:sz w:val="16"/>
                <w:szCs w:val="16"/>
                <w:lang w:val="es-ES_tradnl"/>
              </w:rPr>
            </w:pPr>
          </w:p>
        </w:tc>
      </w:tr>
      <w:tr w:rsidR="00B070BF" w:rsidRPr="009577DE" w:rsidTr="00C33D4A">
        <w:trPr>
          <w:cantSplit/>
        </w:trPr>
        <w:tc>
          <w:tcPr>
            <w:tcW w:w="908" w:type="pct"/>
            <w:tcBorders>
              <w:top w:val="nil"/>
              <w:left w:val="single" w:sz="4" w:space="0" w:color="auto"/>
              <w:bottom w:val="nil"/>
            </w:tcBorders>
            <w:shd w:val="clear" w:color="auto" w:fill="auto"/>
          </w:tcPr>
          <w:p w:rsidR="00B070BF" w:rsidRPr="009577DE" w:rsidRDefault="00B070BF" w:rsidP="00C33D4A">
            <w:pPr>
              <w:widowControl w:val="0"/>
              <w:rPr>
                <w:sz w:val="16"/>
                <w:szCs w:val="16"/>
                <w:lang w:val="es-ES_tradnl"/>
              </w:rPr>
            </w:pPr>
            <w:r w:rsidRPr="009577DE">
              <w:rPr>
                <w:sz w:val="16"/>
                <w:szCs w:val="16"/>
                <w:lang w:val="es-ES_tradnl" w:bidi="th-TH"/>
              </w:rPr>
              <w:t>Número de usuarios que utilizan los servicios de los CATI por trimestre y por país.</w:t>
            </w:r>
            <w:r w:rsidRPr="009577DE" w:rsidDel="000A00E8">
              <w:rPr>
                <w:sz w:val="16"/>
                <w:szCs w:val="16"/>
                <w:lang w:val="es-ES_tradnl"/>
              </w:rPr>
              <w:t xml:space="preserve"> </w:t>
            </w:r>
          </w:p>
        </w:tc>
        <w:tc>
          <w:tcPr>
            <w:tcW w:w="798" w:type="pct"/>
            <w:tcBorders>
              <w:top w:val="nil"/>
              <w:bottom w:val="nil"/>
            </w:tcBorders>
            <w:shd w:val="clear" w:color="auto" w:fill="C0C0C0"/>
          </w:tcPr>
          <w:p w:rsidR="00B070BF" w:rsidRPr="009577DE" w:rsidRDefault="00B070BF" w:rsidP="00C33D4A">
            <w:pPr>
              <w:widowControl w:val="0"/>
              <w:rPr>
                <w:sz w:val="16"/>
                <w:szCs w:val="16"/>
                <w:lang w:val="es-ES_tradnl" w:bidi="th-TH"/>
              </w:rPr>
            </w:pPr>
          </w:p>
          <w:p w:rsidR="00B070BF" w:rsidRPr="009577DE" w:rsidRDefault="00B070BF" w:rsidP="00C33D4A">
            <w:pPr>
              <w:widowControl w:val="0"/>
              <w:rPr>
                <w:sz w:val="16"/>
                <w:szCs w:val="16"/>
                <w:lang w:val="es-ES_tradnl"/>
              </w:rPr>
            </w:pPr>
            <w:r w:rsidRPr="009577DE">
              <w:rPr>
                <w:sz w:val="16"/>
                <w:szCs w:val="16"/>
                <w:lang w:val="es-ES_tradnl" w:bidi="th-TH"/>
              </w:rPr>
              <w:t>A determinar a fines de 2011.</w:t>
            </w:r>
          </w:p>
        </w:tc>
        <w:tc>
          <w:tcPr>
            <w:tcW w:w="908" w:type="pct"/>
            <w:tcBorders>
              <w:top w:val="nil"/>
              <w:bottom w:val="nil"/>
            </w:tcBorders>
            <w:shd w:val="clear" w:color="auto" w:fill="auto"/>
            <w:tcMar>
              <w:top w:w="110" w:type="dxa"/>
            </w:tcMar>
          </w:tcPr>
          <w:p w:rsidR="00B070BF" w:rsidRPr="00F2661C" w:rsidRDefault="00B070BF" w:rsidP="00C33D4A">
            <w:pPr>
              <w:widowControl w:val="0"/>
              <w:rPr>
                <w:color w:val="993300"/>
                <w:sz w:val="16"/>
                <w:szCs w:val="16"/>
                <w:lang w:val="es-ES_tradnl" w:bidi="th-TH"/>
              </w:rPr>
            </w:pPr>
            <w:r w:rsidRPr="00F2661C">
              <w:rPr>
                <w:color w:val="993300"/>
                <w:sz w:val="16"/>
                <w:szCs w:val="16"/>
                <w:lang w:val="es-ES_tradnl" w:bidi="th-TH"/>
              </w:rPr>
              <w:t xml:space="preserve">Entre 200 y 630 usuarios diarios en promedio atendidos por los CATI. </w:t>
            </w:r>
          </w:p>
          <w:p w:rsidR="00B070BF" w:rsidRPr="009577DE" w:rsidRDefault="00B070BF" w:rsidP="00C33D4A">
            <w:pPr>
              <w:widowControl w:val="0"/>
              <w:rPr>
                <w:i/>
                <w:sz w:val="16"/>
                <w:szCs w:val="16"/>
                <w:lang w:val="es-ES_tradnl"/>
              </w:rPr>
            </w:pPr>
          </w:p>
        </w:tc>
        <w:tc>
          <w:tcPr>
            <w:tcW w:w="1833" w:type="pct"/>
            <w:tcBorders>
              <w:top w:val="nil"/>
              <w:bottom w:val="nil"/>
            </w:tcBorders>
            <w:shd w:val="clear" w:color="auto" w:fill="FFFFFF"/>
            <w:tcMar>
              <w:top w:w="110" w:type="dxa"/>
            </w:tcMar>
          </w:tcPr>
          <w:p w:rsidR="00B070BF" w:rsidRPr="009577DE" w:rsidRDefault="00B070BF" w:rsidP="00C33D4A">
            <w:pPr>
              <w:widowControl w:val="0"/>
              <w:rPr>
                <w:sz w:val="16"/>
                <w:szCs w:val="16"/>
                <w:lang w:val="es-ES_tradnl" w:bidi="th-TH"/>
              </w:rPr>
            </w:pPr>
            <w:r w:rsidRPr="009577DE">
              <w:rPr>
                <w:sz w:val="16"/>
                <w:szCs w:val="16"/>
                <w:lang w:val="es-ES_tradnl" w:bidi="th-TH"/>
              </w:rPr>
              <w:t>Entre 300 y 750 usuarios diarios en promedio atendidos por los CATI.</w:t>
            </w:r>
          </w:p>
          <w:p w:rsidR="00B070BF" w:rsidRPr="009577DE" w:rsidRDefault="00B070BF" w:rsidP="00C33D4A">
            <w:pPr>
              <w:widowControl w:val="0"/>
              <w:rPr>
                <w:sz w:val="16"/>
                <w:szCs w:val="16"/>
                <w:lang w:val="es-ES_tradnl"/>
              </w:rPr>
            </w:pPr>
          </w:p>
        </w:tc>
        <w:tc>
          <w:tcPr>
            <w:tcW w:w="553" w:type="pct"/>
            <w:tcBorders>
              <w:top w:val="nil"/>
              <w:bottom w:val="nil"/>
              <w:right w:val="single" w:sz="4" w:space="0" w:color="auto"/>
            </w:tcBorders>
            <w:shd w:val="clear" w:color="auto" w:fill="auto"/>
            <w:tcMar>
              <w:top w:w="110" w:type="dxa"/>
            </w:tcMar>
          </w:tcPr>
          <w:p w:rsidR="00B070BF" w:rsidRPr="009577DE" w:rsidRDefault="00B070BF" w:rsidP="00C33D4A">
            <w:pPr>
              <w:widowControl w:val="0"/>
              <w:jc w:val="center"/>
              <w:rPr>
                <w:bCs/>
                <w:sz w:val="16"/>
                <w:szCs w:val="16"/>
                <w:lang w:val="es-ES_tradnl"/>
              </w:rPr>
            </w:pPr>
          </w:p>
          <w:p w:rsidR="00B070BF" w:rsidRPr="009577DE" w:rsidRDefault="00B070BF" w:rsidP="00C33D4A">
            <w:pPr>
              <w:widowControl w:val="0"/>
              <w:jc w:val="center"/>
              <w:rPr>
                <w:b/>
                <w:sz w:val="16"/>
                <w:szCs w:val="16"/>
                <w:lang w:val="es-ES_tradnl"/>
              </w:rPr>
            </w:pPr>
            <w:r w:rsidRPr="009577DE">
              <w:rPr>
                <w:b/>
                <w:color w:val="008000"/>
                <w:sz w:val="16"/>
                <w:szCs w:val="16"/>
                <w:lang w:val="es-ES_tradnl"/>
              </w:rPr>
              <w:t>Progresa con normalidad</w:t>
            </w:r>
          </w:p>
          <w:p w:rsidR="00B070BF" w:rsidRPr="009577DE" w:rsidRDefault="00B070BF" w:rsidP="00C33D4A">
            <w:pPr>
              <w:widowControl w:val="0"/>
              <w:jc w:val="center"/>
              <w:rPr>
                <w:bCs/>
                <w:sz w:val="16"/>
                <w:szCs w:val="16"/>
                <w:lang w:val="es-ES_tradnl"/>
              </w:rPr>
            </w:pPr>
          </w:p>
          <w:p w:rsidR="00B070BF" w:rsidRPr="009577DE" w:rsidRDefault="00B070BF" w:rsidP="00C33D4A">
            <w:pPr>
              <w:widowControl w:val="0"/>
              <w:jc w:val="center"/>
              <w:rPr>
                <w:bCs/>
                <w:sz w:val="16"/>
                <w:szCs w:val="16"/>
                <w:lang w:val="es-ES_tradnl"/>
              </w:rPr>
            </w:pPr>
          </w:p>
        </w:tc>
      </w:tr>
      <w:tr w:rsidR="00B070BF" w:rsidRPr="009577DE" w:rsidTr="00C33D4A">
        <w:trPr>
          <w:cantSplit/>
        </w:trPr>
        <w:tc>
          <w:tcPr>
            <w:tcW w:w="908" w:type="pct"/>
            <w:tcBorders>
              <w:top w:val="nil"/>
              <w:left w:val="single" w:sz="4" w:space="0" w:color="auto"/>
              <w:bottom w:val="single" w:sz="4" w:space="0" w:color="auto"/>
            </w:tcBorders>
            <w:shd w:val="clear" w:color="auto" w:fill="auto"/>
          </w:tcPr>
          <w:p w:rsidR="00B070BF" w:rsidRPr="009577DE" w:rsidRDefault="00B070BF" w:rsidP="00C33D4A">
            <w:pPr>
              <w:widowControl w:val="0"/>
              <w:rPr>
                <w:sz w:val="16"/>
                <w:szCs w:val="16"/>
                <w:lang w:val="es-ES_tradnl"/>
              </w:rPr>
            </w:pPr>
            <w:r w:rsidRPr="009577DE">
              <w:rPr>
                <w:sz w:val="16"/>
                <w:szCs w:val="16"/>
                <w:lang w:val="es-ES_tradnl"/>
              </w:rPr>
              <w:t>Porcentaje de usuarios satisfechos de los servicios de los CATI.</w:t>
            </w:r>
          </w:p>
        </w:tc>
        <w:tc>
          <w:tcPr>
            <w:tcW w:w="798" w:type="pct"/>
            <w:tcBorders>
              <w:top w:val="nil"/>
              <w:bottom w:val="single" w:sz="4" w:space="0" w:color="auto"/>
            </w:tcBorders>
            <w:shd w:val="clear" w:color="auto" w:fill="C0C0C0"/>
          </w:tcPr>
          <w:p w:rsidR="00B070BF" w:rsidRPr="009577DE" w:rsidRDefault="00B070BF" w:rsidP="00C33D4A">
            <w:pPr>
              <w:widowControl w:val="0"/>
              <w:rPr>
                <w:sz w:val="16"/>
                <w:szCs w:val="16"/>
                <w:lang w:val="es-ES_tradnl"/>
              </w:rPr>
            </w:pPr>
            <w:proofErr w:type="spellStart"/>
            <w:r>
              <w:rPr>
                <w:sz w:val="16"/>
                <w:szCs w:val="16"/>
                <w:lang w:val="es-ES_tradnl"/>
              </w:rPr>
              <w:t>n.d</w:t>
            </w:r>
            <w:proofErr w:type="spellEnd"/>
            <w:r>
              <w:rPr>
                <w:sz w:val="16"/>
                <w:szCs w:val="16"/>
                <w:lang w:val="es-ES_tradnl"/>
              </w:rPr>
              <w:t>.</w:t>
            </w:r>
          </w:p>
          <w:p w:rsidR="00B070BF" w:rsidRPr="009577DE" w:rsidRDefault="00B070BF" w:rsidP="00C33D4A">
            <w:pPr>
              <w:widowControl w:val="0"/>
              <w:rPr>
                <w:sz w:val="16"/>
                <w:szCs w:val="16"/>
                <w:lang w:val="es-ES_tradnl"/>
              </w:rPr>
            </w:pPr>
          </w:p>
        </w:tc>
        <w:tc>
          <w:tcPr>
            <w:tcW w:w="908" w:type="pct"/>
            <w:tcBorders>
              <w:top w:val="nil"/>
              <w:bottom w:val="single" w:sz="4" w:space="0" w:color="auto"/>
            </w:tcBorders>
            <w:shd w:val="clear" w:color="auto" w:fill="auto"/>
            <w:tcMar>
              <w:top w:w="110" w:type="dxa"/>
            </w:tcMar>
          </w:tcPr>
          <w:p w:rsidR="00B070BF" w:rsidRPr="009577DE" w:rsidRDefault="00B070BF" w:rsidP="00C33D4A">
            <w:pPr>
              <w:widowControl w:val="0"/>
              <w:rPr>
                <w:sz w:val="16"/>
                <w:szCs w:val="16"/>
                <w:lang w:val="es-ES_tradnl"/>
              </w:rPr>
            </w:pPr>
          </w:p>
        </w:tc>
        <w:tc>
          <w:tcPr>
            <w:tcW w:w="1833" w:type="pct"/>
            <w:tcBorders>
              <w:top w:val="nil"/>
              <w:bottom w:val="single" w:sz="4" w:space="0" w:color="auto"/>
            </w:tcBorders>
            <w:shd w:val="clear" w:color="auto" w:fill="FFFFFF"/>
            <w:tcMar>
              <w:top w:w="110" w:type="dxa"/>
            </w:tcMar>
          </w:tcPr>
          <w:p w:rsidR="00B070BF" w:rsidRPr="009577DE" w:rsidRDefault="00B070BF" w:rsidP="00C33D4A">
            <w:pPr>
              <w:widowControl w:val="0"/>
              <w:rPr>
                <w:sz w:val="16"/>
                <w:szCs w:val="16"/>
                <w:lang w:val="es-ES_tradnl" w:bidi="th-TH"/>
              </w:rPr>
            </w:pPr>
            <w:r w:rsidRPr="009577DE">
              <w:rPr>
                <w:sz w:val="16"/>
                <w:szCs w:val="16"/>
                <w:lang w:val="es-ES_tradnl" w:bidi="th-TH"/>
              </w:rPr>
              <w:t>Muy satisfechos: 33%</w:t>
            </w:r>
          </w:p>
          <w:p w:rsidR="00B070BF" w:rsidRPr="009577DE" w:rsidRDefault="00B070BF" w:rsidP="00C33D4A">
            <w:pPr>
              <w:widowControl w:val="0"/>
              <w:rPr>
                <w:sz w:val="16"/>
                <w:szCs w:val="16"/>
                <w:lang w:val="es-ES_tradnl" w:bidi="th-TH"/>
              </w:rPr>
            </w:pPr>
            <w:r w:rsidRPr="009577DE">
              <w:rPr>
                <w:sz w:val="16"/>
                <w:szCs w:val="16"/>
                <w:lang w:val="es-ES_tradnl" w:bidi="th-TH"/>
              </w:rPr>
              <w:t>Moderadamente satisfechos: 44%</w:t>
            </w:r>
          </w:p>
          <w:p w:rsidR="00B070BF" w:rsidRPr="009577DE" w:rsidRDefault="00B070BF" w:rsidP="00C33D4A">
            <w:pPr>
              <w:widowControl w:val="0"/>
              <w:rPr>
                <w:sz w:val="16"/>
                <w:szCs w:val="16"/>
                <w:lang w:val="es-ES_tradnl"/>
              </w:rPr>
            </w:pPr>
          </w:p>
        </w:tc>
        <w:tc>
          <w:tcPr>
            <w:tcW w:w="553" w:type="pct"/>
            <w:tcBorders>
              <w:top w:val="nil"/>
              <w:bottom w:val="single" w:sz="4" w:space="0" w:color="auto"/>
              <w:right w:val="single" w:sz="4" w:space="0" w:color="auto"/>
            </w:tcBorders>
            <w:shd w:val="clear" w:color="auto" w:fill="auto"/>
            <w:tcMar>
              <w:top w:w="110" w:type="dxa"/>
            </w:tcMar>
          </w:tcPr>
          <w:p w:rsidR="00B070BF" w:rsidRPr="009577DE" w:rsidRDefault="00B070BF" w:rsidP="00C33D4A">
            <w:pPr>
              <w:widowControl w:val="0"/>
              <w:jc w:val="center"/>
              <w:rPr>
                <w:b/>
                <w:sz w:val="16"/>
                <w:szCs w:val="16"/>
                <w:lang w:val="es-ES_tradnl"/>
              </w:rPr>
            </w:pPr>
            <w:r w:rsidRPr="009577DE">
              <w:rPr>
                <w:b/>
                <w:color w:val="008000"/>
                <w:sz w:val="16"/>
                <w:szCs w:val="16"/>
                <w:lang w:val="es-ES_tradnl"/>
              </w:rPr>
              <w:t>Progresa con normalidad</w:t>
            </w:r>
          </w:p>
          <w:p w:rsidR="00B070BF" w:rsidRPr="009577DE" w:rsidRDefault="00B070BF" w:rsidP="00C33D4A">
            <w:pPr>
              <w:widowControl w:val="0"/>
              <w:jc w:val="center"/>
              <w:rPr>
                <w:bCs/>
                <w:sz w:val="16"/>
                <w:szCs w:val="16"/>
                <w:lang w:val="es-ES_tradnl"/>
              </w:rPr>
            </w:pPr>
          </w:p>
          <w:p w:rsidR="00B070BF" w:rsidRPr="009577DE" w:rsidRDefault="00B070BF" w:rsidP="00C33D4A">
            <w:pPr>
              <w:widowControl w:val="0"/>
              <w:jc w:val="center"/>
              <w:rPr>
                <w:bCs/>
                <w:sz w:val="16"/>
                <w:szCs w:val="16"/>
                <w:lang w:val="es-ES_tradnl"/>
              </w:rPr>
            </w:pPr>
          </w:p>
        </w:tc>
      </w:tr>
      <w:tr w:rsidR="00B070BF" w:rsidRPr="009577DE" w:rsidTr="00C33D4A">
        <w:trPr>
          <w:cantSplit/>
        </w:trPr>
        <w:tc>
          <w:tcPr>
            <w:tcW w:w="908" w:type="pct"/>
            <w:tcBorders>
              <w:top w:val="single" w:sz="4" w:space="0" w:color="auto"/>
              <w:left w:val="single" w:sz="4" w:space="0" w:color="auto"/>
              <w:bottom w:val="nil"/>
            </w:tcBorders>
            <w:shd w:val="clear" w:color="auto" w:fill="auto"/>
          </w:tcPr>
          <w:p w:rsidR="00B070BF" w:rsidRPr="009577DE" w:rsidRDefault="00B070BF" w:rsidP="00C33D4A">
            <w:pPr>
              <w:widowControl w:val="0"/>
              <w:rPr>
                <w:sz w:val="16"/>
                <w:szCs w:val="16"/>
                <w:lang w:val="es-ES_tradnl"/>
              </w:rPr>
            </w:pPr>
            <w:r w:rsidRPr="009577DE">
              <w:rPr>
                <w:sz w:val="16"/>
                <w:szCs w:val="16"/>
                <w:lang w:val="es-ES_tradnl"/>
              </w:rPr>
              <w:lastRenderedPageBreak/>
              <w:t xml:space="preserve">Número de usuarios de los servicios de información con valor añadido (servicio de búsqueda de la tecnología, informes sobre análisis de la actividad de </w:t>
            </w:r>
            <w:proofErr w:type="spellStart"/>
            <w:r w:rsidRPr="009577DE">
              <w:rPr>
                <w:sz w:val="16"/>
                <w:szCs w:val="16"/>
                <w:lang w:val="es-ES_tradnl"/>
              </w:rPr>
              <w:t>patentamiento</w:t>
            </w:r>
            <w:proofErr w:type="spellEnd"/>
            <w:r w:rsidRPr="009577DE">
              <w:rPr>
                <w:sz w:val="16"/>
                <w:szCs w:val="16"/>
                <w:lang w:val="es-ES_tradnl"/>
              </w:rPr>
              <w:t xml:space="preserve"> y cooperación internacional en el examen).</w:t>
            </w:r>
          </w:p>
        </w:tc>
        <w:tc>
          <w:tcPr>
            <w:tcW w:w="798" w:type="pct"/>
            <w:tcBorders>
              <w:top w:val="single" w:sz="4" w:space="0" w:color="auto"/>
              <w:bottom w:val="nil"/>
            </w:tcBorders>
            <w:shd w:val="clear" w:color="auto" w:fill="C0C0C0"/>
          </w:tcPr>
          <w:p w:rsidR="00B070BF" w:rsidRPr="009577DE" w:rsidRDefault="00B070BF" w:rsidP="00C33D4A">
            <w:pPr>
              <w:widowControl w:val="0"/>
              <w:rPr>
                <w:sz w:val="16"/>
                <w:szCs w:val="16"/>
                <w:lang w:val="es-ES_tradnl"/>
              </w:rPr>
            </w:pPr>
            <w:r w:rsidRPr="009577DE">
              <w:rPr>
                <w:sz w:val="16"/>
                <w:szCs w:val="16"/>
                <w:lang w:val="es-ES_tradnl"/>
              </w:rPr>
              <w:t>A determinar a fines de 2011.</w:t>
            </w:r>
          </w:p>
        </w:tc>
        <w:tc>
          <w:tcPr>
            <w:tcW w:w="908" w:type="pct"/>
            <w:tcBorders>
              <w:top w:val="single" w:sz="4" w:space="0" w:color="auto"/>
              <w:bottom w:val="nil"/>
            </w:tcBorders>
            <w:shd w:val="clear" w:color="auto" w:fill="auto"/>
            <w:tcMar>
              <w:top w:w="110" w:type="dxa"/>
            </w:tcMar>
          </w:tcPr>
          <w:p w:rsidR="00B070BF" w:rsidRPr="00F2661C" w:rsidRDefault="00B070BF" w:rsidP="00C33D4A">
            <w:pPr>
              <w:widowControl w:val="0"/>
              <w:rPr>
                <w:color w:val="993300"/>
                <w:sz w:val="16"/>
                <w:szCs w:val="16"/>
                <w:lang w:val="es-ES_tradnl" w:bidi="th-TH"/>
              </w:rPr>
            </w:pPr>
            <w:r w:rsidRPr="00F2661C">
              <w:rPr>
                <w:color w:val="993300"/>
                <w:sz w:val="16"/>
                <w:szCs w:val="16"/>
                <w:lang w:val="es-ES_tradnl" w:bidi="th-TH"/>
              </w:rPr>
              <w:t>Del servicio de cooperación internacional en el examen/servicios de la OMPI de información sobre patentes:</w:t>
            </w:r>
          </w:p>
          <w:p w:rsidR="00B070BF" w:rsidRPr="00F2661C" w:rsidRDefault="00B070BF" w:rsidP="00C33D4A">
            <w:pPr>
              <w:widowControl w:val="0"/>
              <w:rPr>
                <w:color w:val="993300"/>
                <w:sz w:val="16"/>
                <w:szCs w:val="16"/>
                <w:lang w:val="es-ES_tradnl" w:bidi="th-TH"/>
              </w:rPr>
            </w:pPr>
            <w:r w:rsidRPr="00F2661C">
              <w:rPr>
                <w:color w:val="993300"/>
                <w:sz w:val="16"/>
                <w:szCs w:val="16"/>
                <w:lang w:val="es-ES_tradnl" w:bidi="th-TH"/>
              </w:rPr>
              <w:t>284 solicitudes de búsqueda (2011) de 16 países, comprendidas 107 solicitudes de examen por conducto de la cooperación internacional en el examen.</w:t>
            </w:r>
          </w:p>
          <w:p w:rsidR="00B070BF" w:rsidRPr="00F2661C" w:rsidRDefault="00B070BF" w:rsidP="00C33D4A">
            <w:pPr>
              <w:widowControl w:val="0"/>
              <w:rPr>
                <w:color w:val="993300"/>
                <w:sz w:val="16"/>
                <w:szCs w:val="16"/>
                <w:highlight w:val="cyan"/>
                <w:lang w:val="es-ES_tradnl" w:bidi="th-TH"/>
              </w:rPr>
            </w:pPr>
          </w:p>
          <w:p w:rsidR="00B070BF" w:rsidRPr="00F2661C" w:rsidRDefault="00B070BF" w:rsidP="00C33D4A">
            <w:pPr>
              <w:widowControl w:val="0"/>
              <w:rPr>
                <w:color w:val="993300"/>
                <w:sz w:val="16"/>
                <w:szCs w:val="16"/>
                <w:lang w:val="es-ES_tradnl" w:bidi="th-TH"/>
              </w:rPr>
            </w:pPr>
            <w:r w:rsidRPr="00F2661C">
              <w:rPr>
                <w:color w:val="993300"/>
                <w:sz w:val="16"/>
                <w:szCs w:val="16"/>
                <w:lang w:val="es-ES_tradnl" w:bidi="th-TH"/>
              </w:rPr>
              <w:t xml:space="preserve">De los informes sobre análisis de la actividad de </w:t>
            </w:r>
            <w:proofErr w:type="spellStart"/>
            <w:r w:rsidRPr="00F2661C">
              <w:rPr>
                <w:color w:val="993300"/>
                <w:sz w:val="16"/>
                <w:szCs w:val="16"/>
                <w:lang w:val="es-ES_tradnl" w:bidi="th-TH"/>
              </w:rPr>
              <w:t>patentamiento</w:t>
            </w:r>
            <w:proofErr w:type="spellEnd"/>
            <w:r w:rsidRPr="00F2661C">
              <w:rPr>
                <w:color w:val="993300"/>
                <w:sz w:val="16"/>
                <w:szCs w:val="16"/>
                <w:lang w:val="es-ES_tradnl" w:bidi="th-TH"/>
              </w:rPr>
              <w:t>:</w:t>
            </w:r>
          </w:p>
          <w:p w:rsidR="00B070BF" w:rsidRPr="00F2661C" w:rsidRDefault="00B070BF" w:rsidP="00C33D4A">
            <w:pPr>
              <w:widowControl w:val="0"/>
              <w:rPr>
                <w:color w:val="993300"/>
                <w:sz w:val="16"/>
                <w:szCs w:val="16"/>
                <w:lang w:val="es-ES_tradnl" w:bidi="th-TH"/>
              </w:rPr>
            </w:pPr>
            <w:r w:rsidRPr="00F2661C">
              <w:rPr>
                <w:color w:val="993300"/>
                <w:sz w:val="16"/>
                <w:szCs w:val="16"/>
                <w:lang w:val="es-ES_tradnl" w:bidi="th-TH"/>
              </w:rPr>
              <w:t>Colaboradores: unos 20</w:t>
            </w:r>
          </w:p>
          <w:p w:rsidR="00B070BF" w:rsidRPr="00F2661C" w:rsidRDefault="00B070BF" w:rsidP="00C33D4A">
            <w:pPr>
              <w:widowControl w:val="0"/>
              <w:rPr>
                <w:color w:val="993300"/>
                <w:sz w:val="16"/>
                <w:szCs w:val="16"/>
                <w:lang w:val="es-ES_tradnl" w:bidi="th-TH"/>
              </w:rPr>
            </w:pPr>
            <w:r w:rsidRPr="00F2661C">
              <w:rPr>
                <w:color w:val="993300"/>
                <w:sz w:val="16"/>
                <w:szCs w:val="16"/>
                <w:lang w:val="es-ES_tradnl" w:bidi="th-TH"/>
              </w:rPr>
              <w:t xml:space="preserve">Número de visitas únicas a la página: 2.000 </w:t>
            </w:r>
          </w:p>
          <w:p w:rsidR="00B070BF" w:rsidRPr="00F2661C" w:rsidRDefault="00B070BF" w:rsidP="00C33D4A">
            <w:pPr>
              <w:widowControl w:val="0"/>
              <w:rPr>
                <w:color w:val="993300"/>
                <w:sz w:val="16"/>
                <w:szCs w:val="16"/>
                <w:lang w:val="es-ES_tradnl" w:bidi="th-TH"/>
              </w:rPr>
            </w:pPr>
            <w:r w:rsidRPr="00F2661C">
              <w:rPr>
                <w:color w:val="993300"/>
                <w:sz w:val="16"/>
                <w:szCs w:val="16"/>
                <w:lang w:val="es-ES_tradnl" w:bidi="th-TH"/>
              </w:rPr>
              <w:t>Número de descargas: 1.500</w:t>
            </w:r>
          </w:p>
          <w:p w:rsidR="00B070BF" w:rsidRPr="00F2661C" w:rsidRDefault="00B070BF" w:rsidP="00C33D4A">
            <w:pPr>
              <w:widowControl w:val="0"/>
              <w:rPr>
                <w:color w:val="993300"/>
                <w:sz w:val="16"/>
                <w:szCs w:val="16"/>
                <w:highlight w:val="cyan"/>
                <w:lang w:val="es-ES_tradnl" w:bidi="th-TH"/>
              </w:rPr>
            </w:pPr>
          </w:p>
        </w:tc>
        <w:tc>
          <w:tcPr>
            <w:tcW w:w="1833" w:type="pct"/>
            <w:tcBorders>
              <w:top w:val="single" w:sz="4" w:space="0" w:color="auto"/>
              <w:bottom w:val="nil"/>
            </w:tcBorders>
            <w:shd w:val="clear" w:color="auto" w:fill="FFFFFF"/>
            <w:tcMar>
              <w:top w:w="110" w:type="dxa"/>
            </w:tcMar>
          </w:tcPr>
          <w:p w:rsidR="00B070BF" w:rsidRPr="009577DE" w:rsidRDefault="00B070BF" w:rsidP="00C33D4A">
            <w:pPr>
              <w:widowControl w:val="0"/>
              <w:rPr>
                <w:sz w:val="16"/>
                <w:szCs w:val="16"/>
                <w:lang w:val="es-ES_tradnl" w:bidi="th-TH"/>
              </w:rPr>
            </w:pPr>
            <w:r w:rsidRPr="009577DE">
              <w:rPr>
                <w:sz w:val="16"/>
                <w:szCs w:val="16"/>
                <w:lang w:val="es-ES_tradnl" w:bidi="th-TH"/>
              </w:rPr>
              <w:t xml:space="preserve">Del servicio de cooperación internacional en el examen/servicios de la OMPI de información sobre patentes:  en 2012 se recibieron 241 solicitudes de búsqueda de 19 países, incluidas 101 solicitudes de informes de examen por conducto de la cooperación internacional en el examen. </w:t>
            </w:r>
          </w:p>
          <w:p w:rsidR="00B070BF" w:rsidRPr="009577DE" w:rsidRDefault="00B070BF" w:rsidP="00C33D4A">
            <w:pPr>
              <w:widowControl w:val="0"/>
              <w:rPr>
                <w:sz w:val="16"/>
                <w:szCs w:val="16"/>
                <w:lang w:val="es-ES_tradnl" w:bidi="th-TH"/>
              </w:rPr>
            </w:pPr>
          </w:p>
          <w:p w:rsidR="00B070BF" w:rsidRPr="009577DE" w:rsidRDefault="00B070BF" w:rsidP="00C33D4A">
            <w:pPr>
              <w:widowControl w:val="0"/>
              <w:rPr>
                <w:sz w:val="16"/>
                <w:szCs w:val="16"/>
                <w:lang w:val="es-ES_tradnl" w:bidi="th-TH"/>
              </w:rPr>
            </w:pPr>
          </w:p>
          <w:p w:rsidR="00B070BF" w:rsidRPr="009577DE" w:rsidRDefault="00B070BF" w:rsidP="00C33D4A">
            <w:pPr>
              <w:widowControl w:val="0"/>
              <w:rPr>
                <w:sz w:val="16"/>
                <w:szCs w:val="16"/>
                <w:lang w:val="es-ES_tradnl" w:bidi="th-TH"/>
              </w:rPr>
            </w:pPr>
          </w:p>
          <w:p w:rsidR="00B070BF" w:rsidRPr="009577DE" w:rsidRDefault="00B070BF" w:rsidP="00C33D4A">
            <w:pPr>
              <w:widowControl w:val="0"/>
              <w:rPr>
                <w:sz w:val="16"/>
                <w:szCs w:val="16"/>
                <w:lang w:val="es-ES_tradnl" w:bidi="th-TH"/>
              </w:rPr>
            </w:pPr>
          </w:p>
          <w:p w:rsidR="00B070BF" w:rsidRPr="009577DE" w:rsidRDefault="00B070BF" w:rsidP="00C33D4A">
            <w:pPr>
              <w:widowControl w:val="0"/>
              <w:rPr>
                <w:sz w:val="16"/>
                <w:szCs w:val="16"/>
                <w:lang w:val="es-ES_tradnl" w:bidi="th-TH"/>
              </w:rPr>
            </w:pPr>
          </w:p>
          <w:p w:rsidR="00B070BF" w:rsidRPr="009577DE" w:rsidRDefault="00B070BF" w:rsidP="00C33D4A">
            <w:pPr>
              <w:widowControl w:val="0"/>
              <w:rPr>
                <w:sz w:val="16"/>
                <w:szCs w:val="16"/>
                <w:lang w:val="es-ES_tradnl" w:bidi="th-TH"/>
              </w:rPr>
            </w:pPr>
          </w:p>
          <w:p w:rsidR="00B070BF" w:rsidRPr="009577DE" w:rsidRDefault="00B070BF" w:rsidP="00C33D4A">
            <w:pPr>
              <w:widowControl w:val="0"/>
              <w:rPr>
                <w:sz w:val="16"/>
                <w:szCs w:val="16"/>
                <w:lang w:val="es-ES_tradnl" w:bidi="th-TH"/>
              </w:rPr>
            </w:pPr>
          </w:p>
          <w:p w:rsidR="00B070BF" w:rsidRPr="009577DE" w:rsidRDefault="00B070BF" w:rsidP="00C33D4A">
            <w:pPr>
              <w:widowControl w:val="0"/>
              <w:rPr>
                <w:sz w:val="16"/>
                <w:szCs w:val="16"/>
                <w:lang w:val="es-ES_tradnl" w:bidi="th-TH"/>
              </w:rPr>
            </w:pPr>
          </w:p>
          <w:p w:rsidR="00B070BF" w:rsidRPr="009577DE" w:rsidRDefault="00B070BF" w:rsidP="00C33D4A">
            <w:pPr>
              <w:widowControl w:val="0"/>
              <w:rPr>
                <w:sz w:val="16"/>
                <w:szCs w:val="16"/>
                <w:lang w:val="es-ES_tradnl" w:bidi="th-TH"/>
              </w:rPr>
            </w:pPr>
          </w:p>
          <w:p w:rsidR="00B070BF" w:rsidRPr="009577DE" w:rsidRDefault="00B070BF" w:rsidP="00C33D4A">
            <w:pPr>
              <w:widowControl w:val="0"/>
              <w:rPr>
                <w:sz w:val="16"/>
                <w:szCs w:val="16"/>
                <w:lang w:val="es-ES_tradnl" w:bidi="th-TH"/>
              </w:rPr>
            </w:pPr>
          </w:p>
          <w:p w:rsidR="00B070BF" w:rsidRPr="009577DE" w:rsidRDefault="00B070BF" w:rsidP="00C33D4A">
            <w:pPr>
              <w:widowControl w:val="0"/>
              <w:rPr>
                <w:sz w:val="16"/>
                <w:szCs w:val="16"/>
                <w:lang w:val="es-ES_tradnl" w:bidi="th-TH"/>
              </w:rPr>
            </w:pPr>
          </w:p>
          <w:p w:rsidR="00B070BF" w:rsidRPr="009577DE" w:rsidRDefault="00B070BF" w:rsidP="00C33D4A">
            <w:pPr>
              <w:widowControl w:val="0"/>
              <w:rPr>
                <w:sz w:val="16"/>
                <w:szCs w:val="16"/>
                <w:lang w:val="es-ES_tradnl" w:bidi="th-TH"/>
              </w:rPr>
            </w:pPr>
            <w:r w:rsidRPr="009577DE">
              <w:rPr>
                <w:sz w:val="16"/>
                <w:szCs w:val="16"/>
                <w:lang w:val="es-ES_tradnl" w:bidi="th-TH"/>
              </w:rPr>
              <w:t>De los</w:t>
            </w:r>
            <w:r w:rsidRPr="009577DE">
              <w:rPr>
                <w:lang w:val="es-ES_tradnl"/>
              </w:rPr>
              <w:t xml:space="preserve"> </w:t>
            </w:r>
            <w:r w:rsidRPr="009577DE">
              <w:rPr>
                <w:sz w:val="16"/>
                <w:szCs w:val="16"/>
                <w:lang w:val="es-ES_tradnl" w:bidi="th-TH"/>
              </w:rPr>
              <w:t xml:space="preserve">informes sobre análisis de la actividad de </w:t>
            </w:r>
            <w:proofErr w:type="spellStart"/>
            <w:r w:rsidRPr="009577DE">
              <w:rPr>
                <w:sz w:val="16"/>
                <w:szCs w:val="16"/>
                <w:lang w:val="es-ES_tradnl" w:bidi="th-TH"/>
              </w:rPr>
              <w:t>patentamiento</w:t>
            </w:r>
            <w:proofErr w:type="spellEnd"/>
            <w:r w:rsidRPr="009577DE">
              <w:rPr>
                <w:sz w:val="16"/>
                <w:szCs w:val="16"/>
                <w:lang w:val="es-ES_tradnl" w:bidi="th-TH"/>
              </w:rPr>
              <w:t>:</w:t>
            </w:r>
          </w:p>
          <w:p w:rsidR="00B070BF" w:rsidRPr="009577DE" w:rsidRDefault="00B070BF" w:rsidP="00C33D4A">
            <w:pPr>
              <w:widowControl w:val="0"/>
              <w:rPr>
                <w:sz w:val="16"/>
                <w:szCs w:val="16"/>
                <w:lang w:val="es-ES_tradnl" w:bidi="th-TH"/>
              </w:rPr>
            </w:pPr>
          </w:p>
          <w:p w:rsidR="00B070BF" w:rsidRPr="009577DE" w:rsidRDefault="00B070BF" w:rsidP="00C33D4A">
            <w:pPr>
              <w:widowControl w:val="0"/>
              <w:rPr>
                <w:sz w:val="16"/>
                <w:szCs w:val="16"/>
                <w:lang w:val="es-ES_tradnl" w:bidi="th-TH"/>
              </w:rPr>
            </w:pPr>
            <w:r w:rsidRPr="009577DE">
              <w:rPr>
                <w:sz w:val="16"/>
                <w:szCs w:val="16"/>
                <w:lang w:val="es-ES_tradnl" w:bidi="th-TH"/>
              </w:rPr>
              <w:t>13.102 visitas (una sola pulsación del ratón);</w:t>
            </w:r>
          </w:p>
          <w:p w:rsidR="00B070BF" w:rsidRPr="009577DE" w:rsidRDefault="00B070BF" w:rsidP="00C33D4A">
            <w:pPr>
              <w:widowControl w:val="0"/>
              <w:rPr>
                <w:sz w:val="16"/>
                <w:szCs w:val="16"/>
                <w:lang w:val="es-ES_tradnl" w:bidi="th-TH"/>
              </w:rPr>
            </w:pPr>
            <w:r w:rsidRPr="009577DE">
              <w:rPr>
                <w:sz w:val="16"/>
                <w:szCs w:val="16"/>
                <w:lang w:val="es-ES_tradnl" w:bidi="th-TH"/>
              </w:rPr>
              <w:t xml:space="preserve">8.930 descargas de documentos en formato </w:t>
            </w:r>
            <w:proofErr w:type="spellStart"/>
            <w:r w:rsidRPr="009577DE">
              <w:rPr>
                <w:sz w:val="16"/>
                <w:szCs w:val="16"/>
                <w:lang w:val="es-ES_tradnl" w:bidi="th-TH"/>
              </w:rPr>
              <w:t>pdf</w:t>
            </w:r>
            <w:proofErr w:type="spellEnd"/>
            <w:r w:rsidRPr="009577DE">
              <w:rPr>
                <w:sz w:val="16"/>
                <w:szCs w:val="16"/>
                <w:lang w:val="es-ES_tradnl" w:bidi="th-TH"/>
              </w:rPr>
              <w:t>.</w:t>
            </w:r>
          </w:p>
          <w:p w:rsidR="00B070BF" w:rsidRPr="009577DE" w:rsidRDefault="00B070BF" w:rsidP="00C33D4A">
            <w:pPr>
              <w:widowControl w:val="0"/>
              <w:rPr>
                <w:sz w:val="16"/>
                <w:szCs w:val="16"/>
                <w:lang w:val="es-ES_tradnl" w:bidi="th-TH"/>
              </w:rPr>
            </w:pPr>
          </w:p>
          <w:p w:rsidR="00B070BF" w:rsidRPr="009577DE" w:rsidRDefault="00B070BF" w:rsidP="00C33D4A">
            <w:pPr>
              <w:widowControl w:val="0"/>
              <w:rPr>
                <w:sz w:val="16"/>
                <w:szCs w:val="16"/>
                <w:lang w:val="es-ES_tradnl"/>
              </w:rPr>
            </w:pPr>
          </w:p>
        </w:tc>
        <w:tc>
          <w:tcPr>
            <w:tcW w:w="553" w:type="pct"/>
            <w:tcBorders>
              <w:top w:val="single" w:sz="4" w:space="0" w:color="auto"/>
              <w:bottom w:val="nil"/>
              <w:right w:val="single" w:sz="4" w:space="0" w:color="auto"/>
            </w:tcBorders>
            <w:shd w:val="clear" w:color="auto" w:fill="auto"/>
            <w:tcMar>
              <w:top w:w="110" w:type="dxa"/>
            </w:tcMar>
          </w:tcPr>
          <w:p w:rsidR="00B070BF" w:rsidRPr="009577DE" w:rsidRDefault="00B070BF" w:rsidP="00C33D4A">
            <w:pPr>
              <w:widowControl w:val="0"/>
              <w:jc w:val="center"/>
              <w:rPr>
                <w:bCs/>
                <w:sz w:val="16"/>
                <w:szCs w:val="16"/>
                <w:lang w:val="es-ES_tradnl"/>
              </w:rPr>
            </w:pPr>
            <w:r w:rsidRPr="009577DE">
              <w:rPr>
                <w:b/>
                <w:color w:val="008000"/>
                <w:sz w:val="16"/>
                <w:szCs w:val="16"/>
                <w:lang w:val="es-ES_tradnl"/>
              </w:rPr>
              <w:t>Progresa con normalidad</w:t>
            </w:r>
          </w:p>
          <w:p w:rsidR="00B070BF" w:rsidRPr="009577DE" w:rsidRDefault="00B070BF" w:rsidP="00C33D4A">
            <w:pPr>
              <w:widowControl w:val="0"/>
              <w:jc w:val="center"/>
              <w:rPr>
                <w:bCs/>
                <w:sz w:val="16"/>
                <w:szCs w:val="16"/>
                <w:lang w:val="es-ES_tradnl"/>
              </w:rPr>
            </w:pPr>
          </w:p>
          <w:p w:rsidR="00B070BF" w:rsidRPr="009577DE" w:rsidRDefault="00B070BF" w:rsidP="00C33D4A">
            <w:pPr>
              <w:widowControl w:val="0"/>
              <w:jc w:val="center"/>
              <w:rPr>
                <w:bCs/>
                <w:sz w:val="16"/>
                <w:szCs w:val="16"/>
                <w:lang w:val="es-ES_tradnl"/>
              </w:rPr>
            </w:pPr>
          </w:p>
        </w:tc>
      </w:tr>
      <w:tr w:rsidR="00B070BF" w:rsidRPr="009577DE" w:rsidTr="00C33D4A">
        <w:trPr>
          <w:cantSplit/>
        </w:trPr>
        <w:tc>
          <w:tcPr>
            <w:tcW w:w="908" w:type="pct"/>
            <w:tcBorders>
              <w:top w:val="nil"/>
              <w:left w:val="single" w:sz="4" w:space="0" w:color="auto"/>
              <w:bottom w:val="nil"/>
            </w:tcBorders>
            <w:shd w:val="clear" w:color="auto" w:fill="auto"/>
          </w:tcPr>
          <w:p w:rsidR="00B070BF" w:rsidRPr="009577DE" w:rsidRDefault="00B070BF" w:rsidP="00C33D4A">
            <w:pPr>
              <w:widowControl w:val="0"/>
              <w:rPr>
                <w:sz w:val="16"/>
                <w:szCs w:val="16"/>
                <w:lang w:val="es-ES_tradnl"/>
              </w:rPr>
            </w:pPr>
            <w:r w:rsidRPr="009577DE">
              <w:rPr>
                <w:sz w:val="16"/>
                <w:szCs w:val="16"/>
                <w:lang w:val="es-ES_tradnl"/>
              </w:rPr>
              <w:t xml:space="preserve">Porcentaje de usuarios satisfechos de los servicios de información con valor añadido (servicio de búsqueda de la tecnología, informes sobre análisis de la actividad de </w:t>
            </w:r>
            <w:proofErr w:type="spellStart"/>
            <w:r w:rsidRPr="009577DE">
              <w:rPr>
                <w:sz w:val="16"/>
                <w:szCs w:val="16"/>
                <w:lang w:val="es-ES_tradnl"/>
              </w:rPr>
              <w:t>patentamiento</w:t>
            </w:r>
            <w:proofErr w:type="spellEnd"/>
            <w:r w:rsidRPr="009577DE">
              <w:rPr>
                <w:sz w:val="16"/>
                <w:szCs w:val="16"/>
                <w:lang w:val="es-ES_tradnl"/>
              </w:rPr>
              <w:t xml:space="preserve"> y cooperación internacional en el examen).</w:t>
            </w:r>
          </w:p>
        </w:tc>
        <w:tc>
          <w:tcPr>
            <w:tcW w:w="798" w:type="pct"/>
            <w:tcBorders>
              <w:top w:val="nil"/>
              <w:bottom w:val="nil"/>
            </w:tcBorders>
            <w:shd w:val="clear" w:color="auto" w:fill="C0C0C0"/>
          </w:tcPr>
          <w:p w:rsidR="00B070BF" w:rsidRPr="009577DE" w:rsidRDefault="00B070BF" w:rsidP="00C33D4A">
            <w:pPr>
              <w:widowControl w:val="0"/>
              <w:rPr>
                <w:sz w:val="16"/>
                <w:szCs w:val="16"/>
                <w:lang w:val="es-ES_tradnl"/>
              </w:rPr>
            </w:pPr>
            <w:proofErr w:type="spellStart"/>
            <w:r>
              <w:rPr>
                <w:sz w:val="16"/>
                <w:szCs w:val="16"/>
                <w:lang w:val="es-ES_tradnl"/>
              </w:rPr>
              <w:t>n.d</w:t>
            </w:r>
            <w:proofErr w:type="spellEnd"/>
            <w:r>
              <w:rPr>
                <w:sz w:val="16"/>
                <w:szCs w:val="16"/>
                <w:lang w:val="es-ES_tradnl"/>
              </w:rPr>
              <w:t>.</w:t>
            </w:r>
          </w:p>
        </w:tc>
        <w:tc>
          <w:tcPr>
            <w:tcW w:w="908" w:type="pct"/>
            <w:tcBorders>
              <w:top w:val="nil"/>
              <w:bottom w:val="nil"/>
            </w:tcBorders>
            <w:shd w:val="clear" w:color="auto" w:fill="auto"/>
            <w:tcMar>
              <w:top w:w="110" w:type="dxa"/>
            </w:tcMar>
          </w:tcPr>
          <w:p w:rsidR="00B070BF" w:rsidRPr="00F2661C" w:rsidRDefault="00B070BF" w:rsidP="00C33D4A">
            <w:pPr>
              <w:widowControl w:val="0"/>
              <w:rPr>
                <w:color w:val="993300"/>
                <w:sz w:val="16"/>
                <w:szCs w:val="16"/>
                <w:lang w:val="es-ES_tradnl" w:bidi="th-TH"/>
              </w:rPr>
            </w:pPr>
            <w:r w:rsidRPr="00F2661C">
              <w:rPr>
                <w:color w:val="993300"/>
                <w:sz w:val="16"/>
                <w:szCs w:val="16"/>
                <w:lang w:val="es-ES_tradnl" w:bidi="th-TH"/>
              </w:rPr>
              <w:t>Del servicio de cooperación internacional en el examen/servicios de la OMPI de información sobre patentes:  70%</w:t>
            </w:r>
          </w:p>
          <w:p w:rsidR="00B070BF" w:rsidRPr="00F2661C" w:rsidRDefault="00B070BF" w:rsidP="00C33D4A">
            <w:pPr>
              <w:widowControl w:val="0"/>
              <w:rPr>
                <w:color w:val="993300"/>
                <w:sz w:val="16"/>
                <w:szCs w:val="16"/>
                <w:lang w:val="es-ES_tradnl" w:bidi="th-TH"/>
              </w:rPr>
            </w:pPr>
          </w:p>
          <w:p w:rsidR="00B070BF" w:rsidRPr="00F2661C" w:rsidRDefault="00B070BF" w:rsidP="00C33D4A">
            <w:pPr>
              <w:widowControl w:val="0"/>
              <w:rPr>
                <w:color w:val="993300"/>
                <w:sz w:val="16"/>
                <w:szCs w:val="16"/>
                <w:lang w:val="es-ES_tradnl" w:bidi="th-TH"/>
              </w:rPr>
            </w:pPr>
            <w:r w:rsidRPr="00F2661C">
              <w:rPr>
                <w:color w:val="993300"/>
                <w:sz w:val="16"/>
                <w:szCs w:val="16"/>
                <w:lang w:val="es-ES_tradnl"/>
              </w:rPr>
              <w:t xml:space="preserve">De los informes sobre análisis de la actividad de </w:t>
            </w:r>
            <w:proofErr w:type="spellStart"/>
            <w:r w:rsidRPr="00F2661C">
              <w:rPr>
                <w:color w:val="993300"/>
                <w:sz w:val="16"/>
                <w:szCs w:val="16"/>
                <w:lang w:val="es-ES_tradnl"/>
              </w:rPr>
              <w:t>patentamiento</w:t>
            </w:r>
            <w:proofErr w:type="spellEnd"/>
            <w:r w:rsidRPr="00F2661C">
              <w:rPr>
                <w:color w:val="993300"/>
                <w:sz w:val="16"/>
                <w:szCs w:val="16"/>
                <w:lang w:val="es-ES_tradnl" w:bidi="th-TH"/>
              </w:rPr>
              <w:t>:  70%</w:t>
            </w:r>
          </w:p>
          <w:p w:rsidR="00B070BF" w:rsidRPr="00F2661C" w:rsidRDefault="00B070BF" w:rsidP="00C33D4A">
            <w:pPr>
              <w:widowControl w:val="0"/>
              <w:rPr>
                <w:color w:val="993300"/>
                <w:sz w:val="16"/>
                <w:szCs w:val="16"/>
                <w:lang w:val="es-ES_tradnl" w:bidi="th-TH"/>
              </w:rPr>
            </w:pPr>
            <w:r w:rsidRPr="00F2661C">
              <w:rPr>
                <w:color w:val="993300"/>
                <w:sz w:val="16"/>
                <w:szCs w:val="16"/>
                <w:lang w:val="es-ES_tradnl" w:bidi="th-TH"/>
              </w:rPr>
              <w:t>Usuarios de segundo nivel: 50%</w:t>
            </w:r>
          </w:p>
          <w:p w:rsidR="00B070BF" w:rsidRPr="00F2661C" w:rsidRDefault="00B070BF" w:rsidP="00C33D4A">
            <w:pPr>
              <w:widowControl w:val="0"/>
              <w:rPr>
                <w:i/>
                <w:color w:val="993300"/>
                <w:sz w:val="16"/>
                <w:szCs w:val="16"/>
                <w:lang w:val="es-ES_tradnl"/>
              </w:rPr>
            </w:pPr>
          </w:p>
        </w:tc>
        <w:tc>
          <w:tcPr>
            <w:tcW w:w="1833" w:type="pct"/>
            <w:tcBorders>
              <w:top w:val="nil"/>
              <w:bottom w:val="nil"/>
            </w:tcBorders>
            <w:shd w:val="clear" w:color="auto" w:fill="FFFFFF"/>
            <w:tcMar>
              <w:top w:w="110" w:type="dxa"/>
            </w:tcMar>
          </w:tcPr>
          <w:p w:rsidR="00B070BF" w:rsidRPr="009577DE" w:rsidRDefault="00B070BF" w:rsidP="00C33D4A">
            <w:pPr>
              <w:widowControl w:val="0"/>
              <w:rPr>
                <w:sz w:val="16"/>
                <w:szCs w:val="16"/>
                <w:lang w:val="es-ES_tradnl" w:bidi="th-TH"/>
              </w:rPr>
            </w:pPr>
            <w:r w:rsidRPr="009577DE">
              <w:rPr>
                <w:sz w:val="16"/>
                <w:szCs w:val="16"/>
                <w:lang w:val="es-ES_tradnl" w:bidi="th-TH"/>
              </w:rPr>
              <w:t>Actualmente se están examinando con las oficinas donantes las encuestas de evaluación de la satisfacción de los usuarios con los informes del servicio de cooperación internacional en el examen/servicios de la OMPI de información sobre patentes.  Se prevé que empiecen a aplicarse en 2013.</w:t>
            </w:r>
          </w:p>
          <w:p w:rsidR="00B070BF" w:rsidRPr="009577DE" w:rsidRDefault="00B070BF" w:rsidP="00C33D4A">
            <w:pPr>
              <w:widowControl w:val="0"/>
              <w:rPr>
                <w:sz w:val="16"/>
                <w:szCs w:val="16"/>
                <w:lang w:val="es-ES_tradnl" w:bidi="th-TH"/>
              </w:rPr>
            </w:pPr>
          </w:p>
          <w:p w:rsidR="00B070BF" w:rsidRPr="009577DE" w:rsidRDefault="00B070BF" w:rsidP="00C33D4A">
            <w:pPr>
              <w:widowControl w:val="0"/>
              <w:rPr>
                <w:sz w:val="16"/>
                <w:szCs w:val="16"/>
                <w:lang w:val="es-ES_tradnl" w:bidi="th-TH"/>
              </w:rPr>
            </w:pPr>
            <w:r w:rsidRPr="009577DE">
              <w:rPr>
                <w:sz w:val="16"/>
                <w:szCs w:val="16"/>
                <w:lang w:val="es-ES_tradnl" w:bidi="th-TH"/>
              </w:rPr>
              <w:t xml:space="preserve">De los informes sobre análisis de la actividad de </w:t>
            </w:r>
            <w:proofErr w:type="spellStart"/>
            <w:r w:rsidRPr="009577DE">
              <w:rPr>
                <w:sz w:val="16"/>
                <w:szCs w:val="16"/>
                <w:lang w:val="es-ES_tradnl" w:bidi="th-TH"/>
              </w:rPr>
              <w:t>patentamiento</w:t>
            </w:r>
            <w:proofErr w:type="spellEnd"/>
            <w:r w:rsidRPr="009577DE">
              <w:rPr>
                <w:sz w:val="16"/>
                <w:szCs w:val="16"/>
                <w:lang w:val="es-ES_tradnl" w:bidi="th-TH"/>
              </w:rPr>
              <w:t>:  El 88% de los usuarios de primer y de segundo nivel estaba satisfecho con los informes.  Un 67% de los usuarios consideraba que los informes eran útiles para su trabajo.</w:t>
            </w:r>
          </w:p>
          <w:p w:rsidR="00B070BF" w:rsidRPr="009577DE" w:rsidRDefault="00B070BF" w:rsidP="00C33D4A">
            <w:pPr>
              <w:widowControl w:val="0"/>
              <w:rPr>
                <w:sz w:val="16"/>
                <w:szCs w:val="16"/>
                <w:lang w:val="es-ES_tradnl" w:bidi="th-TH"/>
              </w:rPr>
            </w:pPr>
          </w:p>
          <w:p w:rsidR="00B070BF" w:rsidRPr="009577DE" w:rsidRDefault="00B070BF" w:rsidP="00C33D4A">
            <w:pPr>
              <w:widowControl w:val="0"/>
              <w:rPr>
                <w:sz w:val="16"/>
                <w:szCs w:val="16"/>
                <w:lang w:val="es-ES_tradnl"/>
              </w:rPr>
            </w:pPr>
          </w:p>
        </w:tc>
        <w:tc>
          <w:tcPr>
            <w:tcW w:w="553" w:type="pct"/>
            <w:tcBorders>
              <w:top w:val="nil"/>
              <w:bottom w:val="nil"/>
              <w:right w:val="single" w:sz="4" w:space="0" w:color="auto"/>
            </w:tcBorders>
            <w:shd w:val="clear" w:color="auto" w:fill="auto"/>
            <w:tcMar>
              <w:top w:w="110" w:type="dxa"/>
            </w:tcMar>
          </w:tcPr>
          <w:p w:rsidR="00B070BF" w:rsidRPr="009577DE" w:rsidRDefault="00B070BF" w:rsidP="00C33D4A">
            <w:pPr>
              <w:widowControl w:val="0"/>
              <w:jc w:val="center"/>
              <w:rPr>
                <w:bCs/>
                <w:sz w:val="16"/>
                <w:szCs w:val="16"/>
                <w:lang w:val="es-ES_tradnl"/>
              </w:rPr>
            </w:pPr>
            <w:r w:rsidRPr="009577DE">
              <w:rPr>
                <w:b/>
                <w:sz w:val="16"/>
                <w:szCs w:val="16"/>
                <w:lang w:val="es-ES_tradnl"/>
              </w:rPr>
              <w:t>No disponible para 2012</w:t>
            </w:r>
          </w:p>
          <w:p w:rsidR="00B070BF" w:rsidRPr="009577DE" w:rsidRDefault="00B070BF" w:rsidP="00C33D4A">
            <w:pPr>
              <w:widowControl w:val="0"/>
              <w:jc w:val="center"/>
              <w:rPr>
                <w:bCs/>
                <w:sz w:val="16"/>
                <w:szCs w:val="16"/>
                <w:lang w:val="es-ES_tradnl"/>
              </w:rPr>
            </w:pPr>
          </w:p>
          <w:p w:rsidR="00B070BF" w:rsidRPr="009577DE" w:rsidRDefault="00B070BF" w:rsidP="00C33D4A">
            <w:pPr>
              <w:widowControl w:val="0"/>
              <w:jc w:val="center"/>
              <w:rPr>
                <w:bCs/>
                <w:sz w:val="16"/>
                <w:szCs w:val="16"/>
                <w:lang w:val="es-ES_tradnl"/>
              </w:rPr>
            </w:pPr>
          </w:p>
          <w:p w:rsidR="00B070BF" w:rsidRPr="009577DE" w:rsidRDefault="00B070BF" w:rsidP="00C33D4A">
            <w:pPr>
              <w:widowControl w:val="0"/>
              <w:jc w:val="center"/>
              <w:rPr>
                <w:bCs/>
                <w:sz w:val="16"/>
                <w:szCs w:val="16"/>
                <w:lang w:val="es-ES_tradnl"/>
              </w:rPr>
            </w:pPr>
          </w:p>
          <w:p w:rsidR="00B070BF" w:rsidRPr="009577DE" w:rsidRDefault="00B070BF" w:rsidP="00C33D4A">
            <w:pPr>
              <w:widowControl w:val="0"/>
              <w:jc w:val="center"/>
              <w:rPr>
                <w:bCs/>
                <w:sz w:val="16"/>
                <w:szCs w:val="16"/>
                <w:lang w:val="es-ES_tradnl"/>
              </w:rPr>
            </w:pPr>
          </w:p>
          <w:p w:rsidR="00B070BF" w:rsidRPr="009577DE" w:rsidRDefault="00B070BF" w:rsidP="00C33D4A">
            <w:pPr>
              <w:widowControl w:val="0"/>
              <w:jc w:val="center"/>
              <w:rPr>
                <w:bCs/>
                <w:sz w:val="16"/>
                <w:szCs w:val="16"/>
                <w:lang w:val="es-ES_tradnl"/>
              </w:rPr>
            </w:pPr>
            <w:r w:rsidRPr="009577DE">
              <w:rPr>
                <w:b/>
                <w:color w:val="008000"/>
                <w:sz w:val="16"/>
                <w:szCs w:val="16"/>
                <w:lang w:val="es-ES_tradnl"/>
              </w:rPr>
              <w:t>Progresa con normalidad</w:t>
            </w:r>
          </w:p>
          <w:p w:rsidR="00B070BF" w:rsidRPr="009577DE" w:rsidRDefault="00B070BF" w:rsidP="00C33D4A">
            <w:pPr>
              <w:widowControl w:val="0"/>
              <w:jc w:val="center"/>
              <w:rPr>
                <w:bCs/>
                <w:sz w:val="16"/>
                <w:szCs w:val="16"/>
                <w:lang w:val="es-ES_tradnl"/>
              </w:rPr>
            </w:pPr>
          </w:p>
          <w:p w:rsidR="00B070BF" w:rsidRPr="009577DE" w:rsidRDefault="00B070BF" w:rsidP="00C33D4A">
            <w:pPr>
              <w:widowControl w:val="0"/>
              <w:jc w:val="center"/>
              <w:rPr>
                <w:bCs/>
                <w:sz w:val="16"/>
                <w:szCs w:val="16"/>
                <w:lang w:val="es-ES_tradnl"/>
              </w:rPr>
            </w:pPr>
          </w:p>
        </w:tc>
      </w:tr>
      <w:tr w:rsidR="00B070BF" w:rsidRPr="009577DE" w:rsidTr="00C33D4A">
        <w:trPr>
          <w:cantSplit/>
        </w:trPr>
        <w:tc>
          <w:tcPr>
            <w:tcW w:w="908" w:type="pct"/>
            <w:tcBorders>
              <w:top w:val="nil"/>
              <w:left w:val="single" w:sz="4" w:space="0" w:color="auto"/>
              <w:bottom w:val="single" w:sz="4" w:space="0" w:color="auto"/>
            </w:tcBorders>
            <w:shd w:val="clear" w:color="auto" w:fill="auto"/>
          </w:tcPr>
          <w:p w:rsidR="00B070BF" w:rsidRPr="009577DE" w:rsidRDefault="00B070BF" w:rsidP="00C33D4A">
            <w:pPr>
              <w:widowControl w:val="0"/>
              <w:rPr>
                <w:sz w:val="16"/>
                <w:szCs w:val="16"/>
                <w:lang w:val="es-ES_tradnl"/>
              </w:rPr>
            </w:pPr>
            <w:r w:rsidRPr="009577DE">
              <w:rPr>
                <w:sz w:val="16"/>
                <w:szCs w:val="16"/>
                <w:lang w:val="es-ES_tradnl"/>
              </w:rPr>
              <w:t xml:space="preserve">Número de usuarios inscritos en </w:t>
            </w:r>
            <w:proofErr w:type="spellStart"/>
            <w:r w:rsidRPr="009577DE">
              <w:rPr>
                <w:sz w:val="16"/>
                <w:szCs w:val="16"/>
                <w:lang w:val="es-ES_tradnl"/>
              </w:rPr>
              <w:t>aRDI</w:t>
            </w:r>
            <w:proofErr w:type="spellEnd"/>
            <w:r w:rsidRPr="009577DE">
              <w:rPr>
                <w:sz w:val="16"/>
                <w:szCs w:val="16"/>
                <w:lang w:val="es-ES_tradnl"/>
              </w:rPr>
              <w:t xml:space="preserve"> y ASPI.</w:t>
            </w:r>
          </w:p>
        </w:tc>
        <w:tc>
          <w:tcPr>
            <w:tcW w:w="798" w:type="pct"/>
            <w:tcBorders>
              <w:top w:val="nil"/>
              <w:bottom w:val="single" w:sz="4" w:space="0" w:color="auto"/>
            </w:tcBorders>
            <w:shd w:val="clear" w:color="auto" w:fill="C0C0C0"/>
          </w:tcPr>
          <w:p w:rsidR="00B070BF" w:rsidRPr="009577DE" w:rsidRDefault="00B070BF" w:rsidP="00C33D4A">
            <w:pPr>
              <w:widowControl w:val="0"/>
              <w:rPr>
                <w:sz w:val="16"/>
                <w:szCs w:val="16"/>
                <w:lang w:val="es-ES_tradnl"/>
              </w:rPr>
            </w:pPr>
            <w:proofErr w:type="spellStart"/>
            <w:r w:rsidRPr="009577DE">
              <w:rPr>
                <w:sz w:val="16"/>
                <w:szCs w:val="16"/>
                <w:lang w:val="es-ES_tradnl"/>
              </w:rPr>
              <w:t>aRDI</w:t>
            </w:r>
            <w:proofErr w:type="spellEnd"/>
            <w:r w:rsidRPr="009577DE">
              <w:rPr>
                <w:sz w:val="16"/>
                <w:szCs w:val="16"/>
                <w:lang w:val="es-ES_tradnl"/>
              </w:rPr>
              <w:t xml:space="preserve"> (24), ASPI (6)</w:t>
            </w:r>
          </w:p>
        </w:tc>
        <w:tc>
          <w:tcPr>
            <w:tcW w:w="908" w:type="pct"/>
            <w:tcBorders>
              <w:top w:val="nil"/>
              <w:bottom w:val="single" w:sz="4" w:space="0" w:color="auto"/>
            </w:tcBorders>
            <w:shd w:val="clear" w:color="auto" w:fill="auto"/>
            <w:tcMar>
              <w:top w:w="110" w:type="dxa"/>
            </w:tcMar>
          </w:tcPr>
          <w:p w:rsidR="00B070BF" w:rsidRPr="009577DE" w:rsidRDefault="00B070BF" w:rsidP="00C33D4A">
            <w:pPr>
              <w:widowControl w:val="0"/>
              <w:rPr>
                <w:i/>
                <w:sz w:val="16"/>
                <w:szCs w:val="16"/>
                <w:lang w:val="es-ES_tradnl"/>
              </w:rPr>
            </w:pPr>
          </w:p>
        </w:tc>
        <w:tc>
          <w:tcPr>
            <w:tcW w:w="1833" w:type="pct"/>
            <w:tcBorders>
              <w:top w:val="nil"/>
              <w:bottom w:val="single" w:sz="4" w:space="0" w:color="auto"/>
            </w:tcBorders>
            <w:shd w:val="clear" w:color="auto" w:fill="FFFFFF"/>
            <w:tcMar>
              <w:top w:w="110" w:type="dxa"/>
            </w:tcMar>
          </w:tcPr>
          <w:p w:rsidR="00B070BF" w:rsidRPr="009577DE" w:rsidRDefault="00B070BF" w:rsidP="00C33D4A">
            <w:pPr>
              <w:widowControl w:val="0"/>
              <w:rPr>
                <w:sz w:val="16"/>
                <w:szCs w:val="16"/>
                <w:highlight w:val="cyan"/>
                <w:lang w:val="es-ES_tradnl"/>
              </w:rPr>
            </w:pPr>
            <w:proofErr w:type="spellStart"/>
            <w:r w:rsidRPr="009577DE">
              <w:rPr>
                <w:sz w:val="16"/>
                <w:szCs w:val="16"/>
                <w:lang w:val="es-ES_tradnl" w:bidi="th-TH"/>
              </w:rPr>
              <w:t>aRDI</w:t>
            </w:r>
            <w:proofErr w:type="spellEnd"/>
            <w:r w:rsidRPr="009577DE">
              <w:rPr>
                <w:sz w:val="16"/>
                <w:szCs w:val="16"/>
                <w:lang w:val="es-ES_tradnl" w:bidi="th-TH"/>
              </w:rPr>
              <w:t xml:space="preserve"> contaba con 230 usuarios inscritos, de los que 110 estaban activos.  ASPI tenía 30 usuarios inscritos, de los que 12 estaban activos.  </w:t>
            </w:r>
          </w:p>
        </w:tc>
        <w:tc>
          <w:tcPr>
            <w:tcW w:w="553" w:type="pct"/>
            <w:tcBorders>
              <w:top w:val="nil"/>
              <w:bottom w:val="single" w:sz="4" w:space="0" w:color="auto"/>
              <w:right w:val="single" w:sz="4" w:space="0" w:color="auto"/>
            </w:tcBorders>
            <w:shd w:val="clear" w:color="auto" w:fill="auto"/>
            <w:tcMar>
              <w:top w:w="110" w:type="dxa"/>
            </w:tcMar>
          </w:tcPr>
          <w:p w:rsidR="00B070BF" w:rsidRPr="009577DE" w:rsidRDefault="00B070BF" w:rsidP="00C33D4A">
            <w:pPr>
              <w:widowControl w:val="0"/>
              <w:rPr>
                <w:b/>
                <w:sz w:val="16"/>
                <w:szCs w:val="16"/>
                <w:lang w:val="es-ES_tradnl"/>
              </w:rPr>
            </w:pPr>
            <w:r w:rsidRPr="009577DE">
              <w:rPr>
                <w:b/>
                <w:sz w:val="16"/>
                <w:szCs w:val="16"/>
                <w:lang w:val="es-ES_tradnl"/>
              </w:rPr>
              <w:t xml:space="preserve"> </w:t>
            </w:r>
            <w:r w:rsidRPr="009577DE">
              <w:rPr>
                <w:b/>
                <w:color w:val="008000"/>
                <w:sz w:val="16"/>
                <w:szCs w:val="16"/>
                <w:lang w:val="es-ES_tradnl"/>
              </w:rPr>
              <w:t>Progresa con normalidad</w:t>
            </w:r>
          </w:p>
          <w:p w:rsidR="00B070BF" w:rsidRPr="009577DE" w:rsidRDefault="00B070BF" w:rsidP="00C33D4A">
            <w:pPr>
              <w:widowControl w:val="0"/>
              <w:jc w:val="center"/>
              <w:rPr>
                <w:bCs/>
                <w:sz w:val="16"/>
                <w:szCs w:val="16"/>
                <w:lang w:val="es-ES_tradnl"/>
              </w:rPr>
            </w:pPr>
          </w:p>
          <w:p w:rsidR="00B070BF" w:rsidRPr="009577DE" w:rsidRDefault="00B070BF" w:rsidP="00C33D4A">
            <w:pPr>
              <w:widowControl w:val="0"/>
              <w:jc w:val="center"/>
              <w:rPr>
                <w:bCs/>
                <w:sz w:val="16"/>
                <w:szCs w:val="16"/>
                <w:lang w:val="es-ES_tradnl"/>
              </w:rPr>
            </w:pPr>
          </w:p>
        </w:tc>
      </w:tr>
    </w:tbl>
    <w:p w:rsidR="00B070BF" w:rsidRPr="009577DE" w:rsidRDefault="00B070BF" w:rsidP="00B070BF">
      <w:pPr>
        <w:widowControl w:val="0"/>
        <w:rPr>
          <w:b/>
          <w:sz w:val="18"/>
          <w:lang w:val="es-ES_tradnl"/>
        </w:rPr>
      </w:pPr>
    </w:p>
    <w:p w:rsidR="00B070BF" w:rsidRPr="009577DE" w:rsidRDefault="00B070BF" w:rsidP="00B070BF">
      <w:pPr>
        <w:widowControl w:val="0"/>
        <w:rPr>
          <w:sz w:val="18"/>
          <w:lang w:val="es-ES_tradnl"/>
        </w:rPr>
      </w:pPr>
    </w:p>
    <w:p w:rsidR="00B070BF" w:rsidRPr="009577DE" w:rsidRDefault="00B070BF" w:rsidP="00B070BF">
      <w:pPr>
        <w:widowControl w:val="0"/>
        <w:rPr>
          <w:sz w:val="20"/>
          <w:lang w:val="es-ES_tradnl"/>
        </w:rPr>
      </w:pPr>
      <w:r w:rsidRPr="009577DE">
        <w:rPr>
          <w:sz w:val="20"/>
          <w:lang w:val="es-ES_tradnl"/>
        </w:rPr>
        <w:t>PRESUPUESTO Y GASTOS REALES</w:t>
      </w:r>
    </w:p>
    <w:p w:rsidR="00B070BF" w:rsidRPr="006964C6" w:rsidRDefault="00B070BF" w:rsidP="00B070BF">
      <w:pPr>
        <w:widowControl w:val="0"/>
        <w:rPr>
          <w:sz w:val="20"/>
          <w:lang w:val="es-ES_tradnl"/>
        </w:rPr>
      </w:pPr>
    </w:p>
    <w:p w:rsidR="00B070BF" w:rsidRPr="006964C6" w:rsidRDefault="00B070BF" w:rsidP="00B070BF">
      <w:pPr>
        <w:widowControl w:val="0"/>
        <w:jc w:val="center"/>
        <w:rPr>
          <w:sz w:val="20"/>
          <w:lang w:val="es-ES_tradnl"/>
        </w:rPr>
      </w:pPr>
      <w:r w:rsidRPr="006964C6">
        <w:rPr>
          <w:sz w:val="20"/>
          <w:lang w:val="es-ES_tradnl"/>
        </w:rPr>
        <w:t>Presupuesto y gastos reales (por resultado)</w:t>
      </w:r>
    </w:p>
    <w:p w:rsidR="00B070BF" w:rsidRPr="009577DE" w:rsidRDefault="00B070BF" w:rsidP="00B070BF">
      <w:pPr>
        <w:widowControl w:val="0"/>
        <w:jc w:val="center"/>
        <w:rPr>
          <w:sz w:val="20"/>
          <w:lang w:val="es-ES_tradnl"/>
        </w:rPr>
      </w:pPr>
      <w:r w:rsidRPr="006964C6">
        <w:rPr>
          <w:i/>
          <w:iCs/>
          <w:sz w:val="20"/>
          <w:lang w:val="es-ES_tradnl"/>
        </w:rPr>
        <w:t>(en miles de francos suizos)</w:t>
      </w:r>
      <w:r w:rsidRPr="006964C6">
        <w:rPr>
          <w:i/>
          <w:iCs/>
          <w:sz w:val="20"/>
          <w:lang w:val="es-ES_tradnl"/>
        </w:rPr>
        <w:br/>
      </w:r>
      <w:r w:rsidRPr="006964C6">
        <w:rPr>
          <w:i/>
          <w:iCs/>
          <w:sz w:val="20"/>
          <w:lang w:val="es-ES_tradnl"/>
        </w:rPr>
        <w:br/>
      </w:r>
      <w:r w:rsidRPr="009577DE">
        <w:rPr>
          <w:noProof/>
          <w:lang w:val="en-US" w:eastAsia="en-US"/>
        </w:rPr>
        <w:drawing>
          <wp:inline distT="0" distB="0" distL="0" distR="0" wp14:anchorId="70E74BBB" wp14:editId="74513F83">
            <wp:extent cx="5902325" cy="1449070"/>
            <wp:effectExtent l="0" t="0" r="3175" b="0"/>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902325" cy="1449070"/>
                    </a:xfrm>
                    <a:prstGeom prst="rect">
                      <a:avLst/>
                    </a:prstGeom>
                    <a:noFill/>
                    <a:ln>
                      <a:noFill/>
                    </a:ln>
                  </pic:spPr>
                </pic:pic>
              </a:graphicData>
            </a:graphic>
          </wp:inline>
        </w:drawing>
      </w:r>
    </w:p>
    <w:p w:rsidR="00B070BF" w:rsidRPr="009577DE" w:rsidRDefault="00B070BF" w:rsidP="00B070BF">
      <w:pPr>
        <w:widowControl w:val="0"/>
        <w:jc w:val="center"/>
        <w:rPr>
          <w:szCs w:val="22"/>
          <w:lang w:val="es-ES_tradnl"/>
        </w:rPr>
      </w:pPr>
    </w:p>
    <w:p w:rsidR="00B070BF" w:rsidRDefault="00B070BF" w:rsidP="00B070BF">
      <w:pPr>
        <w:rPr>
          <w:sz w:val="20"/>
          <w:lang w:val="es-ES_tradnl"/>
        </w:rPr>
      </w:pPr>
      <w:r>
        <w:rPr>
          <w:sz w:val="20"/>
          <w:lang w:val="es-ES_tradnl"/>
        </w:rPr>
        <w:br w:type="page"/>
      </w:r>
    </w:p>
    <w:p w:rsidR="00B070BF" w:rsidRPr="006964C6" w:rsidRDefault="00B070BF" w:rsidP="00B070BF">
      <w:pPr>
        <w:widowControl w:val="0"/>
        <w:jc w:val="center"/>
        <w:rPr>
          <w:sz w:val="20"/>
          <w:lang w:val="es-ES_tradnl"/>
        </w:rPr>
      </w:pPr>
    </w:p>
    <w:p w:rsidR="00B070BF" w:rsidRPr="009577DE" w:rsidRDefault="00B070BF" w:rsidP="00B070BF">
      <w:pPr>
        <w:widowControl w:val="0"/>
        <w:jc w:val="center"/>
        <w:rPr>
          <w:sz w:val="20"/>
          <w:lang w:val="es-ES_tradnl"/>
        </w:rPr>
      </w:pPr>
      <w:r w:rsidRPr="006964C6">
        <w:rPr>
          <w:sz w:val="20"/>
          <w:lang w:val="es-ES_tradnl"/>
        </w:rPr>
        <w:t>Presupuesto y gastos reales (de personal y no relativos al personal)</w:t>
      </w:r>
      <w:r w:rsidRPr="006964C6">
        <w:rPr>
          <w:sz w:val="20"/>
          <w:lang w:val="es-ES_tradnl"/>
        </w:rPr>
        <w:br/>
      </w:r>
      <w:r w:rsidRPr="006964C6">
        <w:rPr>
          <w:i/>
          <w:sz w:val="20"/>
          <w:lang w:val="es-ES_tradnl"/>
        </w:rPr>
        <w:t>(en miles de francos suizos)</w:t>
      </w:r>
      <w:r w:rsidRPr="006964C6">
        <w:rPr>
          <w:sz w:val="20"/>
          <w:lang w:val="es-ES_tradnl"/>
        </w:rPr>
        <w:br/>
      </w:r>
      <w:r w:rsidRPr="006964C6">
        <w:rPr>
          <w:sz w:val="20"/>
          <w:lang w:val="es-ES_tradnl"/>
        </w:rPr>
        <w:br/>
      </w:r>
      <w:r w:rsidRPr="009577DE">
        <w:rPr>
          <w:noProof/>
          <w:lang w:val="en-US" w:eastAsia="en-US"/>
        </w:rPr>
        <w:drawing>
          <wp:inline distT="0" distB="0" distL="0" distR="0" wp14:anchorId="6BFE8B15" wp14:editId="1F2AA6A2">
            <wp:extent cx="5902325" cy="1235075"/>
            <wp:effectExtent l="0" t="0" r="3175" b="3175"/>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902325" cy="1235075"/>
                    </a:xfrm>
                    <a:prstGeom prst="rect">
                      <a:avLst/>
                    </a:prstGeom>
                    <a:noFill/>
                    <a:ln>
                      <a:noFill/>
                    </a:ln>
                  </pic:spPr>
                </pic:pic>
              </a:graphicData>
            </a:graphic>
          </wp:inline>
        </w:drawing>
      </w:r>
    </w:p>
    <w:p w:rsidR="00B070BF" w:rsidRPr="009577DE" w:rsidRDefault="00B070BF" w:rsidP="00B070BF">
      <w:pPr>
        <w:widowControl w:val="0"/>
        <w:rPr>
          <w:sz w:val="18"/>
          <w:lang w:val="es-ES_tradnl"/>
        </w:rPr>
      </w:pPr>
    </w:p>
    <w:p w:rsidR="00B070BF" w:rsidRPr="009577DE" w:rsidRDefault="00B070BF" w:rsidP="00B070BF">
      <w:pPr>
        <w:widowControl w:val="0"/>
        <w:autoSpaceDE w:val="0"/>
        <w:autoSpaceDN w:val="0"/>
        <w:adjustRightInd w:val="0"/>
        <w:rPr>
          <w:sz w:val="16"/>
          <w:szCs w:val="16"/>
          <w:lang w:val="es-ES_tradnl"/>
        </w:rPr>
      </w:pPr>
      <w:r w:rsidRPr="007C3E0F">
        <w:rPr>
          <w:sz w:val="16"/>
          <w:szCs w:val="16"/>
          <w:lang w:val="es-ES_tradnl"/>
        </w:rPr>
        <w:t>NOTAS:</w:t>
      </w:r>
    </w:p>
    <w:p w:rsidR="00B070BF" w:rsidRPr="009577DE" w:rsidRDefault="00B070BF" w:rsidP="00B070BF">
      <w:pPr>
        <w:widowControl w:val="0"/>
        <w:autoSpaceDE w:val="0"/>
        <w:autoSpaceDN w:val="0"/>
        <w:adjustRightInd w:val="0"/>
        <w:rPr>
          <w:sz w:val="16"/>
          <w:szCs w:val="16"/>
          <w:lang w:val="es-ES_tradnl"/>
        </w:rPr>
      </w:pPr>
    </w:p>
    <w:p w:rsidR="00B070BF" w:rsidRPr="009577DE" w:rsidRDefault="00B070BF" w:rsidP="00B070BF">
      <w:pPr>
        <w:widowControl w:val="0"/>
        <w:autoSpaceDE w:val="0"/>
        <w:autoSpaceDN w:val="0"/>
        <w:adjustRightInd w:val="0"/>
        <w:rPr>
          <w:sz w:val="16"/>
          <w:szCs w:val="16"/>
          <w:lang w:val="es-ES_tradnl"/>
        </w:rPr>
      </w:pPr>
      <w:r w:rsidRPr="009577DE">
        <w:rPr>
          <w:sz w:val="16"/>
          <w:szCs w:val="16"/>
          <w:lang w:val="es-ES_tradnl"/>
        </w:rPr>
        <w:t>1) El presupuesto después de las transferencias refleja el presupuesto de los programas ajustado después de las transferencias efectuadas en 2012/13 en virtud del artículo 5.5 del Reglamento Financiero.</w:t>
      </w:r>
    </w:p>
    <w:p w:rsidR="00B070BF" w:rsidRPr="009577DE" w:rsidRDefault="00B070BF" w:rsidP="00B070BF">
      <w:pPr>
        <w:widowControl w:val="0"/>
        <w:autoSpaceDE w:val="0"/>
        <w:autoSpaceDN w:val="0"/>
        <w:adjustRightInd w:val="0"/>
        <w:rPr>
          <w:sz w:val="16"/>
          <w:szCs w:val="16"/>
          <w:lang w:val="es-ES_tradnl"/>
        </w:rPr>
      </w:pPr>
    </w:p>
    <w:p w:rsidR="00B070BF" w:rsidRPr="009577DE" w:rsidRDefault="00B070BF" w:rsidP="00B070BF">
      <w:pPr>
        <w:widowControl w:val="0"/>
        <w:autoSpaceDE w:val="0"/>
        <w:autoSpaceDN w:val="0"/>
        <w:adjustRightInd w:val="0"/>
        <w:rPr>
          <w:sz w:val="16"/>
          <w:szCs w:val="16"/>
          <w:lang w:val="es-ES_tradnl"/>
        </w:rPr>
      </w:pPr>
      <w:r w:rsidRPr="009577DE">
        <w:rPr>
          <w:sz w:val="16"/>
          <w:szCs w:val="16"/>
          <w:lang w:val="es-ES_tradnl"/>
        </w:rPr>
        <w:t xml:space="preserve">2) La asignación para el personal del presupuesto de 2012/13 después de las transferencias representa los gastos reales efectuados hasta el 31 de marzo de 2013 y los importes presupuestados para los nueve meses restantes de 2013, sobre la base de costos estándar. </w:t>
      </w:r>
    </w:p>
    <w:p w:rsidR="00B070BF" w:rsidRPr="009577DE" w:rsidRDefault="00B070BF" w:rsidP="00B070BF">
      <w:pPr>
        <w:widowControl w:val="0"/>
        <w:autoSpaceDE w:val="0"/>
        <w:autoSpaceDN w:val="0"/>
        <w:adjustRightInd w:val="0"/>
        <w:rPr>
          <w:sz w:val="16"/>
          <w:szCs w:val="16"/>
          <w:lang w:val="es-ES_tradnl"/>
        </w:rPr>
      </w:pPr>
    </w:p>
    <w:p w:rsidR="00B070BF" w:rsidRPr="009577DE" w:rsidRDefault="00B070BF" w:rsidP="00B070BF">
      <w:pPr>
        <w:widowControl w:val="0"/>
        <w:autoSpaceDE w:val="0"/>
        <w:autoSpaceDN w:val="0"/>
        <w:adjustRightInd w:val="0"/>
        <w:rPr>
          <w:sz w:val="16"/>
          <w:szCs w:val="16"/>
          <w:lang w:val="es-ES_tradnl"/>
        </w:rPr>
      </w:pPr>
      <w:r w:rsidRPr="009577DE">
        <w:rPr>
          <w:sz w:val="16"/>
          <w:szCs w:val="16"/>
          <w:lang w:val="es-ES_tradnl"/>
        </w:rPr>
        <w:t>3) La asignación no relativa al personal del presupuesto de 2012/13 después de las transferencias refleja los ajustes a la baja efectuados para aumentar la eficacia en función de los costos, de conformidad con el compromiso de la Organización de reducir gastos por un importe de 10,2 millones de francos suizos en el bienio 2012/13.</w:t>
      </w:r>
    </w:p>
    <w:p w:rsidR="00B070BF" w:rsidRDefault="00B070BF" w:rsidP="00B070BF">
      <w:pPr>
        <w:widowControl w:val="0"/>
        <w:rPr>
          <w:iCs/>
          <w:sz w:val="20"/>
          <w:lang w:val="es-ES_tradnl"/>
        </w:rPr>
      </w:pPr>
    </w:p>
    <w:p w:rsidR="00B070BF" w:rsidRPr="009577DE" w:rsidRDefault="00B070BF" w:rsidP="00B070BF">
      <w:pPr>
        <w:widowControl w:val="0"/>
        <w:rPr>
          <w:iCs/>
          <w:sz w:val="20"/>
          <w:lang w:val="es-ES_tradnl"/>
        </w:rPr>
      </w:pPr>
    </w:p>
    <w:p w:rsidR="00B070BF" w:rsidRPr="009577DE" w:rsidRDefault="00B070BF" w:rsidP="00B070BF">
      <w:pPr>
        <w:widowControl w:val="0"/>
        <w:spacing w:after="220"/>
        <w:rPr>
          <w:sz w:val="20"/>
          <w:u w:val="single"/>
          <w:lang w:val="es-ES_tradnl"/>
        </w:rPr>
      </w:pPr>
      <w:r>
        <w:rPr>
          <w:sz w:val="20"/>
          <w:lang w:val="es-ES_tradnl"/>
        </w:rPr>
        <w:t xml:space="preserve">A.  </w:t>
      </w:r>
      <w:r w:rsidRPr="009577DE">
        <w:rPr>
          <w:sz w:val="20"/>
          <w:u w:val="single"/>
          <w:lang w:val="es-ES_tradnl"/>
        </w:rPr>
        <w:t xml:space="preserve">Presupuesto </w:t>
      </w:r>
      <w:r>
        <w:rPr>
          <w:sz w:val="20"/>
          <w:u w:val="single"/>
          <w:lang w:val="es-ES_tradnl"/>
        </w:rPr>
        <w:t>2012/13</w:t>
      </w:r>
      <w:r w:rsidRPr="009577DE">
        <w:rPr>
          <w:sz w:val="20"/>
          <w:u w:val="single"/>
          <w:lang w:val="es-ES_tradnl"/>
        </w:rPr>
        <w:t xml:space="preserve"> después de las transferencias</w:t>
      </w:r>
    </w:p>
    <w:p w:rsidR="00B070BF" w:rsidRPr="009577DE" w:rsidRDefault="00B070BF" w:rsidP="00B070BF">
      <w:pPr>
        <w:widowControl w:val="0"/>
        <w:numPr>
          <w:ilvl w:val="0"/>
          <w:numId w:val="35"/>
        </w:numPr>
        <w:jc w:val="both"/>
        <w:rPr>
          <w:sz w:val="20"/>
          <w:lang w:val="es-ES_tradnl"/>
        </w:rPr>
      </w:pPr>
      <w:r w:rsidRPr="009577DE">
        <w:rPr>
          <w:sz w:val="20"/>
          <w:lang w:val="es-ES_tradnl"/>
        </w:rPr>
        <w:t>El presupuesto de 2012/13 después de las transferencias refleja un aumento de los recursos de personal debido a la redistribución interna llevada a cabo con la finalidad de apoyar la labor relacionada con los seminarios y talleres sobre el acceso a la información y los conocimientos sobre P.I., el contenido de las publicaciones en papel y en Internet y el acceso a estas y los CATI en los Estados miembros</w:t>
      </w:r>
      <w:r w:rsidRPr="009577DE">
        <w:rPr>
          <w:iCs/>
          <w:sz w:val="20"/>
          <w:lang w:val="es-ES_tradnl"/>
        </w:rPr>
        <w:t>.</w:t>
      </w:r>
    </w:p>
    <w:p w:rsidR="00B070BF" w:rsidRPr="009577DE" w:rsidRDefault="00B070BF" w:rsidP="00B070BF">
      <w:pPr>
        <w:widowControl w:val="0"/>
        <w:rPr>
          <w:iCs/>
          <w:sz w:val="20"/>
          <w:highlight w:val="cyan"/>
          <w:lang w:val="es-ES_tradnl"/>
        </w:rPr>
      </w:pPr>
    </w:p>
    <w:p w:rsidR="00B070BF" w:rsidRPr="009577DE" w:rsidRDefault="00B070BF" w:rsidP="00B070BF">
      <w:pPr>
        <w:widowControl w:val="0"/>
        <w:spacing w:after="220"/>
        <w:rPr>
          <w:sz w:val="20"/>
          <w:u w:val="single"/>
          <w:lang w:val="es-ES_tradnl"/>
        </w:rPr>
      </w:pPr>
      <w:r w:rsidRPr="009577DE">
        <w:rPr>
          <w:sz w:val="20"/>
          <w:lang w:val="es-ES_tradnl"/>
        </w:rPr>
        <w:t xml:space="preserve">B. </w:t>
      </w:r>
      <w:r>
        <w:rPr>
          <w:sz w:val="20"/>
          <w:lang w:val="es-ES_tradnl"/>
        </w:rPr>
        <w:t xml:space="preserve"> </w:t>
      </w:r>
      <w:r w:rsidRPr="009577DE">
        <w:rPr>
          <w:sz w:val="20"/>
          <w:u w:val="single"/>
          <w:lang w:val="es-ES_tradnl"/>
        </w:rPr>
        <w:t>Utilización del presupuesto 2012</w:t>
      </w:r>
    </w:p>
    <w:p w:rsidR="00B070BF" w:rsidRPr="009577DE" w:rsidRDefault="00B070BF" w:rsidP="00B070BF">
      <w:pPr>
        <w:widowControl w:val="0"/>
        <w:numPr>
          <w:ilvl w:val="0"/>
          <w:numId w:val="35"/>
        </w:numPr>
        <w:jc w:val="both"/>
        <w:rPr>
          <w:lang w:val="es-ES_tradnl"/>
        </w:rPr>
      </w:pPr>
      <w:r w:rsidRPr="009577DE">
        <w:rPr>
          <w:sz w:val="20"/>
          <w:lang w:val="es-ES_tradnl"/>
        </w:rPr>
        <w:t xml:space="preserve">La utilización del presupuesto se mantiene entre el 40% y el 60% en el primer año del bienio y progresa con normalidad.  La tasa de utilización de los recursos no relativos al personal fue inferior a lo esperado debido, en gran medida, a que la fase II del proyecto de la Agenda para el Desarrollo denominado  “Creación de instrumentos de acceso a la información sobre patentes” </w:t>
      </w:r>
      <w:r>
        <w:rPr>
          <w:sz w:val="20"/>
          <w:lang w:val="es-ES_tradnl"/>
        </w:rPr>
        <w:t>fue aprobado solamente</w:t>
      </w:r>
      <w:r w:rsidRPr="009577DE">
        <w:rPr>
          <w:sz w:val="20"/>
          <w:lang w:val="es-ES_tradnl"/>
        </w:rPr>
        <w:t xml:space="preserve"> en la décima sesión del CDIP </w:t>
      </w:r>
      <w:r>
        <w:rPr>
          <w:sz w:val="20"/>
          <w:lang w:val="es-ES_tradnl"/>
        </w:rPr>
        <w:t>en</w:t>
      </w:r>
      <w:r w:rsidRPr="009577DE">
        <w:rPr>
          <w:sz w:val="20"/>
          <w:lang w:val="es-ES_tradnl"/>
        </w:rPr>
        <w:t xml:space="preserve"> noviembre de 2012.</w:t>
      </w:r>
    </w:p>
    <w:p w:rsidR="00B070BF" w:rsidRPr="009577DE" w:rsidRDefault="00B070BF" w:rsidP="00B070BF">
      <w:pPr>
        <w:widowControl w:val="0"/>
        <w:rPr>
          <w:b/>
          <w:sz w:val="20"/>
          <w:lang w:val="es-ES_tradnl"/>
        </w:rPr>
      </w:pPr>
    </w:p>
    <w:p w:rsidR="00B070BF" w:rsidRPr="009577DE" w:rsidRDefault="00B070BF" w:rsidP="00B070BF">
      <w:pPr>
        <w:pStyle w:val="Heading2"/>
        <w:tabs>
          <w:tab w:val="left" w:pos="2835"/>
        </w:tabs>
        <w:rPr>
          <w:b/>
          <w:lang w:val="es-ES_tradnl"/>
        </w:rPr>
      </w:pPr>
      <w:r w:rsidRPr="009577DE">
        <w:rPr>
          <w:sz w:val="20"/>
          <w:lang w:val="es-ES_tradnl"/>
        </w:rPr>
        <w:br w:type="page"/>
      </w:r>
      <w:bookmarkStart w:id="42" w:name="_Toc359846801"/>
      <w:bookmarkStart w:id="43" w:name="_Toc359949325"/>
      <w:r w:rsidRPr="009577DE">
        <w:rPr>
          <w:b/>
          <w:lang w:val="es-ES_tradnl"/>
        </w:rPr>
        <w:lastRenderedPageBreak/>
        <w:t>Programa 15</w:t>
      </w:r>
      <w:r w:rsidRPr="009577DE">
        <w:rPr>
          <w:b/>
          <w:lang w:val="es-ES_tradnl"/>
        </w:rPr>
        <w:tab/>
        <w:t>SOLUCIONES OPERATIVAS PARA LAS OFICINAS DE P.I.</w:t>
      </w:r>
      <w:bookmarkEnd w:id="42"/>
      <w:bookmarkEnd w:id="43"/>
    </w:p>
    <w:p w:rsidR="00B070BF" w:rsidRPr="009577DE" w:rsidRDefault="00B070BF" w:rsidP="00B070BF">
      <w:pPr>
        <w:widowControl w:val="0"/>
        <w:tabs>
          <w:tab w:val="left" w:pos="2268"/>
        </w:tabs>
        <w:rPr>
          <w:b/>
          <w:szCs w:val="22"/>
          <w:lang w:val="es-ES_tradnl"/>
        </w:rPr>
      </w:pPr>
    </w:p>
    <w:p w:rsidR="00B070BF" w:rsidRPr="009577DE" w:rsidRDefault="00B070BF" w:rsidP="00B070BF">
      <w:pPr>
        <w:widowControl w:val="0"/>
        <w:tabs>
          <w:tab w:val="left" w:pos="2268"/>
        </w:tabs>
        <w:rPr>
          <w:b/>
          <w:szCs w:val="22"/>
          <w:lang w:val="es-ES_tradnl"/>
        </w:rPr>
      </w:pPr>
    </w:p>
    <w:p w:rsidR="00B070BF" w:rsidRPr="009577DE" w:rsidRDefault="00B070BF" w:rsidP="00B070BF">
      <w:pPr>
        <w:widowControl w:val="0"/>
        <w:tabs>
          <w:tab w:val="left" w:pos="2268"/>
        </w:tabs>
        <w:rPr>
          <w:b/>
          <w:szCs w:val="22"/>
          <w:lang w:val="es-ES_tradnl"/>
        </w:rPr>
      </w:pPr>
      <w:r w:rsidRPr="009577DE">
        <w:rPr>
          <w:b/>
          <w:szCs w:val="22"/>
          <w:lang w:val="es-ES_tradnl"/>
        </w:rPr>
        <w:t>Director del Programa</w:t>
      </w:r>
      <w:r w:rsidRPr="009577DE">
        <w:rPr>
          <w:szCs w:val="22"/>
          <w:lang w:val="es-ES_tradnl"/>
        </w:rPr>
        <w:tab/>
      </w:r>
      <w:r w:rsidRPr="009577DE">
        <w:rPr>
          <w:b/>
          <w:szCs w:val="22"/>
          <w:lang w:val="es-ES_tradnl"/>
        </w:rPr>
        <w:t>Sr. Y. Takagi</w:t>
      </w:r>
    </w:p>
    <w:p w:rsidR="00B070BF" w:rsidRPr="009577DE" w:rsidRDefault="00B070BF" w:rsidP="00B070BF">
      <w:pPr>
        <w:widowControl w:val="0"/>
        <w:tabs>
          <w:tab w:val="left" w:pos="2268"/>
        </w:tabs>
        <w:rPr>
          <w:bCs/>
          <w:sz w:val="20"/>
          <w:szCs w:val="12"/>
          <w:lang w:val="es-ES_tradnl"/>
        </w:rPr>
      </w:pPr>
    </w:p>
    <w:p w:rsidR="00B070BF" w:rsidRPr="009577DE" w:rsidRDefault="00B070BF" w:rsidP="00B070BF">
      <w:pPr>
        <w:widowControl w:val="0"/>
        <w:tabs>
          <w:tab w:val="left" w:pos="2268"/>
        </w:tabs>
        <w:rPr>
          <w:bCs/>
          <w:sz w:val="20"/>
          <w:szCs w:val="12"/>
          <w:lang w:val="es-ES_tradnl"/>
        </w:rPr>
      </w:pPr>
    </w:p>
    <w:p w:rsidR="00B070BF" w:rsidRPr="009577DE" w:rsidRDefault="00B070BF" w:rsidP="00B070BF">
      <w:pPr>
        <w:widowControl w:val="0"/>
        <w:spacing w:line="260" w:lineRule="atLeast"/>
        <w:rPr>
          <w:bCs/>
          <w:sz w:val="20"/>
          <w:szCs w:val="22"/>
          <w:lang w:val="es-ES_tradnl"/>
        </w:rPr>
      </w:pPr>
      <w:r w:rsidRPr="009577DE">
        <w:rPr>
          <w:bCs/>
          <w:sz w:val="20"/>
          <w:szCs w:val="22"/>
          <w:lang w:val="es-ES_tradnl"/>
        </w:rPr>
        <w:t>RESEÑA DE LOS AVANCES LOGRADOS EN 2012</w:t>
      </w:r>
    </w:p>
    <w:p w:rsidR="00B070BF" w:rsidRPr="009577DE" w:rsidRDefault="00B070BF" w:rsidP="00B070BF">
      <w:pPr>
        <w:widowControl w:val="0"/>
        <w:jc w:val="both"/>
        <w:rPr>
          <w:sz w:val="20"/>
          <w:szCs w:val="22"/>
          <w:lang w:val="es-ES_tradnl"/>
        </w:rPr>
      </w:pPr>
    </w:p>
    <w:p w:rsidR="00B070BF" w:rsidRPr="009577DE" w:rsidRDefault="00B070BF" w:rsidP="00B070BF">
      <w:pPr>
        <w:widowControl w:val="0"/>
        <w:numPr>
          <w:ilvl w:val="0"/>
          <w:numId w:val="14"/>
        </w:numPr>
        <w:tabs>
          <w:tab w:val="left" w:pos="2694"/>
        </w:tabs>
        <w:jc w:val="both"/>
        <w:rPr>
          <w:sz w:val="20"/>
        </w:rPr>
      </w:pPr>
      <w:r w:rsidRPr="009577DE">
        <w:rPr>
          <w:sz w:val="20"/>
        </w:rPr>
        <w:t>Durante 2012 se mantuvo el aumento de la demanda de asistencia técnica por parte de las oficinas de P.I. en términos tanto del número de oficinas que solicitaron asistencia como del tipo de asistencia requerida.  Son cada vez más las oficinas que solicitan asistencia para la gestión electrónica de documentos y los sistemas de presentación de solicitudes y de publicación en línea.</w:t>
      </w:r>
    </w:p>
    <w:p w:rsidR="00B070BF" w:rsidRPr="009577DE" w:rsidRDefault="00B070BF" w:rsidP="00B070BF">
      <w:pPr>
        <w:widowControl w:val="0"/>
        <w:jc w:val="both"/>
        <w:rPr>
          <w:sz w:val="20"/>
        </w:rPr>
      </w:pPr>
    </w:p>
    <w:p w:rsidR="00B070BF" w:rsidRPr="009577DE" w:rsidRDefault="00B070BF" w:rsidP="00B070BF">
      <w:pPr>
        <w:widowControl w:val="0"/>
        <w:numPr>
          <w:ilvl w:val="0"/>
          <w:numId w:val="14"/>
        </w:numPr>
        <w:jc w:val="both"/>
        <w:rPr>
          <w:sz w:val="20"/>
        </w:rPr>
      </w:pPr>
      <w:r w:rsidRPr="009577DE">
        <w:rPr>
          <w:sz w:val="20"/>
        </w:rPr>
        <w:t>Se han registrado avances positivos en el desarrollo de las plataformas WIPO CASE (Acceso centralizado a la búsqueda y el examen) y WIPO DAS (Servicio de acceso digital a los documentos de prioridad) a pesar del reducido número de oficinas participantes y del alcance limitado de las actividades desarrolladas en este ámbito.</w:t>
      </w:r>
    </w:p>
    <w:p w:rsidR="00B070BF" w:rsidRPr="009577DE" w:rsidRDefault="00B070BF" w:rsidP="00B070BF">
      <w:pPr>
        <w:widowControl w:val="0"/>
        <w:autoSpaceDE w:val="0"/>
        <w:autoSpaceDN w:val="0"/>
        <w:adjustRightInd w:val="0"/>
        <w:jc w:val="both"/>
        <w:rPr>
          <w:sz w:val="20"/>
        </w:rPr>
      </w:pPr>
    </w:p>
    <w:p w:rsidR="00B070BF" w:rsidRPr="009577DE" w:rsidRDefault="00B070BF" w:rsidP="00B070BF">
      <w:pPr>
        <w:widowControl w:val="0"/>
        <w:numPr>
          <w:ilvl w:val="0"/>
          <w:numId w:val="14"/>
        </w:numPr>
        <w:jc w:val="both"/>
        <w:rPr>
          <w:sz w:val="20"/>
        </w:rPr>
      </w:pPr>
      <w:r w:rsidRPr="009577DE">
        <w:rPr>
          <w:sz w:val="20"/>
        </w:rPr>
        <w:t>En los cuadros que figuran a continuación se enumeran los principales avances logrados en cada región durante 2012.</w:t>
      </w:r>
    </w:p>
    <w:p w:rsidR="00B070BF" w:rsidRPr="009577DE" w:rsidRDefault="00B070BF" w:rsidP="00B070BF">
      <w:pPr>
        <w:widowControl w:val="0"/>
        <w:rPr>
          <w:szCs w:val="22"/>
        </w:rPr>
      </w:pPr>
    </w:p>
    <w:p w:rsidR="00B070BF" w:rsidRPr="009577DE" w:rsidRDefault="00B070BF" w:rsidP="00B070BF">
      <w:pPr>
        <w:widowControl w:val="0"/>
        <w:rPr>
          <w:sz w:val="20"/>
          <w:u w:val="single"/>
        </w:rPr>
      </w:pPr>
      <w:r w:rsidRPr="009577DE">
        <w:rPr>
          <w:sz w:val="20"/>
          <w:u w:val="single"/>
        </w:rPr>
        <w:t>Plataformas de las oficinas de P.I. – Avances más destacados</w:t>
      </w:r>
    </w:p>
    <w:p w:rsidR="00B070BF" w:rsidRPr="009577DE" w:rsidRDefault="00B070BF" w:rsidP="00B070BF">
      <w:pPr>
        <w:widowControl w:val="0"/>
        <w:rPr>
          <w:szCs w:val="22"/>
        </w:rPr>
      </w:pPr>
    </w:p>
    <w:tbl>
      <w:tblPr>
        <w:tblW w:w="0" w:type="auto"/>
        <w:tblLook w:val="01E0" w:firstRow="1" w:lastRow="1" w:firstColumn="1" w:lastColumn="1" w:noHBand="0" w:noVBand="0"/>
      </w:tblPr>
      <w:tblGrid>
        <w:gridCol w:w="2418"/>
        <w:gridCol w:w="7153"/>
      </w:tblGrid>
      <w:tr w:rsidR="00B070BF" w:rsidRPr="009577DE" w:rsidTr="00C33D4A">
        <w:tc>
          <w:tcPr>
            <w:tcW w:w="2418" w:type="dxa"/>
            <w:shd w:val="clear" w:color="auto" w:fill="auto"/>
          </w:tcPr>
          <w:p w:rsidR="00B070BF" w:rsidRPr="009577DE" w:rsidRDefault="00B070BF" w:rsidP="00C33D4A">
            <w:pPr>
              <w:widowControl w:val="0"/>
              <w:rPr>
                <w:szCs w:val="22"/>
                <w:lang w:val="en-US"/>
              </w:rPr>
            </w:pPr>
            <w:r w:rsidRPr="009577DE">
              <w:rPr>
                <w:sz w:val="20"/>
                <w:u w:val="single"/>
                <w:lang w:val="es-ES_tradnl"/>
              </w:rPr>
              <w:t>Región de África</w:t>
            </w:r>
          </w:p>
        </w:tc>
        <w:tc>
          <w:tcPr>
            <w:tcW w:w="7153" w:type="dxa"/>
            <w:shd w:val="clear" w:color="auto" w:fill="auto"/>
          </w:tcPr>
          <w:p w:rsidR="00B070BF" w:rsidRPr="009577DE" w:rsidRDefault="00B070BF" w:rsidP="00C33D4A">
            <w:pPr>
              <w:widowControl w:val="0"/>
              <w:rPr>
                <w:szCs w:val="22"/>
              </w:rPr>
            </w:pPr>
            <w:r w:rsidRPr="009577DE">
              <w:rPr>
                <w:sz w:val="20"/>
              </w:rPr>
              <w:t>Actualización del IPAS (Sistema de automatización de la propiedad intelectual) en las oficinas de P.I. de diez países africanos.  Esto supuso no sólo introducir cambios en el sistema, sino también llevar a cabo una reestructuración considerable de los procesos de trabajo, creación de capacidad y transferencia de tecnología.</w:t>
            </w:r>
          </w:p>
        </w:tc>
      </w:tr>
      <w:tr w:rsidR="00B070BF" w:rsidRPr="009577DE" w:rsidTr="00C33D4A">
        <w:tc>
          <w:tcPr>
            <w:tcW w:w="2418" w:type="dxa"/>
            <w:shd w:val="clear" w:color="auto" w:fill="auto"/>
          </w:tcPr>
          <w:p w:rsidR="00B070BF" w:rsidRPr="009577DE" w:rsidRDefault="00B070BF" w:rsidP="00C33D4A">
            <w:pPr>
              <w:widowControl w:val="0"/>
              <w:spacing w:before="120" w:after="120"/>
              <w:rPr>
                <w:sz w:val="20"/>
                <w:lang w:val="en-US"/>
              </w:rPr>
            </w:pPr>
            <w:r w:rsidRPr="009577DE">
              <w:rPr>
                <w:sz w:val="20"/>
                <w:u w:val="single"/>
                <w:lang w:val="es-ES_tradnl"/>
              </w:rPr>
              <w:t xml:space="preserve">Región Asia </w:t>
            </w:r>
            <w:r>
              <w:rPr>
                <w:sz w:val="20"/>
                <w:u w:val="single"/>
                <w:lang w:val="es-ES_tradnl"/>
              </w:rPr>
              <w:t>-</w:t>
            </w:r>
            <w:r w:rsidRPr="009577DE">
              <w:rPr>
                <w:sz w:val="20"/>
                <w:u w:val="single"/>
                <w:lang w:val="es-ES_tradnl"/>
              </w:rPr>
              <w:t xml:space="preserve"> Pacífico</w:t>
            </w:r>
          </w:p>
        </w:tc>
        <w:tc>
          <w:tcPr>
            <w:tcW w:w="7153" w:type="dxa"/>
            <w:shd w:val="clear" w:color="auto" w:fill="auto"/>
          </w:tcPr>
          <w:p w:rsidR="00B070BF" w:rsidRPr="009577DE" w:rsidRDefault="00B070BF" w:rsidP="00C33D4A">
            <w:pPr>
              <w:widowControl w:val="0"/>
              <w:spacing w:before="120" w:after="120"/>
              <w:rPr>
                <w:sz w:val="20"/>
              </w:rPr>
            </w:pPr>
            <w:r w:rsidRPr="009577DE">
              <w:rPr>
                <w:sz w:val="20"/>
              </w:rPr>
              <w:t>Despliegue del sistema IPAS para marcas en Indonesia.  El proyecto IPAS para patentes, modelos de utilidad y marcas finalizó en Filipinas, incluido el despliegue del sistema de gestión electrónica de documentos.</w:t>
            </w:r>
          </w:p>
        </w:tc>
      </w:tr>
      <w:tr w:rsidR="00B070BF" w:rsidRPr="009577DE" w:rsidTr="00C33D4A">
        <w:tc>
          <w:tcPr>
            <w:tcW w:w="2418" w:type="dxa"/>
            <w:shd w:val="clear" w:color="auto" w:fill="auto"/>
          </w:tcPr>
          <w:p w:rsidR="00B070BF" w:rsidRPr="009577DE" w:rsidRDefault="00B070BF" w:rsidP="00C33D4A">
            <w:pPr>
              <w:widowControl w:val="0"/>
              <w:spacing w:before="120" w:after="120"/>
              <w:rPr>
                <w:sz w:val="20"/>
                <w:lang w:val="en-US"/>
              </w:rPr>
            </w:pPr>
            <w:r w:rsidRPr="009577DE">
              <w:rPr>
                <w:sz w:val="20"/>
                <w:u w:val="single"/>
                <w:lang w:val="es-ES_tradnl"/>
              </w:rPr>
              <w:t>Región árabe</w:t>
            </w:r>
          </w:p>
        </w:tc>
        <w:tc>
          <w:tcPr>
            <w:tcW w:w="7153" w:type="dxa"/>
            <w:shd w:val="clear" w:color="auto" w:fill="auto"/>
          </w:tcPr>
          <w:p w:rsidR="00B070BF" w:rsidRPr="009577DE" w:rsidRDefault="00B070BF" w:rsidP="00C33D4A">
            <w:pPr>
              <w:widowControl w:val="0"/>
              <w:spacing w:before="120" w:after="120"/>
              <w:rPr>
                <w:sz w:val="20"/>
              </w:rPr>
            </w:pPr>
            <w:r w:rsidRPr="009577DE">
              <w:rPr>
                <w:sz w:val="20"/>
              </w:rPr>
              <w:t xml:space="preserve">Despliegue del sistema de gestión electrónica de documentos de la OMPI en Marruecos e integración del mismo con los sistemas de administración desarrollados a nivel local. Despliegue del conjunto de instrumentos creados por la OMPI para marcas (IPAS, sistema de gestión electrónica de documentos, WIPO </w:t>
            </w:r>
            <w:proofErr w:type="spellStart"/>
            <w:r w:rsidRPr="009577DE">
              <w:rPr>
                <w:sz w:val="20"/>
              </w:rPr>
              <w:t>Scan</w:t>
            </w:r>
            <w:proofErr w:type="spellEnd"/>
            <w:r w:rsidRPr="009577DE">
              <w:rPr>
                <w:sz w:val="20"/>
              </w:rPr>
              <w:t>, módulo Madrid) en Argelia. Despliegue del sistema IPAS para marcas en los Emiratos Árabes Unidos.</w:t>
            </w:r>
          </w:p>
        </w:tc>
      </w:tr>
      <w:tr w:rsidR="00B070BF" w:rsidRPr="009577DE" w:rsidTr="00C33D4A">
        <w:tc>
          <w:tcPr>
            <w:tcW w:w="2418" w:type="dxa"/>
            <w:shd w:val="clear" w:color="auto" w:fill="auto"/>
          </w:tcPr>
          <w:p w:rsidR="00B070BF" w:rsidRPr="009577DE" w:rsidRDefault="00B070BF" w:rsidP="00C33D4A">
            <w:pPr>
              <w:widowControl w:val="0"/>
              <w:spacing w:before="120" w:after="120"/>
              <w:rPr>
                <w:sz w:val="20"/>
              </w:rPr>
            </w:pPr>
            <w:r w:rsidRPr="009577DE">
              <w:rPr>
                <w:sz w:val="20"/>
              </w:rPr>
              <w:t>Región de América Latina y el Caribe</w:t>
            </w:r>
          </w:p>
        </w:tc>
        <w:tc>
          <w:tcPr>
            <w:tcW w:w="7153" w:type="dxa"/>
            <w:shd w:val="clear" w:color="auto" w:fill="auto"/>
          </w:tcPr>
          <w:p w:rsidR="00B070BF" w:rsidRPr="009577DE" w:rsidRDefault="00B070BF" w:rsidP="00C33D4A">
            <w:pPr>
              <w:widowControl w:val="0"/>
              <w:spacing w:before="120" w:after="120"/>
              <w:rPr>
                <w:sz w:val="20"/>
              </w:rPr>
            </w:pPr>
            <w:r w:rsidRPr="009577DE">
              <w:rPr>
                <w:sz w:val="20"/>
              </w:rPr>
              <w:t>Finalización del proyecto IPAS para patentes y marcas en Chile. Continúan los preparativos para implantar el sistema IPAS para marcas en Brasil. Se llevan a término los proyectos de digitalización en Colombia y Argentina.</w:t>
            </w:r>
          </w:p>
        </w:tc>
      </w:tr>
      <w:tr w:rsidR="00B070BF" w:rsidRPr="009577DE" w:rsidTr="00C33D4A">
        <w:tc>
          <w:tcPr>
            <w:tcW w:w="2418" w:type="dxa"/>
            <w:shd w:val="clear" w:color="auto" w:fill="auto"/>
          </w:tcPr>
          <w:p w:rsidR="00B070BF" w:rsidRPr="009577DE" w:rsidRDefault="00B070BF" w:rsidP="00C33D4A">
            <w:pPr>
              <w:widowControl w:val="0"/>
              <w:spacing w:before="120" w:after="120"/>
              <w:rPr>
                <w:sz w:val="20"/>
              </w:rPr>
            </w:pPr>
            <w:r w:rsidRPr="009577DE">
              <w:rPr>
                <w:sz w:val="20"/>
              </w:rPr>
              <w:t>Desarrollo de plataformas informáticas</w:t>
            </w:r>
          </w:p>
        </w:tc>
        <w:tc>
          <w:tcPr>
            <w:tcW w:w="7153" w:type="dxa"/>
            <w:shd w:val="clear" w:color="auto" w:fill="auto"/>
          </w:tcPr>
          <w:p w:rsidR="00B070BF" w:rsidRPr="009577DE" w:rsidRDefault="00B070BF" w:rsidP="00C33D4A">
            <w:pPr>
              <w:widowControl w:val="0"/>
              <w:spacing w:before="120" w:after="120"/>
              <w:rPr>
                <w:sz w:val="20"/>
              </w:rPr>
            </w:pPr>
            <w:r w:rsidRPr="009577DE">
              <w:rPr>
                <w:sz w:val="20"/>
              </w:rPr>
              <w:t>Integración completa del sistema de gestión electrónica de documentos de la OMPI con el sistema IPAS y despliegue del primero en varias oficinas.  Desarrollo del IPAS, introduciéndose en 2012 una mejora significativa en el sistema.  Quedan por desarrollar muchas funciones importantes.</w:t>
            </w:r>
          </w:p>
        </w:tc>
      </w:tr>
    </w:tbl>
    <w:p w:rsidR="00B070BF" w:rsidRPr="009577DE" w:rsidRDefault="00B070BF" w:rsidP="00B070BF">
      <w:pPr>
        <w:widowControl w:val="0"/>
        <w:rPr>
          <w:sz w:val="20"/>
        </w:rPr>
      </w:pPr>
    </w:p>
    <w:p w:rsidR="00B070BF" w:rsidRPr="009577DE" w:rsidRDefault="00B070BF" w:rsidP="00B070BF">
      <w:pPr>
        <w:widowControl w:val="0"/>
        <w:numPr>
          <w:ilvl w:val="0"/>
          <w:numId w:val="14"/>
        </w:numPr>
        <w:jc w:val="both"/>
        <w:rPr>
          <w:sz w:val="20"/>
        </w:rPr>
      </w:pPr>
      <w:r w:rsidRPr="009577DE">
        <w:rPr>
          <w:sz w:val="20"/>
        </w:rPr>
        <w:t xml:space="preserve">La gráfica que figura a continuación muestra el uso actual de los paquetes de programas informáticos de la OMPI en las oficinas de propiedad intelectual de todo el mundo.  El número de oficinas que utiliza al menos un producto diseñado por la OMPI asciende a </w:t>
      </w:r>
      <w:r w:rsidRPr="009577DE">
        <w:rPr>
          <w:bCs/>
          <w:sz w:val="20"/>
        </w:rPr>
        <w:t>66</w:t>
      </w:r>
      <w:r w:rsidRPr="009577DE">
        <w:rPr>
          <w:sz w:val="20"/>
        </w:rPr>
        <w:t>.</w:t>
      </w:r>
    </w:p>
    <w:p w:rsidR="00B070BF" w:rsidRPr="009577DE" w:rsidRDefault="00B070BF" w:rsidP="00B070BF">
      <w:pPr>
        <w:widowControl w:val="0"/>
        <w:autoSpaceDE w:val="0"/>
        <w:autoSpaceDN w:val="0"/>
        <w:adjustRightInd w:val="0"/>
        <w:rPr>
          <w:sz w:val="20"/>
        </w:rPr>
      </w:pPr>
    </w:p>
    <w:p w:rsidR="00B070BF" w:rsidRPr="009577DE" w:rsidRDefault="00B070BF" w:rsidP="00B070BF">
      <w:pPr>
        <w:widowControl w:val="0"/>
        <w:autoSpaceDE w:val="0"/>
        <w:autoSpaceDN w:val="0"/>
        <w:adjustRightInd w:val="0"/>
        <w:rPr>
          <w:sz w:val="20"/>
          <w:lang w:val="en-US"/>
        </w:rPr>
      </w:pPr>
      <w:r w:rsidRPr="009577DE">
        <w:rPr>
          <w:noProof/>
          <w:sz w:val="20"/>
          <w:lang w:val="en-US" w:eastAsia="en-US"/>
        </w:rPr>
        <w:lastRenderedPageBreak/>
        <mc:AlternateContent>
          <mc:Choice Requires="wpc">
            <w:drawing>
              <wp:inline distT="0" distB="0" distL="0" distR="0" wp14:anchorId="42474E06" wp14:editId="4489065C">
                <wp:extent cx="7546340" cy="3495675"/>
                <wp:effectExtent l="0" t="0" r="0" b="9525"/>
                <wp:docPr id="106" name="Canvas 10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4" name="Rectangle 84"/>
                        <wps:cNvSpPr>
                          <a:spLocks noChangeArrowheads="1"/>
                        </wps:cNvSpPr>
                        <wps:spPr bwMode="auto">
                          <a:xfrm>
                            <a:off x="41910" y="41910"/>
                            <a:ext cx="5842000" cy="3411855"/>
                          </a:xfrm>
                          <a:prstGeom prst="rect">
                            <a:avLst/>
                          </a:prstGeom>
                          <a:solidFill>
                            <a:srgbClr val="FFFFFF"/>
                          </a:solidFill>
                          <a:ln w="0">
                            <a:solidFill>
                              <a:srgbClr val="000000"/>
                            </a:solidFill>
                            <a:miter lim="800000"/>
                            <a:headEnd/>
                            <a:tailEnd/>
                          </a:ln>
                        </wps:spPr>
                        <wps:bodyPr rot="0" vert="horz" wrap="square" lIns="91440" tIns="45720" rIns="91440" bIns="45720" anchor="t" anchorCtr="0" upright="1">
                          <a:noAutofit/>
                        </wps:bodyPr>
                      </wps:wsp>
                      <wps:wsp>
                        <wps:cNvPr id="15" name="Rectangle 85"/>
                        <wps:cNvSpPr>
                          <a:spLocks noChangeArrowheads="1"/>
                        </wps:cNvSpPr>
                        <wps:spPr bwMode="auto">
                          <a:xfrm>
                            <a:off x="308610" y="584200"/>
                            <a:ext cx="5108575" cy="2185670"/>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 name="Line 86"/>
                        <wps:cNvCnPr/>
                        <wps:spPr bwMode="auto">
                          <a:xfrm>
                            <a:off x="308610" y="2461260"/>
                            <a:ext cx="5108575"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7" name="Line 87"/>
                        <wps:cNvCnPr/>
                        <wps:spPr bwMode="auto">
                          <a:xfrm>
                            <a:off x="308610" y="2144395"/>
                            <a:ext cx="5108575"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8" name="Line 88"/>
                        <wps:cNvCnPr/>
                        <wps:spPr bwMode="auto">
                          <a:xfrm>
                            <a:off x="308610" y="1835785"/>
                            <a:ext cx="5108575"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9" name="Line 89"/>
                        <wps:cNvCnPr/>
                        <wps:spPr bwMode="auto">
                          <a:xfrm>
                            <a:off x="308610" y="1518285"/>
                            <a:ext cx="5108575"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0" name="Line 90"/>
                        <wps:cNvCnPr/>
                        <wps:spPr bwMode="auto">
                          <a:xfrm>
                            <a:off x="308610" y="1209675"/>
                            <a:ext cx="5108575"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1" name="Line 91"/>
                        <wps:cNvCnPr/>
                        <wps:spPr bwMode="auto">
                          <a:xfrm>
                            <a:off x="308610" y="892810"/>
                            <a:ext cx="5108575"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2" name="Line 92"/>
                        <wps:cNvCnPr/>
                        <wps:spPr bwMode="auto">
                          <a:xfrm>
                            <a:off x="308610" y="584200"/>
                            <a:ext cx="5108575"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3" name="Rectangle 93"/>
                        <wps:cNvSpPr>
                          <a:spLocks noChangeArrowheads="1"/>
                        </wps:cNvSpPr>
                        <wps:spPr bwMode="auto">
                          <a:xfrm>
                            <a:off x="308610" y="584200"/>
                            <a:ext cx="5108575" cy="2185670"/>
                          </a:xfrm>
                          <a:prstGeom prst="rect">
                            <a:avLst/>
                          </a:prstGeom>
                          <a:noFill/>
                          <a:ln w="8255">
                            <a:solidFill>
                              <a:srgbClr val="80808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 name="Rectangle 94"/>
                        <wps:cNvSpPr>
                          <a:spLocks noChangeArrowheads="1"/>
                        </wps:cNvSpPr>
                        <wps:spPr bwMode="auto">
                          <a:xfrm>
                            <a:off x="450215" y="2269490"/>
                            <a:ext cx="191770" cy="500380"/>
                          </a:xfrm>
                          <a:prstGeom prst="rect">
                            <a:avLst/>
                          </a:prstGeom>
                          <a:solidFill>
                            <a:srgbClr val="9999FF"/>
                          </a:solidFill>
                          <a:ln w="8255">
                            <a:solidFill>
                              <a:srgbClr val="000000"/>
                            </a:solidFill>
                            <a:miter lim="800000"/>
                            <a:headEnd/>
                            <a:tailEnd/>
                          </a:ln>
                        </wps:spPr>
                        <wps:bodyPr rot="0" vert="horz" wrap="square" lIns="91440" tIns="45720" rIns="91440" bIns="45720" anchor="t" anchorCtr="0" upright="1">
                          <a:noAutofit/>
                        </wps:bodyPr>
                      </wps:wsp>
                      <wps:wsp>
                        <wps:cNvPr id="25" name="Rectangle 95"/>
                        <wps:cNvSpPr>
                          <a:spLocks noChangeArrowheads="1"/>
                        </wps:cNvSpPr>
                        <wps:spPr bwMode="auto">
                          <a:xfrm>
                            <a:off x="1300480" y="1710055"/>
                            <a:ext cx="191135" cy="1059815"/>
                          </a:xfrm>
                          <a:prstGeom prst="rect">
                            <a:avLst/>
                          </a:prstGeom>
                          <a:solidFill>
                            <a:srgbClr val="9999FF"/>
                          </a:solidFill>
                          <a:ln w="8255">
                            <a:solidFill>
                              <a:srgbClr val="000000"/>
                            </a:solidFill>
                            <a:miter lim="800000"/>
                            <a:headEnd/>
                            <a:tailEnd/>
                          </a:ln>
                        </wps:spPr>
                        <wps:bodyPr rot="0" vert="horz" wrap="square" lIns="91440" tIns="45720" rIns="91440" bIns="45720" anchor="t" anchorCtr="0" upright="1">
                          <a:noAutofit/>
                        </wps:bodyPr>
                      </wps:wsp>
                      <wps:wsp>
                        <wps:cNvPr id="26" name="Rectangle 96"/>
                        <wps:cNvSpPr>
                          <a:spLocks noChangeArrowheads="1"/>
                        </wps:cNvSpPr>
                        <wps:spPr bwMode="auto">
                          <a:xfrm>
                            <a:off x="2150110" y="2211070"/>
                            <a:ext cx="191770" cy="558800"/>
                          </a:xfrm>
                          <a:prstGeom prst="rect">
                            <a:avLst/>
                          </a:prstGeom>
                          <a:solidFill>
                            <a:srgbClr val="9999FF"/>
                          </a:solidFill>
                          <a:ln w="8255">
                            <a:solidFill>
                              <a:srgbClr val="000000"/>
                            </a:solidFill>
                            <a:miter lim="800000"/>
                            <a:headEnd/>
                            <a:tailEnd/>
                          </a:ln>
                        </wps:spPr>
                        <wps:bodyPr rot="0" vert="horz" wrap="square" lIns="91440" tIns="45720" rIns="91440" bIns="45720" anchor="t" anchorCtr="0" upright="1">
                          <a:noAutofit/>
                        </wps:bodyPr>
                      </wps:wsp>
                      <wps:wsp>
                        <wps:cNvPr id="27" name="Rectangle 97"/>
                        <wps:cNvSpPr>
                          <a:spLocks noChangeArrowheads="1"/>
                        </wps:cNvSpPr>
                        <wps:spPr bwMode="auto">
                          <a:xfrm>
                            <a:off x="3858895" y="2360930"/>
                            <a:ext cx="191770" cy="408940"/>
                          </a:xfrm>
                          <a:prstGeom prst="rect">
                            <a:avLst/>
                          </a:prstGeom>
                          <a:solidFill>
                            <a:srgbClr val="9999FF"/>
                          </a:solidFill>
                          <a:ln w="8255">
                            <a:solidFill>
                              <a:srgbClr val="000000"/>
                            </a:solidFill>
                            <a:miter lim="800000"/>
                            <a:headEnd/>
                            <a:tailEnd/>
                          </a:ln>
                        </wps:spPr>
                        <wps:bodyPr rot="0" vert="horz" wrap="square" lIns="91440" tIns="45720" rIns="91440" bIns="45720" anchor="t" anchorCtr="0" upright="1">
                          <a:noAutofit/>
                        </wps:bodyPr>
                      </wps:wsp>
                      <wps:wsp>
                        <wps:cNvPr id="28" name="Rectangle 98"/>
                        <wps:cNvSpPr>
                          <a:spLocks noChangeArrowheads="1"/>
                        </wps:cNvSpPr>
                        <wps:spPr bwMode="auto">
                          <a:xfrm>
                            <a:off x="4709160" y="2486025"/>
                            <a:ext cx="191770" cy="283845"/>
                          </a:xfrm>
                          <a:prstGeom prst="rect">
                            <a:avLst/>
                          </a:prstGeom>
                          <a:solidFill>
                            <a:srgbClr val="9999FF"/>
                          </a:solidFill>
                          <a:ln w="8255">
                            <a:solidFill>
                              <a:srgbClr val="000000"/>
                            </a:solidFill>
                            <a:miter lim="800000"/>
                            <a:headEnd/>
                            <a:tailEnd/>
                          </a:ln>
                        </wps:spPr>
                        <wps:bodyPr rot="0" vert="horz" wrap="square" lIns="91440" tIns="45720" rIns="91440" bIns="45720" anchor="t" anchorCtr="0" upright="1">
                          <a:noAutofit/>
                        </wps:bodyPr>
                      </wps:wsp>
                      <wps:wsp>
                        <wps:cNvPr id="29" name="Rectangle 99"/>
                        <wps:cNvSpPr>
                          <a:spLocks noChangeArrowheads="1"/>
                        </wps:cNvSpPr>
                        <wps:spPr bwMode="auto">
                          <a:xfrm>
                            <a:off x="641985" y="1118235"/>
                            <a:ext cx="182880" cy="1651635"/>
                          </a:xfrm>
                          <a:prstGeom prst="rect">
                            <a:avLst/>
                          </a:prstGeom>
                          <a:solidFill>
                            <a:srgbClr val="993366"/>
                          </a:solidFill>
                          <a:ln w="8255">
                            <a:solidFill>
                              <a:srgbClr val="000000"/>
                            </a:solidFill>
                            <a:miter lim="800000"/>
                            <a:headEnd/>
                            <a:tailEnd/>
                          </a:ln>
                        </wps:spPr>
                        <wps:bodyPr rot="0" vert="horz" wrap="square" lIns="91440" tIns="45720" rIns="91440" bIns="45720" anchor="t" anchorCtr="0" upright="1">
                          <a:noAutofit/>
                        </wps:bodyPr>
                      </wps:wsp>
                      <wps:wsp>
                        <wps:cNvPr id="30" name="Rectangle 100"/>
                        <wps:cNvSpPr>
                          <a:spLocks noChangeArrowheads="1"/>
                        </wps:cNvSpPr>
                        <wps:spPr bwMode="auto">
                          <a:xfrm>
                            <a:off x="1491615" y="1518285"/>
                            <a:ext cx="183515" cy="1251585"/>
                          </a:xfrm>
                          <a:prstGeom prst="rect">
                            <a:avLst/>
                          </a:prstGeom>
                          <a:solidFill>
                            <a:srgbClr val="993366"/>
                          </a:solidFill>
                          <a:ln w="8255">
                            <a:solidFill>
                              <a:srgbClr val="000000"/>
                            </a:solidFill>
                            <a:miter lim="800000"/>
                            <a:headEnd/>
                            <a:tailEnd/>
                          </a:ln>
                        </wps:spPr>
                        <wps:bodyPr rot="0" vert="horz" wrap="square" lIns="91440" tIns="45720" rIns="91440" bIns="45720" anchor="t" anchorCtr="0" upright="1">
                          <a:noAutofit/>
                        </wps:bodyPr>
                      </wps:wsp>
                      <wps:wsp>
                        <wps:cNvPr id="31" name="Rectangle 101"/>
                        <wps:cNvSpPr>
                          <a:spLocks noChangeArrowheads="1"/>
                        </wps:cNvSpPr>
                        <wps:spPr bwMode="auto">
                          <a:xfrm>
                            <a:off x="2341880" y="1985645"/>
                            <a:ext cx="191770" cy="784225"/>
                          </a:xfrm>
                          <a:prstGeom prst="rect">
                            <a:avLst/>
                          </a:prstGeom>
                          <a:solidFill>
                            <a:srgbClr val="993366"/>
                          </a:solidFill>
                          <a:ln w="8255">
                            <a:solidFill>
                              <a:srgbClr val="000000"/>
                            </a:solidFill>
                            <a:miter lim="800000"/>
                            <a:headEnd/>
                            <a:tailEnd/>
                          </a:ln>
                        </wps:spPr>
                        <wps:bodyPr rot="0" vert="horz" wrap="square" lIns="91440" tIns="45720" rIns="91440" bIns="45720" anchor="t" anchorCtr="0" upright="1">
                          <a:noAutofit/>
                        </wps:bodyPr>
                      </wps:wsp>
                      <wps:wsp>
                        <wps:cNvPr id="32" name="Rectangle 102"/>
                        <wps:cNvSpPr>
                          <a:spLocks noChangeArrowheads="1"/>
                        </wps:cNvSpPr>
                        <wps:spPr bwMode="auto">
                          <a:xfrm>
                            <a:off x="3200400" y="2336165"/>
                            <a:ext cx="183515" cy="433705"/>
                          </a:xfrm>
                          <a:prstGeom prst="rect">
                            <a:avLst/>
                          </a:prstGeom>
                          <a:solidFill>
                            <a:srgbClr val="993366"/>
                          </a:solidFill>
                          <a:ln w="8255">
                            <a:solidFill>
                              <a:srgbClr val="000000"/>
                            </a:solidFill>
                            <a:miter lim="800000"/>
                            <a:headEnd/>
                            <a:tailEnd/>
                          </a:ln>
                        </wps:spPr>
                        <wps:bodyPr rot="0" vert="horz" wrap="square" lIns="91440" tIns="45720" rIns="91440" bIns="45720" anchor="t" anchorCtr="0" upright="1">
                          <a:noAutofit/>
                        </wps:bodyPr>
                      </wps:wsp>
                      <wps:wsp>
                        <wps:cNvPr id="33" name="Rectangle 103"/>
                        <wps:cNvSpPr>
                          <a:spLocks noChangeArrowheads="1"/>
                        </wps:cNvSpPr>
                        <wps:spPr bwMode="auto">
                          <a:xfrm>
                            <a:off x="4050665" y="2427605"/>
                            <a:ext cx="183515" cy="342265"/>
                          </a:xfrm>
                          <a:prstGeom prst="rect">
                            <a:avLst/>
                          </a:prstGeom>
                          <a:solidFill>
                            <a:srgbClr val="993366"/>
                          </a:solidFill>
                          <a:ln w="8255">
                            <a:solidFill>
                              <a:srgbClr val="000000"/>
                            </a:solidFill>
                            <a:miter lim="800000"/>
                            <a:headEnd/>
                            <a:tailEnd/>
                          </a:ln>
                        </wps:spPr>
                        <wps:bodyPr rot="0" vert="horz" wrap="square" lIns="91440" tIns="45720" rIns="91440" bIns="45720" anchor="t" anchorCtr="0" upright="1">
                          <a:noAutofit/>
                        </wps:bodyPr>
                      </wps:wsp>
                      <wps:wsp>
                        <wps:cNvPr id="34" name="Rectangle 104"/>
                        <wps:cNvSpPr>
                          <a:spLocks noChangeArrowheads="1"/>
                        </wps:cNvSpPr>
                        <wps:spPr bwMode="auto">
                          <a:xfrm>
                            <a:off x="4900930" y="2486025"/>
                            <a:ext cx="182880" cy="283845"/>
                          </a:xfrm>
                          <a:prstGeom prst="rect">
                            <a:avLst/>
                          </a:prstGeom>
                          <a:solidFill>
                            <a:srgbClr val="993366"/>
                          </a:solidFill>
                          <a:ln w="8255">
                            <a:solidFill>
                              <a:srgbClr val="000000"/>
                            </a:solidFill>
                            <a:miter lim="800000"/>
                            <a:headEnd/>
                            <a:tailEnd/>
                          </a:ln>
                        </wps:spPr>
                        <wps:bodyPr rot="0" vert="horz" wrap="square" lIns="91440" tIns="45720" rIns="91440" bIns="45720" anchor="t" anchorCtr="0" upright="1">
                          <a:noAutofit/>
                        </wps:bodyPr>
                      </wps:wsp>
                      <wps:wsp>
                        <wps:cNvPr id="35" name="Rectangle 105"/>
                        <wps:cNvSpPr>
                          <a:spLocks noChangeArrowheads="1"/>
                        </wps:cNvSpPr>
                        <wps:spPr bwMode="auto">
                          <a:xfrm>
                            <a:off x="824865" y="800735"/>
                            <a:ext cx="191770" cy="1969135"/>
                          </a:xfrm>
                          <a:prstGeom prst="rect">
                            <a:avLst/>
                          </a:prstGeom>
                          <a:solidFill>
                            <a:srgbClr val="FFFFCC"/>
                          </a:solidFill>
                          <a:ln w="8255">
                            <a:solidFill>
                              <a:srgbClr val="000000"/>
                            </a:solidFill>
                            <a:miter lim="800000"/>
                            <a:headEnd/>
                            <a:tailEnd/>
                          </a:ln>
                        </wps:spPr>
                        <wps:bodyPr rot="0" vert="horz" wrap="square" lIns="91440" tIns="45720" rIns="91440" bIns="45720" anchor="t" anchorCtr="0" upright="1">
                          <a:noAutofit/>
                        </wps:bodyPr>
                      </wps:wsp>
                      <wps:wsp>
                        <wps:cNvPr id="36" name="Rectangle 106"/>
                        <wps:cNvSpPr>
                          <a:spLocks noChangeArrowheads="1"/>
                        </wps:cNvSpPr>
                        <wps:spPr bwMode="auto">
                          <a:xfrm>
                            <a:off x="1675130" y="1301750"/>
                            <a:ext cx="191770" cy="1468120"/>
                          </a:xfrm>
                          <a:prstGeom prst="rect">
                            <a:avLst/>
                          </a:prstGeom>
                          <a:solidFill>
                            <a:srgbClr val="FFFFCC"/>
                          </a:solidFill>
                          <a:ln w="8255">
                            <a:solidFill>
                              <a:srgbClr val="000000"/>
                            </a:solidFill>
                            <a:miter lim="800000"/>
                            <a:headEnd/>
                            <a:tailEnd/>
                          </a:ln>
                        </wps:spPr>
                        <wps:bodyPr rot="0" vert="horz" wrap="square" lIns="91440" tIns="45720" rIns="91440" bIns="45720" anchor="t" anchorCtr="0" upright="1">
                          <a:noAutofit/>
                        </wps:bodyPr>
                      </wps:wsp>
                      <wps:wsp>
                        <wps:cNvPr id="37" name="Rectangle 107"/>
                        <wps:cNvSpPr>
                          <a:spLocks noChangeArrowheads="1"/>
                        </wps:cNvSpPr>
                        <wps:spPr bwMode="auto">
                          <a:xfrm>
                            <a:off x="2533650" y="1894205"/>
                            <a:ext cx="191770" cy="875665"/>
                          </a:xfrm>
                          <a:prstGeom prst="rect">
                            <a:avLst/>
                          </a:prstGeom>
                          <a:solidFill>
                            <a:srgbClr val="FFFFCC"/>
                          </a:solidFill>
                          <a:ln w="8255">
                            <a:solidFill>
                              <a:srgbClr val="000000"/>
                            </a:solidFill>
                            <a:miter lim="800000"/>
                            <a:headEnd/>
                            <a:tailEnd/>
                          </a:ln>
                        </wps:spPr>
                        <wps:bodyPr rot="0" vert="horz" wrap="square" lIns="91440" tIns="45720" rIns="91440" bIns="45720" anchor="t" anchorCtr="0" upright="1">
                          <a:noAutofit/>
                        </wps:bodyPr>
                      </wps:wsp>
                      <wps:wsp>
                        <wps:cNvPr id="38" name="Rectangle 108"/>
                        <wps:cNvSpPr>
                          <a:spLocks noChangeArrowheads="1"/>
                        </wps:cNvSpPr>
                        <wps:spPr bwMode="auto">
                          <a:xfrm>
                            <a:off x="3383915" y="2269490"/>
                            <a:ext cx="191770" cy="500380"/>
                          </a:xfrm>
                          <a:prstGeom prst="rect">
                            <a:avLst/>
                          </a:prstGeom>
                          <a:solidFill>
                            <a:srgbClr val="FFFFCC"/>
                          </a:solidFill>
                          <a:ln w="8255">
                            <a:solidFill>
                              <a:srgbClr val="000000"/>
                            </a:solidFill>
                            <a:miter lim="800000"/>
                            <a:headEnd/>
                            <a:tailEnd/>
                          </a:ln>
                        </wps:spPr>
                        <wps:bodyPr rot="0" vert="horz" wrap="square" lIns="91440" tIns="45720" rIns="91440" bIns="45720" anchor="t" anchorCtr="0" upright="1">
                          <a:noAutofit/>
                        </wps:bodyPr>
                      </wps:wsp>
                      <wps:wsp>
                        <wps:cNvPr id="39" name="Rectangle 109"/>
                        <wps:cNvSpPr>
                          <a:spLocks noChangeArrowheads="1"/>
                        </wps:cNvSpPr>
                        <wps:spPr bwMode="auto">
                          <a:xfrm>
                            <a:off x="4234180" y="2461260"/>
                            <a:ext cx="191770" cy="308610"/>
                          </a:xfrm>
                          <a:prstGeom prst="rect">
                            <a:avLst/>
                          </a:prstGeom>
                          <a:solidFill>
                            <a:srgbClr val="FFFFCC"/>
                          </a:solidFill>
                          <a:ln w="8255">
                            <a:solidFill>
                              <a:srgbClr val="000000"/>
                            </a:solidFill>
                            <a:miter lim="800000"/>
                            <a:headEnd/>
                            <a:tailEnd/>
                          </a:ln>
                        </wps:spPr>
                        <wps:bodyPr rot="0" vert="horz" wrap="square" lIns="91440" tIns="45720" rIns="91440" bIns="45720" anchor="t" anchorCtr="0" upright="1">
                          <a:noAutofit/>
                        </wps:bodyPr>
                      </wps:wsp>
                      <wps:wsp>
                        <wps:cNvPr id="40" name="Rectangle 110"/>
                        <wps:cNvSpPr>
                          <a:spLocks noChangeArrowheads="1"/>
                        </wps:cNvSpPr>
                        <wps:spPr bwMode="auto">
                          <a:xfrm>
                            <a:off x="5083810" y="2486025"/>
                            <a:ext cx="191770" cy="283845"/>
                          </a:xfrm>
                          <a:prstGeom prst="rect">
                            <a:avLst/>
                          </a:prstGeom>
                          <a:solidFill>
                            <a:srgbClr val="FFFFCC"/>
                          </a:solidFill>
                          <a:ln w="8255">
                            <a:solidFill>
                              <a:srgbClr val="000000"/>
                            </a:solidFill>
                            <a:miter lim="800000"/>
                            <a:headEnd/>
                            <a:tailEnd/>
                          </a:ln>
                        </wps:spPr>
                        <wps:bodyPr rot="0" vert="horz" wrap="square" lIns="91440" tIns="45720" rIns="91440" bIns="45720" anchor="t" anchorCtr="0" upright="1">
                          <a:noAutofit/>
                        </wps:bodyPr>
                      </wps:wsp>
                      <wps:wsp>
                        <wps:cNvPr id="41" name="Line 111"/>
                        <wps:cNvCnPr/>
                        <wps:spPr bwMode="auto">
                          <a:xfrm>
                            <a:off x="308610" y="584200"/>
                            <a:ext cx="635" cy="218567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2" name="Line 112"/>
                        <wps:cNvCnPr/>
                        <wps:spPr bwMode="auto">
                          <a:xfrm>
                            <a:off x="283210" y="2769870"/>
                            <a:ext cx="25400"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3" name="Line 113"/>
                        <wps:cNvCnPr/>
                        <wps:spPr bwMode="auto">
                          <a:xfrm>
                            <a:off x="283210" y="2461260"/>
                            <a:ext cx="25400"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4" name="Line 114"/>
                        <wps:cNvCnPr/>
                        <wps:spPr bwMode="auto">
                          <a:xfrm>
                            <a:off x="283210" y="2144395"/>
                            <a:ext cx="25400"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5" name="Line 115"/>
                        <wps:cNvCnPr/>
                        <wps:spPr bwMode="auto">
                          <a:xfrm>
                            <a:off x="283210" y="1835785"/>
                            <a:ext cx="25400"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6" name="Line 116"/>
                        <wps:cNvCnPr/>
                        <wps:spPr bwMode="auto">
                          <a:xfrm>
                            <a:off x="283210" y="1518285"/>
                            <a:ext cx="25400"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7" name="Line 117"/>
                        <wps:cNvCnPr/>
                        <wps:spPr bwMode="auto">
                          <a:xfrm>
                            <a:off x="283210" y="1209675"/>
                            <a:ext cx="25400"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8" name="Line 118"/>
                        <wps:cNvCnPr/>
                        <wps:spPr bwMode="auto">
                          <a:xfrm>
                            <a:off x="283210" y="892810"/>
                            <a:ext cx="25400"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9" name="Line 119"/>
                        <wps:cNvCnPr/>
                        <wps:spPr bwMode="auto">
                          <a:xfrm>
                            <a:off x="283210" y="584200"/>
                            <a:ext cx="25400"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0" name="Line 120"/>
                        <wps:cNvCnPr/>
                        <wps:spPr bwMode="auto">
                          <a:xfrm>
                            <a:off x="308610" y="2769870"/>
                            <a:ext cx="5108575"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1" name="Line 121"/>
                        <wps:cNvCnPr/>
                        <wps:spPr bwMode="auto">
                          <a:xfrm flipV="1">
                            <a:off x="308610" y="2769870"/>
                            <a:ext cx="635" cy="2540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2" name="Line 122"/>
                        <wps:cNvCnPr/>
                        <wps:spPr bwMode="auto">
                          <a:xfrm flipV="1">
                            <a:off x="1158240" y="2769870"/>
                            <a:ext cx="635" cy="2540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3" name="Line 123"/>
                        <wps:cNvCnPr/>
                        <wps:spPr bwMode="auto">
                          <a:xfrm flipV="1">
                            <a:off x="2008505" y="2769870"/>
                            <a:ext cx="635" cy="2540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4" name="Line 124"/>
                        <wps:cNvCnPr/>
                        <wps:spPr bwMode="auto">
                          <a:xfrm flipV="1">
                            <a:off x="2867025" y="2769870"/>
                            <a:ext cx="635" cy="2540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5" name="Line 125"/>
                        <wps:cNvCnPr/>
                        <wps:spPr bwMode="auto">
                          <a:xfrm flipV="1">
                            <a:off x="3717290" y="2769870"/>
                            <a:ext cx="635" cy="2540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6" name="Line 126"/>
                        <wps:cNvCnPr/>
                        <wps:spPr bwMode="auto">
                          <a:xfrm flipV="1">
                            <a:off x="4567555" y="2769870"/>
                            <a:ext cx="635" cy="2540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7" name="Line 127"/>
                        <wps:cNvCnPr/>
                        <wps:spPr bwMode="auto">
                          <a:xfrm flipV="1">
                            <a:off x="5417185" y="2769870"/>
                            <a:ext cx="635" cy="2540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8" name="Rectangle 128"/>
                        <wps:cNvSpPr>
                          <a:spLocks noChangeArrowheads="1"/>
                        </wps:cNvSpPr>
                        <wps:spPr bwMode="auto">
                          <a:xfrm>
                            <a:off x="1642110" y="149860"/>
                            <a:ext cx="2608580" cy="321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0BF" w:rsidRDefault="00B070BF" w:rsidP="00B070BF">
                              <w:pPr>
                                <w:jc w:val="center"/>
                                <w:rPr>
                                  <w:b/>
                                  <w:bCs/>
                                  <w:color w:val="000000"/>
                                </w:rPr>
                              </w:pPr>
                              <w:r w:rsidRPr="00337705">
                                <w:rPr>
                                  <w:b/>
                                  <w:bCs/>
                                  <w:color w:val="000000"/>
                                </w:rPr>
                                <w:t>Uso de herramientas de modernización</w:t>
                              </w:r>
                            </w:p>
                            <w:p w:rsidR="00B070BF" w:rsidRPr="00337705" w:rsidRDefault="00B070BF" w:rsidP="00B070BF">
                              <w:pPr>
                                <w:jc w:val="center"/>
                              </w:pPr>
                              <w:proofErr w:type="gramStart"/>
                              <w:r w:rsidRPr="00337705">
                                <w:rPr>
                                  <w:b/>
                                  <w:bCs/>
                                  <w:color w:val="000000"/>
                                </w:rPr>
                                <w:t>de</w:t>
                              </w:r>
                              <w:proofErr w:type="gramEnd"/>
                              <w:r w:rsidRPr="00337705">
                                <w:rPr>
                                  <w:b/>
                                  <w:bCs/>
                                  <w:color w:val="000000"/>
                                </w:rPr>
                                <w:t xml:space="preserve"> la OMPI</w:t>
                              </w:r>
                              <w:r>
                                <w:rPr>
                                  <w:b/>
                                  <w:bCs/>
                                  <w:color w:val="000000"/>
                                </w:rPr>
                                <w:t xml:space="preserve"> </w:t>
                              </w:r>
                              <w:r w:rsidRPr="00337705">
                                <w:rPr>
                                  <w:b/>
                                  <w:bCs/>
                                  <w:color w:val="000000"/>
                                </w:rPr>
                                <w:t xml:space="preserve">en </w:t>
                              </w:r>
                              <w:r>
                                <w:rPr>
                                  <w:b/>
                                  <w:bCs/>
                                  <w:color w:val="000000"/>
                                </w:rPr>
                                <w:t xml:space="preserve">las </w:t>
                              </w:r>
                              <w:r w:rsidRPr="00337705">
                                <w:rPr>
                                  <w:b/>
                                  <w:bCs/>
                                  <w:color w:val="000000"/>
                                </w:rPr>
                                <w:t>oficinas de P.I.</w:t>
                              </w:r>
                            </w:p>
                          </w:txbxContent>
                        </wps:txbx>
                        <wps:bodyPr rot="0" vert="horz" wrap="none" lIns="0" tIns="0" rIns="0" bIns="0" anchor="t" anchorCtr="0" upright="1">
                          <a:spAutoFit/>
                        </wps:bodyPr>
                      </wps:wsp>
                      <wps:wsp>
                        <wps:cNvPr id="59" name="Rectangle 129"/>
                        <wps:cNvSpPr>
                          <a:spLocks noChangeArrowheads="1"/>
                        </wps:cNvSpPr>
                        <wps:spPr bwMode="auto">
                          <a:xfrm>
                            <a:off x="3075305" y="2602865"/>
                            <a:ext cx="4953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0BF" w:rsidRDefault="00B070BF" w:rsidP="00B070BF">
                              <w:r>
                                <w:rPr>
                                  <w:color w:val="000000"/>
                                  <w:sz w:val="14"/>
                                  <w:szCs w:val="14"/>
                                </w:rPr>
                                <w:t>0</w:t>
                              </w:r>
                            </w:p>
                          </w:txbxContent>
                        </wps:txbx>
                        <wps:bodyPr rot="0" vert="horz" wrap="none" lIns="0" tIns="0" rIns="0" bIns="0" anchor="t" anchorCtr="0" upright="1">
                          <a:spAutoFit/>
                        </wps:bodyPr>
                      </wps:wsp>
                      <wps:wsp>
                        <wps:cNvPr id="60" name="Rectangle 130"/>
                        <wps:cNvSpPr>
                          <a:spLocks noChangeArrowheads="1"/>
                        </wps:cNvSpPr>
                        <wps:spPr bwMode="auto">
                          <a:xfrm>
                            <a:off x="4784090" y="2519680"/>
                            <a:ext cx="4953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0BF" w:rsidRDefault="00B070BF" w:rsidP="00B070BF">
                              <w:r>
                                <w:rPr>
                                  <w:color w:val="000000"/>
                                  <w:sz w:val="14"/>
                                  <w:szCs w:val="14"/>
                                </w:rPr>
                                <w:t>9</w:t>
                              </w:r>
                            </w:p>
                          </w:txbxContent>
                        </wps:txbx>
                        <wps:bodyPr rot="0" vert="horz" wrap="none" lIns="0" tIns="0" rIns="0" bIns="0" anchor="t" anchorCtr="0" upright="1">
                          <a:spAutoFit/>
                        </wps:bodyPr>
                      </wps:wsp>
                      <wps:wsp>
                        <wps:cNvPr id="61" name="Rectangle 131"/>
                        <wps:cNvSpPr>
                          <a:spLocks noChangeArrowheads="1"/>
                        </wps:cNvSpPr>
                        <wps:spPr bwMode="auto">
                          <a:xfrm>
                            <a:off x="3909060" y="2394585"/>
                            <a:ext cx="9906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0BF" w:rsidRDefault="00B070BF" w:rsidP="00B070BF">
                              <w:r>
                                <w:rPr>
                                  <w:color w:val="000000"/>
                                  <w:sz w:val="14"/>
                                  <w:szCs w:val="14"/>
                                </w:rPr>
                                <w:t>13</w:t>
                              </w:r>
                            </w:p>
                          </w:txbxContent>
                        </wps:txbx>
                        <wps:bodyPr rot="0" vert="horz" wrap="none" lIns="0" tIns="0" rIns="0" bIns="0" anchor="t" anchorCtr="0" upright="1">
                          <a:spAutoFit/>
                        </wps:bodyPr>
                      </wps:wsp>
                      <wps:wsp>
                        <wps:cNvPr id="62" name="Rectangle 132"/>
                        <wps:cNvSpPr>
                          <a:spLocks noChangeArrowheads="1"/>
                        </wps:cNvSpPr>
                        <wps:spPr bwMode="auto">
                          <a:xfrm>
                            <a:off x="2208530" y="2244090"/>
                            <a:ext cx="9906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0BF" w:rsidRDefault="00B070BF" w:rsidP="00B070BF">
                              <w:r>
                                <w:rPr>
                                  <w:color w:val="000000"/>
                                  <w:sz w:val="14"/>
                                  <w:szCs w:val="14"/>
                                </w:rPr>
                                <w:t>18</w:t>
                              </w:r>
                            </w:p>
                          </w:txbxContent>
                        </wps:txbx>
                        <wps:bodyPr rot="0" vert="horz" wrap="none" lIns="0" tIns="0" rIns="0" bIns="0" anchor="t" anchorCtr="0" upright="1">
                          <a:spAutoFit/>
                        </wps:bodyPr>
                      </wps:wsp>
                      <wps:wsp>
                        <wps:cNvPr id="63" name="Rectangle 133"/>
                        <wps:cNvSpPr>
                          <a:spLocks noChangeArrowheads="1"/>
                        </wps:cNvSpPr>
                        <wps:spPr bwMode="auto">
                          <a:xfrm>
                            <a:off x="1350010" y="1743710"/>
                            <a:ext cx="9906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0BF" w:rsidRDefault="00B070BF" w:rsidP="00B070BF">
                              <w:r>
                                <w:rPr>
                                  <w:color w:val="000000"/>
                                  <w:sz w:val="14"/>
                                  <w:szCs w:val="14"/>
                                </w:rPr>
                                <w:t>34</w:t>
                              </w:r>
                            </w:p>
                          </w:txbxContent>
                        </wps:txbx>
                        <wps:bodyPr rot="0" vert="horz" wrap="none" lIns="0" tIns="0" rIns="0" bIns="0" anchor="t" anchorCtr="0" upright="1">
                          <a:spAutoFit/>
                        </wps:bodyPr>
                      </wps:wsp>
                      <wps:wsp>
                        <wps:cNvPr id="64" name="Rectangle 134"/>
                        <wps:cNvSpPr>
                          <a:spLocks noChangeArrowheads="1"/>
                        </wps:cNvSpPr>
                        <wps:spPr bwMode="auto">
                          <a:xfrm>
                            <a:off x="500380" y="2302510"/>
                            <a:ext cx="9906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0BF" w:rsidRDefault="00B070BF" w:rsidP="00B070BF">
                              <w:r>
                                <w:rPr>
                                  <w:color w:val="000000"/>
                                  <w:sz w:val="14"/>
                                  <w:szCs w:val="14"/>
                                </w:rPr>
                                <w:t>16</w:t>
                              </w:r>
                            </w:p>
                          </w:txbxContent>
                        </wps:txbx>
                        <wps:bodyPr rot="0" vert="horz" wrap="none" lIns="0" tIns="0" rIns="0" bIns="0" anchor="t" anchorCtr="0" upright="1">
                          <a:spAutoFit/>
                        </wps:bodyPr>
                      </wps:wsp>
                      <wps:wsp>
                        <wps:cNvPr id="65" name="Rectangle 135"/>
                        <wps:cNvSpPr>
                          <a:spLocks noChangeArrowheads="1"/>
                        </wps:cNvSpPr>
                        <wps:spPr bwMode="auto">
                          <a:xfrm>
                            <a:off x="683260" y="1134745"/>
                            <a:ext cx="9906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0BF" w:rsidRDefault="00B070BF" w:rsidP="00B070BF">
                              <w:r>
                                <w:rPr>
                                  <w:color w:val="000000"/>
                                  <w:sz w:val="14"/>
                                  <w:szCs w:val="14"/>
                                </w:rPr>
                                <w:t>53</w:t>
                              </w:r>
                            </w:p>
                          </w:txbxContent>
                        </wps:txbx>
                        <wps:bodyPr rot="0" vert="horz" wrap="none" lIns="0" tIns="0" rIns="0" bIns="0" anchor="t" anchorCtr="0" upright="1">
                          <a:spAutoFit/>
                        </wps:bodyPr>
                      </wps:wsp>
                      <wps:wsp>
                        <wps:cNvPr id="66" name="Rectangle 136"/>
                        <wps:cNvSpPr>
                          <a:spLocks noChangeArrowheads="1"/>
                        </wps:cNvSpPr>
                        <wps:spPr bwMode="auto">
                          <a:xfrm>
                            <a:off x="1525270" y="1543685"/>
                            <a:ext cx="9906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0BF" w:rsidRDefault="00B070BF" w:rsidP="00B070BF">
                              <w:r>
                                <w:rPr>
                                  <w:color w:val="000000"/>
                                  <w:sz w:val="14"/>
                                  <w:szCs w:val="14"/>
                                </w:rPr>
                                <w:t>40</w:t>
                              </w:r>
                            </w:p>
                          </w:txbxContent>
                        </wps:txbx>
                        <wps:bodyPr rot="0" vert="horz" wrap="none" lIns="0" tIns="0" rIns="0" bIns="0" anchor="t" anchorCtr="0" upright="1">
                          <a:spAutoFit/>
                        </wps:bodyPr>
                      </wps:wsp>
                      <wps:wsp>
                        <wps:cNvPr id="67" name="Rectangle 137"/>
                        <wps:cNvSpPr>
                          <a:spLocks noChangeArrowheads="1"/>
                        </wps:cNvSpPr>
                        <wps:spPr bwMode="auto">
                          <a:xfrm>
                            <a:off x="2383790" y="2010410"/>
                            <a:ext cx="9906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0BF" w:rsidRDefault="00B070BF" w:rsidP="00B070BF">
                              <w:r>
                                <w:rPr>
                                  <w:color w:val="000000"/>
                                  <w:sz w:val="14"/>
                                  <w:szCs w:val="14"/>
                                </w:rPr>
                                <w:t>25</w:t>
                              </w:r>
                            </w:p>
                          </w:txbxContent>
                        </wps:txbx>
                        <wps:bodyPr rot="0" vert="horz" wrap="none" lIns="0" tIns="0" rIns="0" bIns="0" anchor="t" anchorCtr="0" upright="1">
                          <a:spAutoFit/>
                        </wps:bodyPr>
                      </wps:wsp>
                      <wps:wsp>
                        <wps:cNvPr id="68" name="Rectangle 138"/>
                        <wps:cNvSpPr>
                          <a:spLocks noChangeArrowheads="1"/>
                        </wps:cNvSpPr>
                        <wps:spPr bwMode="auto">
                          <a:xfrm>
                            <a:off x="4959350" y="2511425"/>
                            <a:ext cx="4953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0BF" w:rsidRDefault="00B070BF" w:rsidP="00B070BF">
                              <w:r>
                                <w:rPr>
                                  <w:color w:val="000000"/>
                                  <w:sz w:val="14"/>
                                  <w:szCs w:val="14"/>
                                </w:rPr>
                                <w:t>9</w:t>
                              </w:r>
                            </w:p>
                          </w:txbxContent>
                        </wps:txbx>
                        <wps:bodyPr rot="0" vert="horz" wrap="none" lIns="0" tIns="0" rIns="0" bIns="0" anchor="t" anchorCtr="0" upright="1">
                          <a:spAutoFit/>
                        </wps:bodyPr>
                      </wps:wsp>
                      <wps:wsp>
                        <wps:cNvPr id="69" name="Rectangle 139"/>
                        <wps:cNvSpPr>
                          <a:spLocks noChangeArrowheads="1"/>
                        </wps:cNvSpPr>
                        <wps:spPr bwMode="auto">
                          <a:xfrm>
                            <a:off x="4109085" y="2461260"/>
                            <a:ext cx="9906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0BF" w:rsidRDefault="00B070BF" w:rsidP="00B070BF">
                              <w:r>
                                <w:rPr>
                                  <w:color w:val="000000"/>
                                  <w:sz w:val="14"/>
                                  <w:szCs w:val="14"/>
                                </w:rPr>
                                <w:t>11</w:t>
                              </w:r>
                            </w:p>
                          </w:txbxContent>
                        </wps:txbx>
                        <wps:bodyPr rot="0" vert="horz" wrap="none" lIns="0" tIns="0" rIns="0" bIns="0" anchor="t" anchorCtr="0" upright="1">
                          <a:spAutoFit/>
                        </wps:bodyPr>
                      </wps:wsp>
                      <wps:wsp>
                        <wps:cNvPr id="70" name="Rectangle 140"/>
                        <wps:cNvSpPr>
                          <a:spLocks noChangeArrowheads="1"/>
                        </wps:cNvSpPr>
                        <wps:spPr bwMode="auto">
                          <a:xfrm>
                            <a:off x="3250565" y="2378075"/>
                            <a:ext cx="9906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0BF" w:rsidRDefault="00B070BF" w:rsidP="00B070BF">
                              <w:r>
                                <w:rPr>
                                  <w:color w:val="000000"/>
                                  <w:sz w:val="14"/>
                                  <w:szCs w:val="14"/>
                                </w:rPr>
                                <w:t>14</w:t>
                              </w:r>
                            </w:p>
                          </w:txbxContent>
                        </wps:txbx>
                        <wps:bodyPr rot="0" vert="horz" wrap="none" lIns="0" tIns="0" rIns="0" bIns="0" anchor="t" anchorCtr="0" upright="1">
                          <a:spAutoFit/>
                        </wps:bodyPr>
                      </wps:wsp>
                      <wps:wsp>
                        <wps:cNvPr id="71" name="Rectangle 141"/>
                        <wps:cNvSpPr>
                          <a:spLocks noChangeArrowheads="1"/>
                        </wps:cNvSpPr>
                        <wps:spPr bwMode="auto">
                          <a:xfrm>
                            <a:off x="875030" y="834390"/>
                            <a:ext cx="9906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0BF" w:rsidRDefault="00B070BF" w:rsidP="00B070BF">
                              <w:r>
                                <w:rPr>
                                  <w:color w:val="000000"/>
                                  <w:sz w:val="14"/>
                                  <w:szCs w:val="14"/>
                                </w:rPr>
                                <w:t>63</w:t>
                              </w:r>
                            </w:p>
                          </w:txbxContent>
                        </wps:txbx>
                        <wps:bodyPr rot="0" vert="horz" wrap="none" lIns="0" tIns="0" rIns="0" bIns="0" anchor="t" anchorCtr="0" upright="1">
                          <a:spAutoFit/>
                        </wps:bodyPr>
                      </wps:wsp>
                      <wps:wsp>
                        <wps:cNvPr id="72" name="Rectangle 142"/>
                        <wps:cNvSpPr>
                          <a:spLocks noChangeArrowheads="1"/>
                        </wps:cNvSpPr>
                        <wps:spPr bwMode="auto">
                          <a:xfrm>
                            <a:off x="5159375" y="2519680"/>
                            <a:ext cx="4953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0BF" w:rsidRDefault="00B070BF" w:rsidP="00B070BF">
                              <w:r>
                                <w:rPr>
                                  <w:color w:val="000000"/>
                                  <w:sz w:val="14"/>
                                  <w:szCs w:val="14"/>
                                </w:rPr>
                                <w:t>9</w:t>
                              </w:r>
                            </w:p>
                          </w:txbxContent>
                        </wps:txbx>
                        <wps:bodyPr rot="0" vert="horz" wrap="none" lIns="0" tIns="0" rIns="0" bIns="0" anchor="t" anchorCtr="0" upright="1">
                          <a:spAutoFit/>
                        </wps:bodyPr>
                      </wps:wsp>
                      <wps:wsp>
                        <wps:cNvPr id="73" name="Rectangle 143"/>
                        <wps:cNvSpPr>
                          <a:spLocks noChangeArrowheads="1"/>
                        </wps:cNvSpPr>
                        <wps:spPr bwMode="auto">
                          <a:xfrm>
                            <a:off x="4291965" y="2494915"/>
                            <a:ext cx="9906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0BF" w:rsidRDefault="00B070BF" w:rsidP="00B070BF">
                              <w:r>
                                <w:rPr>
                                  <w:color w:val="000000"/>
                                  <w:sz w:val="14"/>
                                  <w:szCs w:val="14"/>
                                </w:rPr>
                                <w:t>10</w:t>
                              </w:r>
                            </w:p>
                          </w:txbxContent>
                        </wps:txbx>
                        <wps:bodyPr rot="0" vert="horz" wrap="none" lIns="0" tIns="0" rIns="0" bIns="0" anchor="t" anchorCtr="0" upright="1">
                          <a:spAutoFit/>
                        </wps:bodyPr>
                      </wps:wsp>
                      <wps:wsp>
                        <wps:cNvPr id="74" name="Rectangle 144"/>
                        <wps:cNvSpPr>
                          <a:spLocks noChangeArrowheads="1"/>
                        </wps:cNvSpPr>
                        <wps:spPr bwMode="auto">
                          <a:xfrm>
                            <a:off x="3434080" y="2302510"/>
                            <a:ext cx="9906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0BF" w:rsidRDefault="00B070BF" w:rsidP="00B070BF">
                              <w:r>
                                <w:rPr>
                                  <w:color w:val="000000"/>
                                  <w:sz w:val="14"/>
                                  <w:szCs w:val="14"/>
                                </w:rPr>
                                <w:t>16</w:t>
                              </w:r>
                            </w:p>
                          </w:txbxContent>
                        </wps:txbx>
                        <wps:bodyPr rot="0" vert="horz" wrap="none" lIns="0" tIns="0" rIns="0" bIns="0" anchor="t" anchorCtr="0" upright="1">
                          <a:spAutoFit/>
                        </wps:bodyPr>
                      </wps:wsp>
                      <wps:wsp>
                        <wps:cNvPr id="75" name="Rectangle 145"/>
                        <wps:cNvSpPr>
                          <a:spLocks noChangeArrowheads="1"/>
                        </wps:cNvSpPr>
                        <wps:spPr bwMode="auto">
                          <a:xfrm>
                            <a:off x="2583815" y="1927225"/>
                            <a:ext cx="9906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0BF" w:rsidRDefault="00B070BF" w:rsidP="00B070BF">
                              <w:r>
                                <w:rPr>
                                  <w:color w:val="000000"/>
                                  <w:sz w:val="14"/>
                                  <w:szCs w:val="14"/>
                                </w:rPr>
                                <w:t>28</w:t>
                              </w:r>
                            </w:p>
                          </w:txbxContent>
                        </wps:txbx>
                        <wps:bodyPr rot="0" vert="horz" wrap="none" lIns="0" tIns="0" rIns="0" bIns="0" anchor="t" anchorCtr="0" upright="1">
                          <a:spAutoFit/>
                        </wps:bodyPr>
                      </wps:wsp>
                      <wps:wsp>
                        <wps:cNvPr id="76" name="Rectangle 146"/>
                        <wps:cNvSpPr>
                          <a:spLocks noChangeArrowheads="1"/>
                        </wps:cNvSpPr>
                        <wps:spPr bwMode="auto">
                          <a:xfrm>
                            <a:off x="1733550" y="1334770"/>
                            <a:ext cx="9906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0BF" w:rsidRDefault="00B070BF" w:rsidP="00B070BF">
                              <w:r>
                                <w:rPr>
                                  <w:color w:val="000000"/>
                                  <w:sz w:val="14"/>
                                  <w:szCs w:val="14"/>
                                </w:rPr>
                                <w:t>47</w:t>
                              </w:r>
                            </w:p>
                          </w:txbxContent>
                        </wps:txbx>
                        <wps:bodyPr rot="0" vert="horz" wrap="none" lIns="0" tIns="0" rIns="0" bIns="0" anchor="t" anchorCtr="0" upright="1">
                          <a:spAutoFit/>
                        </wps:bodyPr>
                      </wps:wsp>
                      <wps:wsp>
                        <wps:cNvPr id="77" name="Rectangle 147"/>
                        <wps:cNvSpPr>
                          <a:spLocks noChangeArrowheads="1"/>
                        </wps:cNvSpPr>
                        <wps:spPr bwMode="auto">
                          <a:xfrm>
                            <a:off x="191770" y="2711450"/>
                            <a:ext cx="4953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0BF" w:rsidRDefault="00B070BF" w:rsidP="00B070BF">
                              <w:r>
                                <w:rPr>
                                  <w:color w:val="000000"/>
                                  <w:sz w:val="14"/>
                                  <w:szCs w:val="14"/>
                                </w:rPr>
                                <w:t>0</w:t>
                              </w:r>
                            </w:p>
                          </w:txbxContent>
                        </wps:txbx>
                        <wps:bodyPr rot="0" vert="horz" wrap="none" lIns="0" tIns="0" rIns="0" bIns="0" anchor="t" anchorCtr="0" upright="1">
                          <a:spAutoFit/>
                        </wps:bodyPr>
                      </wps:wsp>
                      <wps:wsp>
                        <wps:cNvPr id="78" name="Rectangle 148"/>
                        <wps:cNvSpPr>
                          <a:spLocks noChangeArrowheads="1"/>
                        </wps:cNvSpPr>
                        <wps:spPr bwMode="auto">
                          <a:xfrm>
                            <a:off x="141605" y="2402840"/>
                            <a:ext cx="9906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0BF" w:rsidRDefault="00B070BF" w:rsidP="00B070BF">
                              <w:r>
                                <w:rPr>
                                  <w:color w:val="000000"/>
                                  <w:sz w:val="14"/>
                                  <w:szCs w:val="14"/>
                                </w:rPr>
                                <w:t>10</w:t>
                              </w:r>
                            </w:p>
                          </w:txbxContent>
                        </wps:txbx>
                        <wps:bodyPr rot="0" vert="horz" wrap="none" lIns="0" tIns="0" rIns="0" bIns="0" anchor="t" anchorCtr="0" upright="1">
                          <a:spAutoFit/>
                        </wps:bodyPr>
                      </wps:wsp>
                      <wps:wsp>
                        <wps:cNvPr id="79" name="Rectangle 149"/>
                        <wps:cNvSpPr>
                          <a:spLocks noChangeArrowheads="1"/>
                        </wps:cNvSpPr>
                        <wps:spPr bwMode="auto">
                          <a:xfrm>
                            <a:off x="141605" y="2085975"/>
                            <a:ext cx="9906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0BF" w:rsidRDefault="00B070BF" w:rsidP="00B070BF">
                              <w:r>
                                <w:rPr>
                                  <w:color w:val="000000"/>
                                  <w:sz w:val="14"/>
                                  <w:szCs w:val="14"/>
                                </w:rPr>
                                <w:t>20</w:t>
                              </w:r>
                            </w:p>
                          </w:txbxContent>
                        </wps:txbx>
                        <wps:bodyPr rot="0" vert="horz" wrap="none" lIns="0" tIns="0" rIns="0" bIns="0" anchor="t" anchorCtr="0" upright="1">
                          <a:spAutoFit/>
                        </wps:bodyPr>
                      </wps:wsp>
                      <wps:wsp>
                        <wps:cNvPr id="80" name="Rectangle 150"/>
                        <wps:cNvSpPr>
                          <a:spLocks noChangeArrowheads="1"/>
                        </wps:cNvSpPr>
                        <wps:spPr bwMode="auto">
                          <a:xfrm>
                            <a:off x="141605" y="1777365"/>
                            <a:ext cx="9906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0BF" w:rsidRDefault="00B070BF" w:rsidP="00B070BF">
                              <w:r>
                                <w:rPr>
                                  <w:color w:val="000000"/>
                                  <w:sz w:val="14"/>
                                  <w:szCs w:val="14"/>
                                </w:rPr>
                                <w:t>30</w:t>
                              </w:r>
                            </w:p>
                          </w:txbxContent>
                        </wps:txbx>
                        <wps:bodyPr rot="0" vert="horz" wrap="none" lIns="0" tIns="0" rIns="0" bIns="0" anchor="t" anchorCtr="0" upright="1">
                          <a:spAutoFit/>
                        </wps:bodyPr>
                      </wps:wsp>
                      <wps:wsp>
                        <wps:cNvPr id="81" name="Rectangle 151"/>
                        <wps:cNvSpPr>
                          <a:spLocks noChangeArrowheads="1"/>
                        </wps:cNvSpPr>
                        <wps:spPr bwMode="auto">
                          <a:xfrm>
                            <a:off x="141605" y="1459865"/>
                            <a:ext cx="9906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0BF" w:rsidRDefault="00B070BF" w:rsidP="00B070BF">
                              <w:r>
                                <w:rPr>
                                  <w:color w:val="000000"/>
                                  <w:sz w:val="14"/>
                                  <w:szCs w:val="14"/>
                                </w:rPr>
                                <w:t>40</w:t>
                              </w:r>
                            </w:p>
                          </w:txbxContent>
                        </wps:txbx>
                        <wps:bodyPr rot="0" vert="horz" wrap="none" lIns="0" tIns="0" rIns="0" bIns="0" anchor="t" anchorCtr="0" upright="1">
                          <a:spAutoFit/>
                        </wps:bodyPr>
                      </wps:wsp>
                      <wps:wsp>
                        <wps:cNvPr id="82" name="Rectangle 152"/>
                        <wps:cNvSpPr>
                          <a:spLocks noChangeArrowheads="1"/>
                        </wps:cNvSpPr>
                        <wps:spPr bwMode="auto">
                          <a:xfrm>
                            <a:off x="141605" y="1151255"/>
                            <a:ext cx="9906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0BF" w:rsidRDefault="00B070BF" w:rsidP="00B070BF">
                              <w:r>
                                <w:rPr>
                                  <w:color w:val="000000"/>
                                  <w:sz w:val="14"/>
                                  <w:szCs w:val="14"/>
                                </w:rPr>
                                <w:t>50</w:t>
                              </w:r>
                            </w:p>
                          </w:txbxContent>
                        </wps:txbx>
                        <wps:bodyPr rot="0" vert="horz" wrap="none" lIns="0" tIns="0" rIns="0" bIns="0" anchor="t" anchorCtr="0" upright="1">
                          <a:spAutoFit/>
                        </wps:bodyPr>
                      </wps:wsp>
                      <wps:wsp>
                        <wps:cNvPr id="83" name="Rectangle 153"/>
                        <wps:cNvSpPr>
                          <a:spLocks noChangeArrowheads="1"/>
                        </wps:cNvSpPr>
                        <wps:spPr bwMode="auto">
                          <a:xfrm>
                            <a:off x="141605" y="834390"/>
                            <a:ext cx="9906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0BF" w:rsidRDefault="00B070BF" w:rsidP="00B070BF">
                              <w:r>
                                <w:rPr>
                                  <w:color w:val="000000"/>
                                  <w:sz w:val="14"/>
                                  <w:szCs w:val="14"/>
                                </w:rPr>
                                <w:t>60</w:t>
                              </w:r>
                            </w:p>
                          </w:txbxContent>
                        </wps:txbx>
                        <wps:bodyPr rot="0" vert="horz" wrap="none" lIns="0" tIns="0" rIns="0" bIns="0" anchor="t" anchorCtr="0" upright="1">
                          <a:spAutoFit/>
                        </wps:bodyPr>
                      </wps:wsp>
                      <wps:wsp>
                        <wps:cNvPr id="84" name="Rectangle 154"/>
                        <wps:cNvSpPr>
                          <a:spLocks noChangeArrowheads="1"/>
                        </wps:cNvSpPr>
                        <wps:spPr bwMode="auto">
                          <a:xfrm>
                            <a:off x="141605" y="525780"/>
                            <a:ext cx="9906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0BF" w:rsidRDefault="00B070BF" w:rsidP="00B070BF">
                              <w:r>
                                <w:rPr>
                                  <w:color w:val="000000"/>
                                  <w:sz w:val="14"/>
                                  <w:szCs w:val="14"/>
                                </w:rPr>
                                <w:t>70</w:t>
                              </w:r>
                            </w:p>
                          </w:txbxContent>
                        </wps:txbx>
                        <wps:bodyPr rot="0" vert="horz" wrap="none" lIns="0" tIns="0" rIns="0" bIns="0" anchor="t" anchorCtr="0" upright="1">
                          <a:spAutoFit/>
                        </wps:bodyPr>
                      </wps:wsp>
                      <wps:wsp>
                        <wps:cNvPr id="85" name="Rectangle 155"/>
                        <wps:cNvSpPr>
                          <a:spLocks noChangeArrowheads="1"/>
                        </wps:cNvSpPr>
                        <wps:spPr bwMode="auto">
                          <a:xfrm>
                            <a:off x="500380" y="2844800"/>
                            <a:ext cx="49911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0BF" w:rsidRPr="00337705" w:rsidRDefault="00B070BF" w:rsidP="00B070BF">
                              <w:r>
                                <w:rPr>
                                  <w:color w:val="000000"/>
                                  <w:sz w:val="14"/>
                                  <w:szCs w:val="14"/>
                                </w:rPr>
                                <w:t>Acuerdos de</w:t>
                              </w:r>
                            </w:p>
                          </w:txbxContent>
                        </wps:txbx>
                        <wps:bodyPr rot="0" vert="horz" wrap="none" lIns="0" tIns="0" rIns="0" bIns="0" anchor="t" anchorCtr="0" upright="1">
                          <a:spAutoFit/>
                        </wps:bodyPr>
                      </wps:wsp>
                      <wps:wsp>
                        <wps:cNvPr id="86" name="Rectangle 156"/>
                        <wps:cNvSpPr>
                          <a:spLocks noChangeArrowheads="1"/>
                        </wps:cNvSpPr>
                        <wps:spPr bwMode="auto">
                          <a:xfrm>
                            <a:off x="491490" y="2969895"/>
                            <a:ext cx="48450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0BF" w:rsidRPr="00337705" w:rsidRDefault="00B070BF" w:rsidP="00B070BF">
                              <w:proofErr w:type="gramStart"/>
                              <w:r>
                                <w:rPr>
                                  <w:color w:val="000000"/>
                                  <w:sz w:val="14"/>
                                  <w:szCs w:val="14"/>
                                </w:rPr>
                                <w:t>cooperación</w:t>
                              </w:r>
                              <w:proofErr w:type="gramEnd"/>
                            </w:p>
                          </w:txbxContent>
                        </wps:txbx>
                        <wps:bodyPr rot="0" vert="horz" wrap="none" lIns="0" tIns="0" rIns="0" bIns="0" anchor="t" anchorCtr="0" upright="1">
                          <a:noAutofit/>
                        </wps:bodyPr>
                      </wps:wsp>
                      <wps:wsp>
                        <wps:cNvPr id="87" name="Rectangle 157"/>
                        <wps:cNvSpPr>
                          <a:spLocks noChangeArrowheads="1"/>
                        </wps:cNvSpPr>
                        <wps:spPr bwMode="auto">
                          <a:xfrm>
                            <a:off x="1224915" y="2844800"/>
                            <a:ext cx="72136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0BF" w:rsidRDefault="00B070BF" w:rsidP="00B070BF">
                              <w:r>
                                <w:rPr>
                                  <w:color w:val="000000"/>
                                  <w:sz w:val="14"/>
                                  <w:szCs w:val="14"/>
                                </w:rPr>
                                <w:t>IPAS para marcas</w:t>
                              </w:r>
                            </w:p>
                          </w:txbxContent>
                        </wps:txbx>
                        <wps:bodyPr rot="0" vert="horz" wrap="none" lIns="0" tIns="0" rIns="0" bIns="0" anchor="t" anchorCtr="0" upright="1">
                          <a:spAutoFit/>
                        </wps:bodyPr>
                      </wps:wsp>
                      <wps:wsp>
                        <wps:cNvPr id="88" name="Rectangle 158"/>
                        <wps:cNvSpPr>
                          <a:spLocks noChangeArrowheads="1"/>
                        </wps:cNvSpPr>
                        <wps:spPr bwMode="auto">
                          <a:xfrm>
                            <a:off x="2175510" y="2844800"/>
                            <a:ext cx="77152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0BF" w:rsidRDefault="00B070BF" w:rsidP="00B070BF">
                              <w:r>
                                <w:rPr>
                                  <w:color w:val="000000"/>
                                  <w:sz w:val="14"/>
                                  <w:szCs w:val="14"/>
                                </w:rPr>
                                <w:t>IPAS para patentes</w:t>
                              </w:r>
                            </w:p>
                          </w:txbxContent>
                        </wps:txbx>
                        <wps:bodyPr rot="0" vert="horz" wrap="none" lIns="0" tIns="0" rIns="0" bIns="0" anchor="t" anchorCtr="0" upright="1">
                          <a:spAutoFit/>
                        </wps:bodyPr>
                      </wps:wsp>
                      <wps:wsp>
                        <wps:cNvPr id="89" name="Rectangle 159"/>
                        <wps:cNvSpPr>
                          <a:spLocks noChangeArrowheads="1"/>
                        </wps:cNvSpPr>
                        <wps:spPr bwMode="auto">
                          <a:xfrm>
                            <a:off x="3083560" y="2844800"/>
                            <a:ext cx="44005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0BF" w:rsidRDefault="00B070BF" w:rsidP="00B070BF">
                              <w:proofErr w:type="spellStart"/>
                              <w:r>
                                <w:rPr>
                                  <w:color w:val="000000"/>
                                  <w:sz w:val="14"/>
                                  <w:szCs w:val="14"/>
                                </w:rPr>
                                <w:t>WIPOScan</w:t>
                              </w:r>
                              <w:proofErr w:type="spellEnd"/>
                            </w:p>
                          </w:txbxContent>
                        </wps:txbx>
                        <wps:bodyPr rot="0" vert="horz" wrap="none" lIns="0" tIns="0" rIns="0" bIns="0" anchor="t" anchorCtr="0" upright="1">
                          <a:spAutoFit/>
                        </wps:bodyPr>
                      </wps:wsp>
                      <wps:wsp>
                        <wps:cNvPr id="90" name="Rectangle 160"/>
                        <wps:cNvSpPr>
                          <a:spLocks noChangeArrowheads="1"/>
                        </wps:cNvSpPr>
                        <wps:spPr bwMode="auto">
                          <a:xfrm>
                            <a:off x="3909060" y="2844800"/>
                            <a:ext cx="57340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0BF" w:rsidRDefault="00B070BF" w:rsidP="00B070BF">
                              <w:r>
                                <w:rPr>
                                  <w:color w:val="000000"/>
                                  <w:sz w:val="14"/>
                                  <w:szCs w:val="14"/>
                                </w:rPr>
                                <w:t xml:space="preserve">Sistema árabe </w:t>
                              </w:r>
                            </w:p>
                          </w:txbxContent>
                        </wps:txbx>
                        <wps:bodyPr rot="0" vert="horz" wrap="none" lIns="0" tIns="0" rIns="0" bIns="0" anchor="t" anchorCtr="0" upright="1">
                          <a:spAutoFit/>
                        </wps:bodyPr>
                      </wps:wsp>
                      <wps:wsp>
                        <wps:cNvPr id="91" name="Rectangle 161"/>
                        <wps:cNvSpPr>
                          <a:spLocks noChangeArrowheads="1"/>
                        </wps:cNvSpPr>
                        <wps:spPr bwMode="auto">
                          <a:xfrm>
                            <a:off x="3891915" y="2969895"/>
                            <a:ext cx="69215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0BF" w:rsidRPr="00CC16B5" w:rsidRDefault="00B070BF" w:rsidP="00B070BF">
                              <w:proofErr w:type="gramStart"/>
                              <w:r>
                                <w:rPr>
                                  <w:color w:val="000000"/>
                                  <w:sz w:val="14"/>
                                  <w:szCs w:val="14"/>
                                </w:rPr>
                                <w:t>de</w:t>
                              </w:r>
                              <w:proofErr w:type="gramEnd"/>
                              <w:r>
                                <w:rPr>
                                  <w:color w:val="000000"/>
                                  <w:sz w:val="14"/>
                                  <w:szCs w:val="14"/>
                                </w:rPr>
                                <w:t xml:space="preserve"> gestión de P.I.</w:t>
                              </w:r>
                            </w:p>
                          </w:txbxContent>
                        </wps:txbx>
                        <wps:bodyPr rot="0" vert="horz" wrap="none" lIns="0" tIns="0" rIns="0" bIns="0" anchor="t" anchorCtr="0" upright="1">
                          <a:spAutoFit/>
                        </wps:bodyPr>
                      </wps:wsp>
                      <wps:wsp>
                        <wps:cNvPr id="92" name="Rectangle 162"/>
                        <wps:cNvSpPr>
                          <a:spLocks noChangeArrowheads="1"/>
                        </wps:cNvSpPr>
                        <wps:spPr bwMode="auto">
                          <a:xfrm>
                            <a:off x="4008120" y="3072130"/>
                            <a:ext cx="36068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0BF" w:rsidRDefault="00B070BF" w:rsidP="00B070BF">
                              <w:r>
                                <w:rPr>
                                  <w:color w:val="000000"/>
                                  <w:sz w:val="14"/>
                                  <w:szCs w:val="14"/>
                                </w:rPr>
                                <w:t xml:space="preserve"> (AIPMS)</w:t>
                              </w:r>
                            </w:p>
                          </w:txbxContent>
                        </wps:txbx>
                        <wps:bodyPr rot="0" vert="horz" wrap="none" lIns="0" tIns="0" rIns="0" bIns="0" anchor="t" anchorCtr="0" upright="1">
                          <a:spAutoFit/>
                        </wps:bodyPr>
                      </wps:wsp>
                      <wps:wsp>
                        <wps:cNvPr id="93" name="Rectangle 163"/>
                        <wps:cNvSpPr>
                          <a:spLocks noChangeArrowheads="1"/>
                        </wps:cNvSpPr>
                        <wps:spPr bwMode="auto">
                          <a:xfrm>
                            <a:off x="3931920" y="3174365"/>
                            <a:ext cx="63627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0BF" w:rsidRPr="00CC16B5" w:rsidRDefault="00B070BF" w:rsidP="00B070BF">
                              <w:proofErr w:type="gramStart"/>
                              <w:r>
                                <w:rPr>
                                  <w:color w:val="000000"/>
                                  <w:sz w:val="14"/>
                                  <w:szCs w:val="14"/>
                                </w:rPr>
                                <w:t>para</w:t>
                              </w:r>
                              <w:proofErr w:type="gramEnd"/>
                              <w:r>
                                <w:rPr>
                                  <w:color w:val="000000"/>
                                  <w:sz w:val="14"/>
                                  <w:szCs w:val="14"/>
                                </w:rPr>
                                <w:t xml:space="preserve"> marcas</w:t>
                              </w:r>
                            </w:p>
                          </w:txbxContent>
                        </wps:txbx>
                        <wps:bodyPr rot="0" vert="horz" wrap="square" lIns="0" tIns="0" rIns="0" bIns="0" anchor="t" anchorCtr="0" upright="1">
                          <a:spAutoFit/>
                        </wps:bodyPr>
                      </wps:wsp>
                      <wps:wsp>
                        <wps:cNvPr id="94" name="Rectangle 164"/>
                        <wps:cNvSpPr>
                          <a:spLocks noChangeArrowheads="1"/>
                        </wps:cNvSpPr>
                        <wps:spPr bwMode="auto">
                          <a:xfrm>
                            <a:off x="4742180" y="2844800"/>
                            <a:ext cx="57340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0BF" w:rsidRPr="00CC16B5" w:rsidRDefault="00B070BF" w:rsidP="00B070BF">
                              <w:r>
                                <w:rPr>
                                  <w:color w:val="000000"/>
                                  <w:sz w:val="14"/>
                                  <w:szCs w:val="14"/>
                                </w:rPr>
                                <w:t xml:space="preserve">Sistema árabe </w:t>
                              </w:r>
                            </w:p>
                          </w:txbxContent>
                        </wps:txbx>
                        <wps:bodyPr rot="0" vert="horz" wrap="none" lIns="0" tIns="0" rIns="0" bIns="0" anchor="t" anchorCtr="0" upright="1">
                          <a:spAutoFit/>
                        </wps:bodyPr>
                      </wps:wsp>
                      <wps:wsp>
                        <wps:cNvPr id="95" name="Rectangle 165"/>
                        <wps:cNvSpPr>
                          <a:spLocks noChangeArrowheads="1"/>
                        </wps:cNvSpPr>
                        <wps:spPr bwMode="auto">
                          <a:xfrm>
                            <a:off x="4742180" y="2969895"/>
                            <a:ext cx="69215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0BF" w:rsidRPr="00CC16B5" w:rsidRDefault="00B070BF" w:rsidP="00B070BF">
                              <w:proofErr w:type="gramStart"/>
                              <w:r>
                                <w:rPr>
                                  <w:color w:val="000000"/>
                                  <w:sz w:val="14"/>
                                  <w:szCs w:val="14"/>
                                </w:rPr>
                                <w:t>de</w:t>
                              </w:r>
                              <w:proofErr w:type="gramEnd"/>
                              <w:r>
                                <w:rPr>
                                  <w:color w:val="000000"/>
                                  <w:sz w:val="14"/>
                                  <w:szCs w:val="14"/>
                                </w:rPr>
                                <w:t xml:space="preserve"> gestión de P.I.</w:t>
                              </w:r>
                            </w:p>
                          </w:txbxContent>
                        </wps:txbx>
                        <wps:bodyPr rot="0" vert="horz" wrap="none" lIns="0" tIns="0" rIns="0" bIns="0" anchor="t" anchorCtr="0" upright="1">
                          <a:spAutoFit/>
                        </wps:bodyPr>
                      </wps:wsp>
                      <wps:wsp>
                        <wps:cNvPr id="96" name="Rectangle 166"/>
                        <wps:cNvSpPr>
                          <a:spLocks noChangeArrowheads="1"/>
                        </wps:cNvSpPr>
                        <wps:spPr bwMode="auto">
                          <a:xfrm>
                            <a:off x="4833620" y="3072130"/>
                            <a:ext cx="33591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0BF" w:rsidRPr="00CC16B5" w:rsidRDefault="00B070BF" w:rsidP="00B070BF">
                              <w:r>
                                <w:rPr>
                                  <w:color w:val="000000"/>
                                  <w:sz w:val="14"/>
                                  <w:szCs w:val="14"/>
                                </w:rPr>
                                <w:t>(AIPMS)</w:t>
                              </w:r>
                            </w:p>
                          </w:txbxContent>
                        </wps:txbx>
                        <wps:bodyPr rot="0" vert="horz" wrap="none" lIns="0" tIns="0" rIns="0" bIns="0" anchor="t" anchorCtr="0" upright="1">
                          <a:spAutoFit/>
                        </wps:bodyPr>
                      </wps:wsp>
                      <wps:wsp>
                        <wps:cNvPr id="97" name="Rectangle 167"/>
                        <wps:cNvSpPr>
                          <a:spLocks noChangeArrowheads="1"/>
                        </wps:cNvSpPr>
                        <wps:spPr bwMode="auto">
                          <a:xfrm>
                            <a:off x="4771390" y="3174365"/>
                            <a:ext cx="54419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0BF" w:rsidRPr="00CC16B5" w:rsidRDefault="00B070BF" w:rsidP="00B070BF">
                              <w:proofErr w:type="gramStart"/>
                              <w:r>
                                <w:rPr>
                                  <w:color w:val="000000"/>
                                  <w:sz w:val="14"/>
                                  <w:szCs w:val="14"/>
                                </w:rPr>
                                <w:t>para</w:t>
                              </w:r>
                              <w:proofErr w:type="gramEnd"/>
                              <w:r>
                                <w:rPr>
                                  <w:color w:val="000000"/>
                                  <w:sz w:val="14"/>
                                  <w:szCs w:val="14"/>
                                </w:rPr>
                                <w:t xml:space="preserve"> patentes</w:t>
                              </w:r>
                            </w:p>
                          </w:txbxContent>
                        </wps:txbx>
                        <wps:bodyPr rot="0" vert="horz" wrap="none" lIns="0" tIns="0" rIns="0" bIns="0" anchor="t" anchorCtr="0" upright="1">
                          <a:spAutoFit/>
                        </wps:bodyPr>
                      </wps:wsp>
                      <wps:wsp>
                        <wps:cNvPr id="98" name="Rectangle 168"/>
                        <wps:cNvSpPr>
                          <a:spLocks noChangeArrowheads="1"/>
                        </wps:cNvSpPr>
                        <wps:spPr bwMode="auto">
                          <a:xfrm>
                            <a:off x="5509260" y="1435100"/>
                            <a:ext cx="341630" cy="475615"/>
                          </a:xfrm>
                          <a:prstGeom prst="rect">
                            <a:avLst/>
                          </a:prstGeom>
                          <a:solidFill>
                            <a:srgbClr val="FFFFFF"/>
                          </a:solidFill>
                          <a:ln w="0">
                            <a:solidFill>
                              <a:srgbClr val="000000"/>
                            </a:solidFill>
                            <a:miter lim="800000"/>
                            <a:headEnd/>
                            <a:tailEnd/>
                          </a:ln>
                        </wps:spPr>
                        <wps:bodyPr rot="0" vert="horz" wrap="square" lIns="91440" tIns="45720" rIns="91440" bIns="45720" anchor="t" anchorCtr="0" upright="1">
                          <a:noAutofit/>
                        </wps:bodyPr>
                      </wps:wsp>
                      <wps:wsp>
                        <wps:cNvPr id="99" name="Rectangle 169"/>
                        <wps:cNvSpPr>
                          <a:spLocks noChangeArrowheads="1"/>
                        </wps:cNvSpPr>
                        <wps:spPr bwMode="auto">
                          <a:xfrm>
                            <a:off x="5542280" y="1493520"/>
                            <a:ext cx="50165" cy="50165"/>
                          </a:xfrm>
                          <a:prstGeom prst="rect">
                            <a:avLst/>
                          </a:prstGeom>
                          <a:solidFill>
                            <a:srgbClr val="9999FF"/>
                          </a:solidFill>
                          <a:ln w="8255">
                            <a:solidFill>
                              <a:srgbClr val="000000"/>
                            </a:solidFill>
                            <a:miter lim="800000"/>
                            <a:headEnd/>
                            <a:tailEnd/>
                          </a:ln>
                        </wps:spPr>
                        <wps:bodyPr rot="0" vert="horz" wrap="square" lIns="91440" tIns="45720" rIns="91440" bIns="45720" anchor="t" anchorCtr="0" upright="1">
                          <a:noAutofit/>
                        </wps:bodyPr>
                      </wps:wsp>
                      <wps:wsp>
                        <wps:cNvPr id="100" name="Rectangle 170"/>
                        <wps:cNvSpPr>
                          <a:spLocks noChangeArrowheads="1"/>
                        </wps:cNvSpPr>
                        <wps:spPr bwMode="auto">
                          <a:xfrm>
                            <a:off x="5626100" y="1459865"/>
                            <a:ext cx="19812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0BF" w:rsidRDefault="00B070BF" w:rsidP="00B070BF">
                              <w:r>
                                <w:rPr>
                                  <w:color w:val="000000"/>
                                  <w:sz w:val="14"/>
                                  <w:szCs w:val="14"/>
                                </w:rPr>
                                <w:t>2009</w:t>
                              </w:r>
                            </w:p>
                          </w:txbxContent>
                        </wps:txbx>
                        <wps:bodyPr rot="0" vert="horz" wrap="none" lIns="0" tIns="0" rIns="0" bIns="0" anchor="t" anchorCtr="0" upright="1">
                          <a:spAutoFit/>
                        </wps:bodyPr>
                      </wps:wsp>
                      <wps:wsp>
                        <wps:cNvPr id="101" name="Rectangle 171"/>
                        <wps:cNvSpPr>
                          <a:spLocks noChangeArrowheads="1"/>
                        </wps:cNvSpPr>
                        <wps:spPr bwMode="auto">
                          <a:xfrm>
                            <a:off x="5542280" y="1651635"/>
                            <a:ext cx="50165" cy="50165"/>
                          </a:xfrm>
                          <a:prstGeom prst="rect">
                            <a:avLst/>
                          </a:prstGeom>
                          <a:solidFill>
                            <a:srgbClr val="993366"/>
                          </a:solidFill>
                          <a:ln w="8255">
                            <a:solidFill>
                              <a:srgbClr val="000000"/>
                            </a:solidFill>
                            <a:miter lim="800000"/>
                            <a:headEnd/>
                            <a:tailEnd/>
                          </a:ln>
                        </wps:spPr>
                        <wps:bodyPr rot="0" vert="horz" wrap="square" lIns="91440" tIns="45720" rIns="91440" bIns="45720" anchor="t" anchorCtr="0" upright="1">
                          <a:noAutofit/>
                        </wps:bodyPr>
                      </wps:wsp>
                      <wps:wsp>
                        <wps:cNvPr id="102" name="Rectangle 172"/>
                        <wps:cNvSpPr>
                          <a:spLocks noChangeArrowheads="1"/>
                        </wps:cNvSpPr>
                        <wps:spPr bwMode="auto">
                          <a:xfrm>
                            <a:off x="5626100" y="1618615"/>
                            <a:ext cx="19812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0BF" w:rsidRDefault="00B070BF" w:rsidP="00B070BF">
                              <w:r>
                                <w:rPr>
                                  <w:color w:val="000000"/>
                                  <w:sz w:val="14"/>
                                  <w:szCs w:val="14"/>
                                </w:rPr>
                                <w:t>2011</w:t>
                              </w:r>
                            </w:p>
                          </w:txbxContent>
                        </wps:txbx>
                        <wps:bodyPr rot="0" vert="horz" wrap="none" lIns="0" tIns="0" rIns="0" bIns="0" anchor="t" anchorCtr="0" upright="1">
                          <a:spAutoFit/>
                        </wps:bodyPr>
                      </wps:wsp>
                      <wps:wsp>
                        <wps:cNvPr id="103" name="Rectangle 173"/>
                        <wps:cNvSpPr>
                          <a:spLocks noChangeArrowheads="1"/>
                        </wps:cNvSpPr>
                        <wps:spPr bwMode="auto">
                          <a:xfrm>
                            <a:off x="5542280" y="1810385"/>
                            <a:ext cx="50165" cy="50165"/>
                          </a:xfrm>
                          <a:prstGeom prst="rect">
                            <a:avLst/>
                          </a:prstGeom>
                          <a:solidFill>
                            <a:srgbClr val="FFFFCC"/>
                          </a:solidFill>
                          <a:ln w="8255">
                            <a:solidFill>
                              <a:srgbClr val="000000"/>
                            </a:solidFill>
                            <a:miter lim="800000"/>
                            <a:headEnd/>
                            <a:tailEnd/>
                          </a:ln>
                        </wps:spPr>
                        <wps:bodyPr rot="0" vert="horz" wrap="square" lIns="91440" tIns="45720" rIns="91440" bIns="45720" anchor="t" anchorCtr="0" upright="1">
                          <a:noAutofit/>
                        </wps:bodyPr>
                      </wps:wsp>
                      <wps:wsp>
                        <wps:cNvPr id="104" name="Rectangle 174"/>
                        <wps:cNvSpPr>
                          <a:spLocks noChangeArrowheads="1"/>
                        </wps:cNvSpPr>
                        <wps:spPr bwMode="auto">
                          <a:xfrm>
                            <a:off x="5626100" y="1777365"/>
                            <a:ext cx="19812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0BF" w:rsidRDefault="00B070BF" w:rsidP="00B070BF">
                              <w:r>
                                <w:rPr>
                                  <w:color w:val="000000"/>
                                  <w:sz w:val="14"/>
                                  <w:szCs w:val="14"/>
                                </w:rPr>
                                <w:t>2012</w:t>
                              </w:r>
                            </w:p>
                          </w:txbxContent>
                        </wps:txbx>
                        <wps:bodyPr rot="0" vert="horz" wrap="none" lIns="0" tIns="0" rIns="0" bIns="0" anchor="t" anchorCtr="0" upright="1">
                          <a:spAutoFit/>
                        </wps:bodyPr>
                      </wps:wsp>
                      <wps:wsp>
                        <wps:cNvPr id="105" name="Rectangle 175"/>
                        <wps:cNvSpPr>
                          <a:spLocks noChangeArrowheads="1"/>
                        </wps:cNvSpPr>
                        <wps:spPr bwMode="auto">
                          <a:xfrm>
                            <a:off x="41910" y="41910"/>
                            <a:ext cx="5842000" cy="3411855"/>
                          </a:xfrm>
                          <a:prstGeom prst="rect">
                            <a:avLst/>
                          </a:prstGeom>
                          <a:noFill/>
                          <a:ln w="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c:wpc>
                  </a:graphicData>
                </a:graphic>
              </wp:inline>
            </w:drawing>
          </mc:Choice>
          <mc:Fallback>
            <w:pict>
              <v:group id="Canvas 106" o:spid="_x0000_s1106" editas="canvas" style="width:594.2pt;height:275.25pt;mso-position-horizontal-relative:char;mso-position-vertical-relative:line" coordsize="75463,349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">
                <v:shape id="_x0000_s1107" type="#_x0000_t75" style="position:absolute;width:75463;height:34956;visibility:visible;mso-wrap-style:square">
                  <v:fill o:detectmouseclick="t"/>
                  <v:path o:connecttype="none"/>
                </v:shape>
                <v:rect id="Rectangle 84" o:spid="_x0000_s1108" style="position:absolute;left:419;top:419;width:58420;height:341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7S9/cIA&#10;AADbAAAADwAAAGRycy9kb3ducmV2LnhtbERPPWvDMBDdA/0P4gLdYjmhBONGCXHApEMXp4F6PKyr&#10;ZWqdXEuN3X8fFQrd7vE+b3eYbS9uNPrOsYJ1koIgbpzuuFVwfStXGQgfkDX2jknBD3k47B8WO8y1&#10;m7ii2yW0Ioawz1GBCWHIpfSNIYs+cQNx5D7caDFEOLZSjzjFcNvLTZpupcWOY4PBgU6Gms/Lt1VA&#10;/Vf5nmXHqj4XRZMOujbn11qpx+V8fAYRaA7/4j/3i47zn+D3l3iA3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L39wgAAANsAAAAPAAAAAAAAAAAAAAAAAJgCAABkcnMvZG93&#10;bnJldi54bWxQSwUGAAAAAAQABAD1AAAAhwMAAAAA&#10;" strokeweight="0"/>
                <v:rect id="Rectangle 85" o:spid="_x0000_s1109" style="position:absolute;left:3086;top:5842;width:51085;height:218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R3sAA&#10;AADbAAAADwAAAGRycy9kb3ducmV2LnhtbERPS2sCMRC+F/wPYQRvNVu1IlujiKD2VnzgedhMd7du&#10;Jksy6vrvG6HQ23x8z5kvO9eoG4VYezbwNsxAERfe1lwaOB03rzNQUZAtNp7JwIMiLBe9lznm1t95&#10;T7eDlCqFcMzRQCXS5lrHoiKHcehb4sR9++BQEgyltgHvKdw1epRlU+2w5tRQYUvriorL4eoM6OM0&#10;yGU8Gf/sJY5W7rrdfRVnYwb9bvUBSqiTf/Gf+9Om+e/w/CUdoB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W+R3sAAAADbAAAADwAAAAAAAAAAAAAAAACYAgAAZHJzL2Rvd25y&#10;ZXYueG1sUEsFBgAAAAAEAAQA9QAAAIUDAAAAAA==&#10;" fillcolor="silver" stroked="f"/>
                <v:line id="Line 86" o:spid="_x0000_s1110" style="position:absolute;visibility:visible;mso-wrap-style:square" from="3086,24612" to="54171,246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yKwx8EAAADbAAAADwAAAGRycy9kb3ducmV2LnhtbERPTWvCQBC9F/wPywje6saCaYxuRKRF&#10;e2utgschOyZLsrMhu9X477uFgrd5vM9ZrQfbiiv13jhWMJsmIIhLpw1XCo7f788ZCB+QNbaOScGd&#10;PKyL0dMKc+1u/EXXQ6hEDGGfo4I6hC6X0pc1WfRT1xFH7uJ6iyHCvpK6x1sMt618SZJUWjQcG2rs&#10;aFtT2Rx+rALzme7mH6+nxUm+7cLsnDWZsUelJuNhswQRaAgP8b97r+P8FP5+iQfI4h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jIrDHwQAAANsAAAAPAAAAAAAAAAAAAAAA&#10;AKECAABkcnMvZG93bnJldi54bWxQSwUGAAAAAAQABAD5AAAAjwMAAAAA&#10;" strokeweight="0"/>
                <v:line id="Line 87" o:spid="_x0000_s1111" style="position:absolute;visibility:visible;mso-wrap-style:square" from="3086,21443" to="54171,214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G4VXMAAAADbAAAADwAAAGRycy9kb3ducmV2LnhtbERPTYvCMBC9C/sfwix409QFtVuNsiyK&#10;elNXwePQzLbBZlKaqPXfG0HwNo/3OdN5aytxpcYbxwoG/QQEce604ULB4W/ZS0H4gKyxckwK7uRh&#10;PvvoTDHT7sY7uu5DIWII+wwVlCHUmZQ+L8mi77uaOHL/rrEYImwKqRu8xXBbya8kGUmLhmNDiTX9&#10;lpSf9xerwGxHq+FmfPw+ysUqDE7pOTX2oFT3s/2ZgAjUhrf45V7rOH8Mz1/iAXL2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ExuFVzAAAAA2wAAAA8AAAAAAAAAAAAAAAAA&#10;oQIAAGRycy9kb3ducmV2LnhtbFBLBQYAAAAABAAEAPkAAACOAwAAAAA=&#10;" strokeweight="0"/>
                <v:line id="Line 88" o:spid="_x0000_s1112" style="position:absolute;visibility:visible;mso-wrap-style:square" from="3086,18357" to="54171,183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fGBLsQAAADbAAAADwAAAGRycy9kb3ducmV2LnhtbESPQWvCQBCF74L/YRmhN91YqI3RVURa&#10;bG9tquBxyI7JYnY2ZLea/vvOodDbDO/Ne9+st4Nv1Y366AIbmM8yUMRVsI5rA8ev12kOKiZki21g&#10;MvBDEbab8WiNhQ13/qRbmWolIRwLNNCk1BVax6ohj3EWOmLRLqH3mGTta217vEu4b/Vjli20R8fS&#10;0GBH+4aqa/ntDbiPxeHp/fm0POmXQ5qf82vu/NGYh8mwW4FKNKR/89/1mxV8gZVfZAC9+Q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98YEuxAAAANsAAAAPAAAAAAAAAAAA&#10;AAAAAKECAABkcnMvZG93bnJldi54bWxQSwUGAAAAAAQABAD5AAAAkgMAAAAA&#10;" strokeweight="0"/>
                <v:line id="Line 89" o:spid="_x0000_s1113" style="position:absolute;visibility:visible;mso-wrap-style:square" from="3086,15182" to="54171,151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r0ktcIAAADbAAAADwAAAGRycy9kb3ducmV2LnhtbERPTWvCQBC9C/0PyxR6042FahJdpZSW&#10;6M2mCj0O2TFZzM6G7NbEf+8WCr3N433OejvaVlyp98axgvksAUFcOW24VnD8+pimIHxA1tg6JgU3&#10;8rDdPEzWmGs38Cddy1CLGMI+RwVNCF0upa8asuhnriOO3Nn1FkOEfS11j0MMt618TpKFtGg4NjTY&#10;0VtD1aX8sQrMYVG87Jen7CTfizD/Ti+psUelnh7H1xWIQGP4F/+5dzrOz+D3l3iA3N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r0ktcIAAADbAAAADwAAAAAAAAAAAAAA&#10;AAChAgAAZHJzL2Rvd25yZXYueG1sUEsFBgAAAAAEAAQA+QAAAJADAAAAAA==&#10;" strokeweight="0"/>
                <v:line id="Line 90" o:spid="_x0000_s1114" style="position:absolute;visibility:visible;mso-wrap-style:square" from="3086,12096" to="54171,121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etHlb8AAADbAAAADwAAAGRycy9kb3ducmV2LnhtbERPy4rCMBTdD/gP4QruxlRBrdUoIg6O&#10;O5/g8tJc22BzU5qMdv7eLASXh/OeL1tbiQc13jhWMOgnIIhzpw0XCs6nn+8UhA/IGivHpOCfPCwX&#10;na85Zto9+UCPYyhEDGGfoYIyhDqT0uclWfR9VxNH7uYaiyHCppC6wWcMt5UcJslYWjQcG0qsaV1S&#10;fj/+WQVmP96OdpPL9CI32zC4pvfU2LNSvW67moEI1IaP+O3+1QqGcX38En+AXLw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DetHlb8AAADbAAAADwAAAAAAAAAAAAAAAACh&#10;AgAAZHJzL2Rvd25yZXYueG1sUEsFBgAAAAAEAAQA+QAAAI0DAAAAAA==&#10;" strokeweight="0"/>
                <v:line id="Line 91" o:spid="_x0000_s1115" style="position:absolute;visibility:visible;mso-wrap-style:square" from="3086,8928" to="54171,8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qfiDsMAAADbAAAADwAAAGRycy9kb3ducmV2LnhtbESPQWvCQBSE70L/w/IK3nQTQU1TVyml&#10;Rb1pqtDjI/uaLGbfhuxW4793BcHjMDPfMItVbxtxps4bxwrScQKCuHTacKXg8PM9ykD4gKyxcUwK&#10;ruRhtXwZLDDX7sJ7OhehEhHCPkcFdQhtLqUva7Lox64ljt6f6yyGKLtK6g4vEW4bOUmSmbRoOC7U&#10;2NJnTeWp+LcKzG62nm7nx7ej/FqH9Dc7ZcYelBq+9h/vIAL14Rl+tDdawSSF+5f4A+TyB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Kn4g7DAAAA2wAAAA8AAAAAAAAAAAAA&#10;AAAAoQIAAGRycy9kb3ducmV2LnhtbFBLBQYAAAAABAAEAPkAAACRAwAAAAA=&#10;" strokeweight="0"/>
                <v:line id="Line 92" o:spid="_x0000_s1116" style="position:absolute;visibility:visible;mso-wrap-style:square" from="3086,5842" to="54171,58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nV8ecMAAADbAAAADwAAAGRycy9kb3ducmV2LnhtbESPT4vCMBTE7wt+h/AW9ramFlZr1ygi&#10;iuvNv7DHR/O2DTYvpYna/fZGEDwOM/MbZjLrbC2u1HrjWMGgn4AgLpw2XCo4HlafGQgfkDXWjknB&#10;P3mYTXtvE8y1u/GOrvtQighhn6OCKoQml9IXFVn0fdcQR+/PtRZDlG0pdYu3CLe1TJNkKC0ajgsV&#10;NrSoqDjvL1aB2Q7XX5vRaXySy3UY/GbnzNijUh/v3fwbRKAuvMLP9o9WkKbw+BJ/gJze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J1fHnDAAAA2wAAAA8AAAAAAAAAAAAA&#10;AAAAoQIAAGRycy9kb3ducmV2LnhtbFBLBQYAAAAABAAEAPkAAACRAwAAAAA=&#10;" strokeweight="0"/>
                <v:rect id="Rectangle 93" o:spid="_x0000_s1117" style="position:absolute;left:3086;top:5842;width:51085;height:218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GS58EA&#10;AADbAAAADwAAAGRycy9kb3ducmV2LnhtbESPQYvCMBSE74L/ITxhb5pWl0WqUUQQdG9aDx4fzbMp&#10;Ni+liTX++83Cwh6HmfmGWW+jbcVAvW8cK8hnGQjiyumGawXX8jBdgvABWWPrmBS8ycN2Mx6tsdDu&#10;xWcaLqEWCcK+QAUmhK6Q0leGLPqZ64iTd3e9xZBkX0vd4yvBbSvnWfYlLTacFgx2tDdUPS5Pq4Ae&#10;lcnDZzl8n8tlvD1PMna5VOpjEncrEIFi+A//tY9awXwBv1/SD5Cb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nxkufBAAAA2wAAAA8AAAAAAAAAAAAAAAAAmAIAAGRycy9kb3du&#10;cmV2LnhtbFBLBQYAAAAABAAEAPUAAACGAwAAAAA=&#10;" filled="f" strokecolor="gray" strokeweight=".65pt"/>
                <v:rect id="Rectangle 94" o:spid="_x0000_s1118" style="position:absolute;left:4502;top:22694;width:1917;height:50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0UkcYA&#10;AADbAAAADwAAAGRycy9kb3ducmV2LnhtbESP3WrCQBSE74W+w3IKvTObBmsldQ1FENsiQv3B22P2&#10;mIRmz8bsVmOfvisIXg4z8w0zzjpTixO1rrKs4DmKQRDnVldcKNisZ/0RCOeRNdaWScGFHGSTh94Y&#10;U23P/E2nlS9EgLBLUUHpfZNK6fKSDLrINsTBO9jWoA+yLaRu8RzgppZJHA+lwYrDQokNTUvKf1a/&#10;RsH+9Y+mlxe3OHZmu7fLr/nBfe6Uenrs3t9AeOr8PXxrf2gFyQCuX8IPkJ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0UkcYAAADbAAAADwAAAAAAAAAAAAAAAACYAgAAZHJz&#10;L2Rvd25yZXYueG1sUEsFBgAAAAAEAAQA9QAAAIsDAAAAAA==&#10;" fillcolor="#99f" strokeweight=".65pt"/>
                <v:rect id="Rectangle 95" o:spid="_x0000_s1119" style="position:absolute;left:13004;top:17100;width:1912;height:105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GxCsUA&#10;AADbAAAADwAAAGRycy9kb3ducmV2LnhtbESP3WrCQBSE7wXfYTlC73RTIa2krlKEoi1F0Fa8PWaP&#10;SWj2bJrd5send4WCl8PMfMPMl50pRUO1KywreJxEIIhTqwvOFHx/vY1nIJxH1lhaJgU9OVguhoM5&#10;Jtq2vKNm7zMRIOwSVJB7XyVSujQng25iK+LgnW1t0AdZZ1LX2Aa4KeU0ip6kwYLDQo4VrXJKf/Z/&#10;RsHp+UKrPnafv505nOz2Y31270elHkbd6wsIT52/h//bG61gGsPtS/gBcnE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wbEKxQAAANsAAAAPAAAAAAAAAAAAAAAAAJgCAABkcnMv&#10;ZG93bnJldi54bWxQSwUGAAAAAAQABAD1AAAAigMAAAAA&#10;" fillcolor="#99f" strokeweight=".65pt"/>
                <v:rect id="Rectangle 96" o:spid="_x0000_s1120" style="position:absolute;left:21501;top:22110;width:1917;height:55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MvfcQA&#10;AADbAAAADwAAAGRycy9kb3ducmV2LnhtbESP3YrCMBSE7xd8h3AE79Z0BV2pRlkE0RUR/MPbY3Ns&#10;i81JbbJafXojLHg5zMw3zHBcm0JcqXK5ZQVf7QgEcWJ1zqmC3Xb62QfhPLLGwjIpuJOD8ajxMcRY&#10;2xuv6brxqQgQdjEqyLwvYyldkpFB17YlcfBOtjLog6xSqSu8BbgpZCeKetJgzmEhw5ImGSXnzZ9R&#10;cPx+0OTedctLbfZHu1rMTu73oFSrWf8MQHiq/Tv8355rBZ0evL6EHyBH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YTL33EAAAA2wAAAA8AAAAAAAAAAAAAAAAAmAIAAGRycy9k&#10;b3ducmV2LnhtbFBLBQYAAAAABAAEAPUAAACJAwAAAAA=&#10;" fillcolor="#99f" strokeweight=".65pt"/>
                <v:rect id="Rectangle 97" o:spid="_x0000_s1121" style="position:absolute;left:38588;top:23609;width:1918;height:40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K5sYA&#10;AADbAAAADwAAAGRycy9kb3ducmV2LnhtbESP3WrCQBSE7wu+w3IE75pNBX9IXaUIpa1IQVvx9iR7&#10;TEKzZ9PsNok+vSsUvBxm5htmsepNJVpqXGlZwVMUgyDOrC45V/D99fo4B+E8ssbKMik4k4PVcvCw&#10;wETbjnfU7n0uAoRdggoK7+tESpcVZNBFtiYO3sk2Bn2QTS51g12Am0qO43gqDZYcFgqsaV1Q9rP/&#10;MwrS2YXW54nb/vbmkNrPzdvJfRyVGg37l2cQnnp/D/+337WC8QxuX8IPkMs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V+K5sYAAADbAAAADwAAAAAAAAAAAAAAAACYAgAAZHJz&#10;L2Rvd25yZXYueG1sUEsFBgAAAAAEAAQA9QAAAIsDAAAAAA==&#10;" fillcolor="#99f" strokeweight=".65pt"/>
                <v:rect id="Rectangle 98" o:spid="_x0000_s1122" style="position:absolute;left:47091;top:24860;width:1918;height:28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AelMIA&#10;AADbAAAADwAAAGRycy9kb3ducmV2LnhtbERPy2rCQBTdF/yH4Qrd1YlCraSZiAilVUTwUbq9ydw8&#10;aOZOmhk1+vXOouDycN7JvDeNOFPnassKxqMIBHFudc2lguPh42UGwnlkjY1lUnAlB/N08JRgrO2F&#10;d3Te+1KEEHYxKqi8b2MpXV6RQTeyLXHgCtsZ9AF2pdQdXkK4aeQkiqbSYM2hocKWlhXlv/uTUZC9&#10;3Wh5fXWbv958Z3a7/izc6kep52G/eAfhqfcP8b/7SyuYhLHhS/gBMr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4wB6UwgAAANsAAAAPAAAAAAAAAAAAAAAAAJgCAABkcnMvZG93&#10;bnJldi54bWxQSwUGAAAAAAQABAD1AAAAhwMAAAAA&#10;" fillcolor="#99f" strokeweight=".65pt"/>
                <v:rect id="Rectangle 99" o:spid="_x0000_s1123" style="position:absolute;left:6419;top:11182;width:1829;height:165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2EMQsMA&#10;AADbAAAADwAAAGRycy9kb3ducmV2LnhtbESPT2sCMRTE74V+h/AKXkSzCkrdGsUKilf/UDw+N6+b&#10;xc3LdhM1fnsjCD0OM/MbZjqPthZXan3lWMGgn4EgLpyuuFRw2K96nyB8QNZYOyYFd/Iwn72/TTHX&#10;7sZbuu5CKRKEfY4KTAhNLqUvDFn0fdcQJ+/XtRZDkm0pdYu3BLe1HGbZWFqsOC0YbGhpqDjvLjZR&#10;xnG96J6x+Ys/m+X36Tgyg3KkVOcjLr5ABIrhP/xqb7SC4QSeX9IPkL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2EMQsMAAADbAAAADwAAAAAAAAAAAAAAAACYAgAAZHJzL2Rv&#10;d25yZXYueG1sUEsFBgAAAAAEAAQA9QAAAIgDAAAAAA==&#10;" fillcolor="#936" strokeweight=".65pt"/>
                <v:rect id="Rectangle 100" o:spid="_x0000_s1124" style="position:absolute;left:14916;top:15182;width:1835;height:125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4IzAsMA&#10;AADbAAAADwAAAGRycy9kb3ducmV2LnhtbESPwWoCMRCG74W+Qxihl6JZK4qsRrFCi9faUnocN+Nm&#10;cTPZblKNb985CB6Hf/5v5luus2/VmfrYBDYwHhWgiKtgG64NfH2+DeegYkK22AYmA1eKsF49Piyx&#10;tOHCH3Tep1oJhGOJBlxKXal1rBx5jKPQEUt2DL3HJGNfa9vjReC+1S9FMdMeG5YLDjvaOqpO+z8v&#10;lFl+3zyfsPvN37vt6+Fn6sb11JinQd4sQCXK6b58a++sgYl8Ly7iAXr1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4IzAsMAAADbAAAADwAAAAAAAAAAAAAAAACYAgAAZHJzL2Rv&#10;d25yZXYueG1sUEsFBgAAAAAEAAQA9QAAAIgDAAAAAA==&#10;" fillcolor="#936" strokeweight=".65pt"/>
                <v:rect id="Rectangle 101" o:spid="_x0000_s1125" style="position:absolute;left:23418;top:19856;width:1918;height:78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M6WmcIA&#10;AADbAAAADwAAAGRycy9kb3ducmV2LnhtbESPQWsCMRSE70L/Q3gFL6LZtShlaxQrKF6rIj0+N6+b&#10;xc3LdhM1/vumIHgcZuYbZraIthFX6nztWEE+ykAQl07XXCk47NfDdxA+IGtsHJOCO3lYzF96Myy0&#10;u/EXXXehEgnCvkAFJoS2kNKXhiz6kWuJk/fjOoshya6SusNbgttGjrNsKi3WnBYMtrQyVJ53F5so&#10;07hZDs7Y/sbjdvV5+p6YvJoo1X+Nyw8QgWJ4hh/trVbwlsP/l/QD5Pw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0zpaZwgAAANsAAAAPAAAAAAAAAAAAAAAAAJgCAABkcnMvZG93&#10;bnJldi54bWxQSwUGAAAAAAQABAD1AAAAhwMAAAAA&#10;" fillcolor="#936" strokeweight=".65pt"/>
                <v:rect id="Rectangle 102" o:spid="_x0000_s1126" style="position:absolute;left:32004;top:23361;width:1835;height:43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wI7sMA&#10;AADbAAAADwAAAGRycy9kb3ducmV2LnhtbESPQWsCMRSE74X+h/AEL6JZLS6yNYoKiteqlB5fN8/N&#10;4uZlu4ka/31TEHocZuYbZr6MthE36nztWMF4lIEgLp2uuVJwOm6HMxA+IGtsHJOCB3lYLl5f5lho&#10;d+cPuh1CJRKEfYEKTAhtIaUvDVn0I9cSJ+/sOoshya6SusN7gttGTrIslxZrTgsGW9oYKi+Hq02U&#10;PO5Wgwu2P/Fzv1l/f03NuJoq1e/F1TuIQDH8h5/tvVbwNoG/L+kHyM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BwI7sMAAADbAAAADwAAAAAAAAAAAAAAAACYAgAAZHJzL2Rv&#10;d25yZXYueG1sUEsFBgAAAAAEAAQA9QAAAIgDAAAAAA==&#10;" fillcolor="#936" strokeweight=".65pt"/>
                <v:rect id="Rectangle 103" o:spid="_x0000_s1127" style="position:absolute;left:40506;top:24276;width:1835;height:34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1CtdcMA&#10;AADbAAAADwAAAGRycy9kb3ducmV2LnhtbESPT2sCMRTE70K/Q3iCl6JZFUW2RrGC4tU/lB5fN8/N&#10;4uZlu0k1fnsjFDwOM/MbZr6MthZXan3lWMFwkIEgLpyuuFRwOm76MxA+IGusHZOCO3lYLt46c8y1&#10;u/GerodQigRhn6MCE0KTS+kLQxb9wDXEyTu71mJIsi2lbvGW4LaWoyybSosVpwWDDa0NFZfDn02U&#10;adyu3i/Y/Mav3frz53tihuVEqV43rj5ABIrhFf5v77SC8RieX9IPkI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1CtdcMAAADbAAAADwAAAAAAAAAAAAAAAACYAgAAZHJzL2Rv&#10;d25yZXYueG1sUEsFBgAAAAAEAAQA9QAAAIgDAAAAAA==&#10;" fillcolor="#936" strokeweight=".65pt"/>
                <v:rect id="Rectangle 104" o:spid="_x0000_s1128" style="position:absolute;left:49009;top:24860;width:1829;height:28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Lk1AcQA&#10;AADbAAAADwAAAGRycy9kb3ducmV2LnhtbESPQWsCMRSE74X+h/AKXopm1SqyNStWULxqS/H43Lxu&#10;lt28bDdR03/fCIUeh5n5hlmuom3FlXpfO1YwHmUgiEuna64UfLxvhwsQPiBrbB2Tgh/ysCoeH5aY&#10;a3fjA12PoRIJwj5HBSaELpfSl4Ys+pHriJP35XqLIcm+krrHW4LbVk6ybC4t1pwWDHa0MVQ2x4tN&#10;lHncrZ8b7L7j537zdj7NzLiaKTV4iutXEIFi+A//tfdawfQF7l/SD5DF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S5NQHEAAAA2wAAAA8AAAAAAAAAAAAAAAAAmAIAAGRycy9k&#10;b3ducmV2LnhtbFBLBQYAAAAABAAEAPUAAACJAwAAAAA=&#10;" fillcolor="#936" strokeweight=".65pt"/>
                <v:rect id="Rectangle 105" o:spid="_x0000_s1129" style="position:absolute;left:8248;top:8007;width:1918;height:196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9NcMQA&#10;AADbAAAADwAAAGRycy9kb3ducmV2LnhtbESPQWvCQBSE7wX/w/IKvTUbW5SQuooIFnsQMdqDt0f2&#10;uQnNvg3ZNab/3hUEj8PMfMPMFoNtRE+drx0rGCcpCOLS6ZqNguNh/Z6B8AFZY+OYFPyTh8V89DLD&#10;XLsr76kvghERwj5HBVUIbS6lLyuy6BPXEkfv7DqLIcrOSN3hNcJtIz/SdCot1hwXKmxpVVH5V1ys&#10;ggy/++J3uc/s6cesTkafx+12p9Tb67D8AhFoCM/wo73RCj4ncP8Sf4Cc3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GvTXDEAAAA2wAAAA8AAAAAAAAAAAAAAAAAmAIAAGRycy9k&#10;b3ducmV2LnhtbFBLBQYAAAAABAAEAPUAAACJAwAAAAA=&#10;" fillcolor="#ffc" strokeweight=".65pt"/>
                <v:rect id="Rectangle 106" o:spid="_x0000_s1130" style="position:absolute;left:16751;top:13017;width:1918;height:146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3TB8MA&#10;AADbAAAADwAAAGRycy9kb3ducmV2LnhtbESPQYvCMBSE78L+h/AEb5rqgpRqFBFW3MMiVj14ezTP&#10;tNi8lCbW+u83wsIeh5n5hlmue1uLjlpfOVYwnSQgiAunKzYKzqevcQrCB2SNtWNS8CIP69XHYImZ&#10;dk8+UpcHIyKEfYYKyhCaTEpflGTRT1xDHL2bay2GKFsjdYvPCLe1nCXJXFqsOC6U2NC2pOKeP6yC&#10;FHddftkcU3v9Ntur0bdp83NQajTsNwsQgfrwH/5r77WCzzm8v8QfIF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X3TB8MAAADbAAAADwAAAAAAAAAAAAAAAACYAgAAZHJzL2Rv&#10;d25yZXYueG1sUEsFBgAAAAAEAAQA9QAAAIgDAAAAAA==&#10;" fillcolor="#ffc" strokeweight=".65pt"/>
                <v:rect id="Rectangle 107" o:spid="_x0000_s1131" style="position:absolute;left:25336;top:18942;width:1918;height:87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F2nMQA&#10;AADbAAAADwAAAGRycy9kb3ducmV2LnhtbESPQWvCQBSE7wX/w/IKvTUbW9CQuooIFnsQMdqDt0f2&#10;uQnNvg3ZNab/3hUEj8PMfMPMFoNtRE+drx0rGCcpCOLS6ZqNguNh/Z6B8AFZY+OYFPyTh8V89DLD&#10;XLsr76kvghERwj5HBVUIbS6lLyuy6BPXEkfv7DqLIcrOSN3hNcJtIz/SdCIt1hwXKmxpVVH5V1ys&#10;ggy/++J3uc/s6cesTkafx+12p9Tb67D8AhFoCM/wo73RCj6ncP8Sf4Cc3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4xdpzEAAAA2wAAAA8AAAAAAAAAAAAAAAAAmAIAAGRycy9k&#10;b3ducmV2LnhtbFBLBQYAAAAABAAEAPUAAACJAwAAAAA=&#10;" fillcolor="#ffc" strokeweight=".65pt"/>
                <v:rect id="Rectangle 108" o:spid="_x0000_s1132" style="position:absolute;left:33839;top:22694;width:1917;height:50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67i7sAA&#10;AADbAAAADwAAAGRycy9kb3ducmV2LnhtbERPTYvCMBC9C/6HMMLeNHUFKdUoIrjoYRGrHrwNzZgW&#10;m0lpYu3++81B8Ph438t1b2vRUesrxwqmkwQEceF0xUbB5bwbpyB8QNZYOyYFf+RhvRoOlphp9+IT&#10;dXkwIoawz1BBGUKTSemLkiz6iWuII3d3rcUQYWukbvEVw20tv5NkLi1WHBtKbGhbUvHIn1ZBij9d&#10;ft2cUns7mO3N6Pu0+T0q9TXqNwsQgfrwEb/de61gFsfGL/EHyNU/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367i7sAAAADbAAAADwAAAAAAAAAAAAAAAACYAgAAZHJzL2Rvd25y&#10;ZXYueG1sUEsFBgAAAAAEAAQA9QAAAIUDAAAAAA==&#10;" fillcolor="#ffc" strokeweight=".65pt"/>
                <v:rect id="Rectangle 109" o:spid="_x0000_s1133" style="position:absolute;left:42341;top:24612;width:1918;height:30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JHdcQA&#10;AADbAAAADwAAAGRycy9kb3ducmV2LnhtbESPQWvCQBSE70L/w/IKvZmNCiWmriKCYg+lGPXg7ZF9&#10;bkKzb0N2jem/7xYEj8PMfMMsVoNtRE+drx0rmCQpCOLS6ZqNgtNxO85A+ICssXFMCn7Jw2r5Mlpg&#10;rt2dD9QXwYgIYZ+jgiqENpfSlxVZ9IlriaN3dZ3FEGVnpO7wHuG2kdM0fZcWa44LFba0qaj8KW5W&#10;QYa7vjivD5m9fJrNxejrpP36VurtdVh/gAg0hGf40d5rBbM5/H+JP0Au/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DiR3XEAAAA2wAAAA8AAAAAAAAAAAAAAAAAmAIAAGRycy9k&#10;b3ducmV2LnhtbFBLBQYAAAAABAAEAPUAAACJAwAAAAA=&#10;" fillcolor="#ffc" strokeweight=".65pt"/>
                <v:rect id="Rectangle 110" o:spid="_x0000_s1134" style="position:absolute;left:50838;top:24860;width:1917;height:28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d6dlcAA&#10;AADbAAAADwAAAGRycy9kb3ducmV2LnhtbERPTYvCMBC9C/6HMMLeNHURKdUoIrjoYRGrHrwNzZgW&#10;m0lpYu3++81B8Ph438t1b2vRUesrxwqmkwQEceF0xUbB5bwbpyB8QNZYOyYFf+RhvRoOlphp9+IT&#10;dXkwIoawz1BBGUKTSemLkiz6iWuII3d3rcUQYWukbvEVw20tv5NkLi1WHBtKbGhbUvHIn1ZBij9d&#10;ft2cUns7mO3N6Pu0+T0q9TXqNwsQgfrwEb/de61gFtfHL/EHyNU/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d6dlcAAAADbAAAADwAAAAAAAAAAAAAAAACYAgAAZHJzL2Rvd25y&#10;ZXYueG1sUEsFBgAAAAAEAAQA9QAAAIUDAAAAAA==&#10;" fillcolor="#ffc" strokeweight=".65pt"/>
                <v:line id="Line 111" o:spid="_x0000_s1135" style="position:absolute;visibility:visible;mso-wrap-style:square" from="3086,5842" to="3092,276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3gHrsMAAADbAAAADwAAAGRycy9kb3ducmV2LnhtbESPT2vCQBTE7wW/w/IEb7qJWE1TVxFR&#10;bG/+hR4f2ddkMfs2ZFdNv323IPQ4zMxvmPmys7W4U+uNYwXpKAFBXDhtuFRwPm2HGQgfkDXWjknB&#10;D3lYLnovc8y1e/CB7sdQighhn6OCKoQml9IXFVn0I9cQR+/btRZDlG0pdYuPCLe1HCfJVFo0HBcq&#10;bGhdUXE93qwCs5/uXj9nl7eL3OxC+pVdM2PPSg363eodRKAu/Ief7Q+tYJLC35f4A+Ti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94B67DAAAA2wAAAA8AAAAAAAAAAAAA&#10;AAAAoQIAAGRycy9kb3ducmV2LnhtbFBLBQYAAAAABAAEAPkAAACRAwAAAAA=&#10;" strokeweight="0"/>
                <v:line id="Line 112" o:spid="_x0000_s1136" style="position:absolute;visibility:visible;mso-wrap-style:square" from="2832,27698" to="3086,277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6qZ2cQAAADbAAAADwAAAGRycy9kb3ducmV2LnhtbESPQWvCQBSE74X+h+UJvdWNUm2MWaWU&#10;Fu3NRgMeH9lnsph9G7Jbjf/eLRR6HGbmGyZfD7YVF+q9caxgMk5AEFdOG64VHPafzykIH5A1to5J&#10;wY08rFePDzlm2l35my5FqEWEsM9QQRNCl0npq4Ys+rHriKN3cr3FEGVfS93jNcJtK6dJMpcWDceF&#10;Bjt6b6g6Fz9WgdnNN7Ov13JRyo9NmBzTc2rsQamn0fC2BBFoCP/hv/ZWK3iZwu+X+APk6g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PqpnZxAAAANsAAAAPAAAAAAAAAAAA&#10;AAAAAKECAABkcnMvZG93bnJldi54bWxQSwUGAAAAAAQABAD5AAAAkgMAAAAA&#10;" strokeweight="0"/>
                <v:line id="Line 113" o:spid="_x0000_s1137" style="position:absolute;visibility:visible;mso-wrap-style:square" from="2832,24612" to="3086,246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OY8QsQAAADbAAAADwAAAGRycy9kb3ducmV2LnhtbESPT2sCMRTE70K/Q3gFb5q1Wt1ujVKK&#10;ot7qP/D42LzuBjcvyybq+u2NUOhxmJnfMNN5aytxpcYbxwoG/QQEce604ULBYb/spSB8QNZYOSYF&#10;d/Iwn710pphpd+MtXXehEBHCPkMFZQh1JqXPS7Lo+64mjt6vayyGKJtC6gZvEW4r+ZYkY2nRcFwo&#10;sabvkvLz7mIVmJ/x6n0zOX4c5WIVBqf0nBp7UKr72n59ggjUhv/wX3utFYyG8PwSf4CcP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g5jxCxAAAANsAAAAPAAAAAAAAAAAA&#10;AAAAAKECAABkcnMvZG93bnJldi54bWxQSwUGAAAAAAQABAD5AAAAkgMAAAAA&#10;" strokeweight="0"/>
                <v:line id="Line 114" o:spid="_x0000_s1138" style="position:absolute;visibility:visible;mso-wrap-style:square" from="2832,21443" to="3086,214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w+kNsQAAADbAAAADwAAAGRycy9kb3ducmV2LnhtbESPQWvCQBSE74X+h+UJvdWNojZNs0qR&#10;ivZmUwM9PrLPZDH7NmRXjf/eLRR6HGbmGyZfDbYVF+q9caxgMk5AEFdOG64VHL43zykIH5A1to5J&#10;wY08rJaPDzlm2l35iy5FqEWEsM9QQRNCl0npq4Ys+rHriKN3dL3FEGVfS93jNcJtK6dJspAWDceF&#10;BjtaN1SdirNVYPaL7fzzpXwt5cc2TH7SU2rsQamn0fD+BiLQEP7Df+2dVjCbwe+X+APk8g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vD6Q2xAAAANsAAAAPAAAAAAAAAAAA&#10;AAAAAKECAABkcnMvZG93bnJldi54bWxQSwUGAAAAAAQABAD5AAAAkgMAAAAA&#10;" strokeweight="0"/>
                <v:line id="Line 115" o:spid="_x0000_s1139" style="position:absolute;visibility:visible;mso-wrap-style:square" from="2832,18357" to="3086,183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EMBrcQAAADbAAAADwAAAGRycy9kb3ducmV2LnhtbESPQWvCQBSE70L/w/IK3upGqTZNs0qR&#10;ivVmUwM9PrKvyWL2bciuGv99Vyh4HGbmGyZfDbYVZ+q9caxgOklAEFdOG64VHL43TykIH5A1to5J&#10;wZU8rJYPoxwz7S78Reci1CJC2GeooAmhy6T0VUMW/cR1xNH7db3FEGVfS93jJcJtK2dJspAWDceF&#10;BjtaN1Qdi5NVYPaL7Xz3Ur6W8mMbpj/pMTX2oNT4cXh/AxFoCPfwf/tTK3iew+1L/AFy+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AQwGtxAAAANsAAAAPAAAAAAAAAAAA&#10;AAAAAKECAABkcnMvZG93bnJldi54bWxQSwUGAAAAAAQABAD5AAAAkgMAAAAA&#10;" strokeweight="0"/>
                <v:line id="Line 116" o:spid="_x0000_s1140" style="position:absolute;visibility:visible;mso-wrap-style:square" from="2832,15182" to="3086,151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JGf2sQAAADbAAAADwAAAGRycy9kb3ducmV2LnhtbESPT2vCQBTE74LfYXmCN90oNqapq0hp&#10;UW+tf6DHR/Y1Wcy+Ddmtpt/eFQSPw8z8hlmsOluLC7XeOFYwGScgiAunDZcKjofPUQbCB2SNtWNS&#10;8E8eVst+b4G5dlf+pss+lCJC2OeooAqhyaX0RUUW/dg1xNH7da3FEGVbSt3iNcJtLadJkkqLhuNC&#10;hQ29V1Sc939WgflKNy+7+en1JD82YfKTnTNjj0oNB936DUSgLjzDj/ZWK5ilcP8Sf4Bc3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wkZ/axAAAANsAAAAPAAAAAAAAAAAA&#10;AAAAAKECAABkcnMvZG93bnJldi54bWxQSwUGAAAAAAQABAD5AAAAkgMAAAAA&#10;" strokeweight="0"/>
                <v:line id="Line 117" o:spid="_x0000_s1141" style="position:absolute;visibility:visible;mso-wrap-style:square" from="2832,12096" to="3086,121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906QcQAAADbAAAADwAAAGRycy9kb3ducmV2LnhtbESPQWvCQBSE70L/w/IKvdWNpZo0dQ1F&#10;FOvNWoUeH9nXZDH7NmTXGP99Vyh4HGbmG2ZeDLYRPXXeOFYwGScgiEunDVcKDt/r5wyED8gaG8ek&#10;4EoeisXDaI65dhf+on4fKhEh7HNUUIfQ5lL6siaLfuxa4uj9us5iiLKrpO7wEuG2kS9JMpMWDceF&#10;Glta1lSe9merwOxmm+k2Pb4d5WoTJj/ZKTP2oNTT4/DxDiLQEO7h//anVvCawu1L/AFy8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f3TpBxAAAANsAAAAPAAAAAAAAAAAA&#10;AAAAAKECAABkcnMvZG93bnJldi54bWxQSwUGAAAAAAQABAD5AAAAkgMAAAAA&#10;" strokeweight="0"/>
                <v:line id="Line 118" o:spid="_x0000_s1142" style="position:absolute;visibility:visible;mso-wrap-style:square" from="2832,8928" to="3086,8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kKuM8AAAADbAAAADwAAAGRycy9kb3ducmV2LnhtbERPy4rCMBTdD/gP4QruxtTBR61GkUHR&#10;2fkEl5fm2gabm9JE7fz9ZCHM8nDe82VrK/GkxhvHCgb9BARx7rThQsH5tPlMQfiArLFyTAp+ycNy&#10;0fmYY6bdiw/0PIZCxBD2GSooQ6gzKX1ekkXfdzVx5G6usRgibAqpG3zFcFvJryQZS4uGY0OJNX2X&#10;lN+PD6vA7Mfb0c/kMr3I9TYMruk9NfasVK/brmYgArXhX/x277SCYRwbv8QfIBd/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5CrjPAAAAA2wAAAA8AAAAAAAAAAAAAAAAA&#10;oQIAAGRycy9kb3ducmV2LnhtbFBLBQYAAAAABAAEAPkAAACOAwAAAAA=&#10;" strokeweight="0"/>
                <v:line id="Line 119" o:spid="_x0000_s1143" style="position:absolute;visibility:visible;mso-wrap-style:square" from="2832,5842" to="3086,58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Q4LqMQAAADbAAAADwAAAGRycy9kb3ducmV2LnhtbESPQWvCQBSE70L/w/IKvenGUm2MrlJK&#10;i3qzUcHjI/tMFrNvQ3ar8d+7guBxmJlvmNmis7U4U+uNYwXDQQKCuHDacKlgt/3tpyB8QNZYOyYF&#10;V/KwmL/0Zphpd+E/OuehFBHCPkMFVQhNJqUvKrLoB64hjt7RtRZDlG0pdYuXCLe1fE+SsbRoOC5U&#10;2NB3RcUp/7cKzGa8HK0/95O9/FmG4SE9pcbulHp77b6mIAJ14Rl+tFdawccE7l/iD5Dz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DguoxAAAANsAAAAPAAAAAAAAAAAA&#10;AAAAAKECAABkcnMvZG93bnJldi54bWxQSwUGAAAAAAQABAD5AAAAkgMAAAAA&#10;" strokeweight="0"/>
                <v:line id="Line 120" o:spid="_x0000_s1144" style="position:absolute;visibility:visible;mso-wrap-style:square" from="3086,27698" to="54171,277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e006L8AAADbAAAADwAAAGRycy9kb3ducmV2LnhtbERPy4rCMBTdD/gP4QqzG1MFtVajiMyg&#10;7nyCy0tzbYPNTWkyWv/eLASXh/OeLVpbiTs13jhW0O8lIIhzpw0XCk7Hv58UhA/IGivHpOBJHhbz&#10;ztcMM+0evKf7IRQihrDPUEEZQp1J6fOSLPqeq4kjd3WNxRBhU0jd4COG20oOkmQkLRqODSXWtCop&#10;vx3+rQKzG62H2/F5cpa/69C/pLfU2JNS3912OQURqA0f8du90QqGcX38En+AnL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Ve006L8AAADbAAAADwAAAAAAAAAAAAAAAACh&#10;AgAAZHJzL2Rvd25yZXYueG1sUEsFBgAAAAAEAAQA+QAAAI0DAAAAAA==&#10;" strokeweight="0"/>
                <v:line id="Line 121" o:spid="_x0000_s1145" style="position:absolute;flip:y;visibility:visible;mso-wrap-style:square" from="3086,27698" to="3092,279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vFO+sUAAADbAAAADwAAAGRycy9kb3ducmV2LnhtbESPQWsCMRSE70L/Q3iF3jSr0Cpbo0il&#10;RQQr2nro7bl53V3cvCxJdNN/bwqCx2FmvmGm82gacSHna8sKhoMMBHFhdc2lgu+v9/4EhA/IGhvL&#10;pOCPPMxnD70p5tp2vKPLPpQiQdjnqKAKoc2l9EVFBv3AtsTJ+7XOYEjSlVI77BLcNHKUZS/SYM1p&#10;ocKW3ioqTvuzUbD7HPPRfZzjKR67zfbnUK4Py4VST49x8QoiUAz38K290gqeh/D/Jf0AObs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vFO+sUAAADbAAAADwAAAAAAAAAA&#10;AAAAAAChAgAAZHJzL2Rvd25yZXYueG1sUEsFBgAAAAAEAAQA+QAAAJMDAAAAAA==&#10;" strokeweight="0"/>
                <v:line id="Line 122" o:spid="_x0000_s1146" style="position:absolute;flip:y;visibility:visible;mso-wrap-style:square" from="11582,27698" to="11588,279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iPQjcUAAADbAAAADwAAAGRycy9kb3ducmV2LnhtbESPQWsCMRSE74L/ITyhN81WaJWtUaSl&#10;RQQr2nro7bl53V3cvCxJdNN/bwqCx2FmvmFmi2gacSHna8sKHkcZCOLC6ppLBd9f78MpCB+QNTaW&#10;ScEfeVjM+70Z5tp2vKPLPpQiQdjnqKAKoc2l9EVFBv3ItsTJ+7XOYEjSlVI77BLcNHKcZc/SYM1p&#10;ocKWXisqTvuzUbD7nPDRfZzjKR67zfbnUK4Pb0ulHgZx+QIiUAz38K290gqexvD/Jf0AOb8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iPQjcUAAADbAAAADwAAAAAAAAAA&#10;AAAAAAChAgAAZHJzL2Rvd25yZXYueG1sUEsFBgAAAAAEAAQA+QAAAJMDAAAAAA==&#10;" strokeweight="0"/>
                <v:line id="Line 123" o:spid="_x0000_s1147" style="position:absolute;flip:y;visibility:visible;mso-wrap-style:square" from="20085,27698" to="20091,279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W91FsYAAADbAAAADwAAAGRycy9kb3ducmV2LnhtbESPQWsCMRSE7wX/Q3gFbzVbi23ZGkWU&#10;ighatPXQ23Pzuru4eVmS6MZ/bwqFHoeZ+YYZT6NpxIWcry0reBxkIIgLq2suFXx9vj+8gvABWWNj&#10;mRRcycN00rsbY65txzu67EMpEoR9jgqqENpcSl9UZNAPbEucvB/rDIYkXSm1wy7BTSOHWfYsDdac&#10;FipsaV5RcdqfjYLd9oWPbnmOp3jsNh/fh3J9WMyU6t/H2RuIQDH8h//aK61g9AS/X9IPkJMb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1vdRbGAAAA2wAAAA8AAAAAAAAA&#10;AAAAAAAAoQIAAGRycy9kb3ducmV2LnhtbFBLBQYAAAAABAAEAPkAAACUAwAAAAA=&#10;" strokeweight="0"/>
                <v:line id="Line 124" o:spid="_x0000_s1148" style="position:absolute;flip:y;visibility:visible;mso-wrap-style:square" from="28670,27698" to="28676,279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obtYsYAAADbAAAADwAAAGRycy9kb3ducmV2LnhtbESPQWsCMRSE7wX/Q3gFbzVbqW3ZGkWU&#10;ighatPXQ23Pzuru4eVmS6MZ/bwqFHoeZ+YYZT6NpxIWcry0reBxkIIgLq2suFXx9vj+8gvABWWNj&#10;mRRcycN00rsbY65txzu67EMpEoR9jgqqENpcSl9UZNAPbEucvB/rDIYkXSm1wy7BTSOHWfYsDdac&#10;FipsaV5RcdqfjYLd9oWPbnmOp3jsNh/fh3J9WMyU6t/H2RuIQDH8h//aK61g9AS/X9IPkJMb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KG7WLGAAAA2wAAAA8AAAAAAAAA&#10;AAAAAAAAoQIAAGRycy9kb3ducmV2LnhtbFBLBQYAAAAABAAEAPkAAACUAwAAAAA=&#10;" strokeweight="0"/>
                <v:line id="Line 125" o:spid="_x0000_s1149" style="position:absolute;flip:y;visibility:visible;mso-wrap-style:square" from="37172,27698" to="37179,279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pI+cUAAADbAAAADwAAAGRycy9kb3ducmV2LnhtbESPT2sCMRTE7wW/Q3hCbzVbwVZWo0iL&#10;RYRW/Hfw9ty87i5uXpYkuum3bwoFj8PM/IaZzqNpxI2cry0reB5kIIgLq2suFRz2y6cxCB+QNTaW&#10;ScEPeZjPeg9TzLXteEu3XShFgrDPUUEVQptL6YuKDPqBbYmT922dwZCkK6V22CW4aeQwy16kwZrT&#10;QoUtvVVUXHZXo2D79cpn93GNl3juPjenY7k+vi+UeuzHxQREoBju4f/2SisYjeDvS/oBcvY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pI+cUAAADbAAAADwAAAAAAAAAA&#10;AAAAAAChAgAAZHJzL2Rvd25yZXYueG1sUEsFBgAAAAAEAAQA+QAAAJMDAAAAAA==&#10;" strokeweight="0"/>
                <v:line id="Line 126" o:spid="_x0000_s1150" style="position:absolute;flip:y;visibility:visible;mso-wrap-style:square" from="45675,27698" to="45681,279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RjWjsUAAADbAAAADwAAAGRycy9kb3ducmV2LnhtbESPQWsCMRSE7wX/Q3iCt5qtoJWtUaRF&#10;kYIVbT309ty87i5uXpYkuum/N4WCx2FmvmFmi2gacSXna8sKnoYZCOLC6ppLBV+fq8cpCB+QNTaW&#10;ScEveVjMew8zzLXteE/XQyhFgrDPUUEVQptL6YuKDPqhbYmT92OdwZCkK6V22CW4aeQoyybSYM1p&#10;ocKWXisqzoeLUbD/eOaTW1/iOZ667e77WL4f35ZKDfpx+QIiUAz38H97oxWMJ/D3Jf0AOb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RjWjsUAAADbAAAADwAAAAAAAAAA&#10;AAAAAAChAgAAZHJzL2Rvd25yZXYueG1sUEsFBgAAAAAEAAQA+QAAAJMDAAAAAA==&#10;" strokeweight="0"/>
                <v:line id="Line 127" o:spid="_x0000_s1151" style="position:absolute;flip:y;visibility:visible;mso-wrap-style:square" from="54171,27698" to="54178,279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lRzFcUAAADbAAAADwAAAGRycy9kb3ducmV2LnhtbESPQWsCMRSE74L/ITzBm2ZbqMrWKNLS&#10;IoIVbT309ty87i5uXpYkuvHfN4WCx2FmvmHmy2gacSXna8sKHsYZCOLC6ppLBV+fb6MZCB+QNTaW&#10;ScGNPCwX/d4cc2073tP1EEqRIOxzVFCF0OZS+qIig35sW+Lk/VhnMCTpSqkddgluGvmYZRNpsOa0&#10;UGFLLxUV58PFKNh/TPnk3i/xHE/ddvd9LDfH15VSw0FcPYMIFMM9/N9eawVPU/j7kn6AXPw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lRzFcUAAADbAAAADwAAAAAAAAAA&#10;AAAAAAChAgAAZHJzL2Rvd25yZXYueG1sUEsFBgAAAAAEAAQA+QAAAJMDAAAAAA==&#10;" strokeweight="0"/>
                <v:rect id="Rectangle 128" o:spid="_x0000_s1152" style="position:absolute;left:16421;top:1498;width:26085;height:321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qjRL8A&#10;AADbAAAADwAAAGRycy9kb3ducmV2LnhtbERPS2rDMBDdF3IHMYXsarmGlOBYCaUQSEM3cXKAwRp/&#10;iDQykmK7t48WhS4f718dFmvERD4MjhW8ZzkI4sbpgTsFt+vxbQsiRGSNxjEp+KUAh/3qpcJSu5kv&#10;NNWxEymEQ4kK+hjHUsrQ9GQxZG4kTlzrvMWYoO+k9jincGtkkecf0uLAqaHHkb56au71wyqQ1/o4&#10;b2vjc3cu2h/zfbq05JRavy6fOxCRlvgv/nOftIJNGpu+pB8g90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8KqNEvwAAANsAAAAPAAAAAAAAAAAAAAAAAJgCAABkcnMvZG93bnJl&#10;di54bWxQSwUGAAAAAAQABAD1AAAAhAMAAAAA&#10;" filled="f" stroked="f">
                  <v:textbox style="mso-fit-shape-to-text:t" inset="0,0,0,0">
                    <w:txbxContent>
                      <w:p w:rsidR="00B070BF" w:rsidRDefault="00B070BF" w:rsidP="00B070BF">
                        <w:pPr>
                          <w:jc w:val="center"/>
                          <w:rPr>
                            <w:b/>
                            <w:bCs/>
                            <w:color w:val="000000"/>
                          </w:rPr>
                        </w:pPr>
                        <w:r w:rsidRPr="00337705">
                          <w:rPr>
                            <w:b/>
                            <w:bCs/>
                            <w:color w:val="000000"/>
                          </w:rPr>
                          <w:t>Uso de herramientas de modernización</w:t>
                        </w:r>
                      </w:p>
                      <w:p w:rsidR="00B070BF" w:rsidRPr="00337705" w:rsidRDefault="00B070BF" w:rsidP="00B070BF">
                        <w:pPr>
                          <w:jc w:val="center"/>
                        </w:pPr>
                        <w:r w:rsidRPr="00337705">
                          <w:rPr>
                            <w:b/>
                            <w:bCs/>
                            <w:color w:val="000000"/>
                          </w:rPr>
                          <w:t>de la OMPI</w:t>
                        </w:r>
                        <w:r>
                          <w:rPr>
                            <w:b/>
                            <w:bCs/>
                            <w:color w:val="000000"/>
                          </w:rPr>
                          <w:t xml:space="preserve"> </w:t>
                        </w:r>
                        <w:r w:rsidRPr="00337705">
                          <w:rPr>
                            <w:b/>
                            <w:bCs/>
                            <w:color w:val="000000"/>
                          </w:rPr>
                          <w:t xml:space="preserve">en </w:t>
                        </w:r>
                        <w:r>
                          <w:rPr>
                            <w:b/>
                            <w:bCs/>
                            <w:color w:val="000000"/>
                          </w:rPr>
                          <w:t xml:space="preserve">las </w:t>
                        </w:r>
                        <w:r w:rsidRPr="00337705">
                          <w:rPr>
                            <w:b/>
                            <w:bCs/>
                            <w:color w:val="000000"/>
                          </w:rPr>
                          <w:t>oficinas de P.I.</w:t>
                        </w:r>
                      </w:p>
                    </w:txbxContent>
                  </v:textbox>
                </v:rect>
                <v:rect id="Rectangle 129" o:spid="_x0000_s1153" style="position:absolute;left:30753;top:26028;width:495;height:102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YG38EA&#10;AADbAAAADwAAAGRycy9kb3ducmV2LnhtbESPzYoCMRCE7wu+Q2jB25pRcNHRKCIIKntx9AGaSc8P&#10;Jp0hyTqzb2+EhT0WVfUVtdkN1ogn+dA6VjCbZiCIS6dbrhXcb8fPJYgQkTUax6TglwLstqOPDeba&#10;9XylZxFrkSAcclTQxNjlUoayIYth6jri5FXOW4xJ+lpqj32CWyPnWfYlLbacFhrs6NBQ+Sh+rAJ5&#10;K479sjA+c5d59W3Op2tFTqnJeNivQUQa4n/4r33SChYreH9JP0Bu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NmBt/BAAAA2wAAAA8AAAAAAAAAAAAAAAAAmAIAAGRycy9kb3du&#10;cmV2LnhtbFBLBQYAAAAABAAEAPUAAACGAwAAAAA=&#10;" filled="f" stroked="f">
                  <v:textbox style="mso-fit-shape-to-text:t" inset="0,0,0,0">
                    <w:txbxContent>
                      <w:p w:rsidR="00B070BF" w:rsidRDefault="00B070BF" w:rsidP="00B070BF">
                        <w:r>
                          <w:rPr>
                            <w:color w:val="000000"/>
                            <w:sz w:val="14"/>
                            <w:szCs w:val="14"/>
                          </w:rPr>
                          <w:t>0</w:t>
                        </w:r>
                      </w:p>
                    </w:txbxContent>
                  </v:textbox>
                </v:rect>
                <v:rect id="Rectangle 130" o:spid="_x0000_s1154" style="position:absolute;left:47840;top:25196;width:496;height:102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Bl/70A&#10;AADbAAAADwAAAGRycy9kb3ducmV2LnhtbERPy4rCMBTdC/5DuII7m+pCpBpFBEEHN9b5gEtz+8Dk&#10;piTRdv7eLIRZHs57dxitEW/yoXOsYJnlIIgrpztuFPw+zosNiBCRNRrHpOCPAhz208kOC+0GvtO7&#10;jI1IIRwKVNDG2BdShqoliyFzPXHiauctxgR9I7XHIYVbI1d5vpYWO04NLfZ0aql6li+rQD7K87Ap&#10;jc/dz6q+mevlXpNTaj4bj1sQkcb4L/66L1rBOq1PX9IPkPsP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DDBl/70AAADbAAAADwAAAAAAAAAAAAAAAACYAgAAZHJzL2Rvd25yZXYu&#10;eG1sUEsFBgAAAAAEAAQA9QAAAIIDAAAAAA==&#10;" filled="f" stroked="f">
                  <v:textbox style="mso-fit-shape-to-text:t" inset="0,0,0,0">
                    <w:txbxContent>
                      <w:p w:rsidR="00B070BF" w:rsidRDefault="00B070BF" w:rsidP="00B070BF">
                        <w:r>
                          <w:rPr>
                            <w:color w:val="000000"/>
                            <w:sz w:val="14"/>
                            <w:szCs w:val="14"/>
                          </w:rPr>
                          <w:t>9</w:t>
                        </w:r>
                      </w:p>
                    </w:txbxContent>
                  </v:textbox>
                </v:rect>
                <v:rect id="Rectangle 131" o:spid="_x0000_s1155" style="position:absolute;left:39090;top:23945;width:991;height:102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3zAZMEA&#10;AADbAAAADwAAAGRycy9kb3ducmV2LnhtbESP3YrCMBSE7xf2HcJZ8G5N64VINYosFFS8se4DHJrT&#10;H0xOSpK19e2NIOzlMDPfMJvdZI24kw+9YwX5PANBXDvdc6vg91p+r0CEiKzROCYFDwqw235+bLDQ&#10;buQL3avYigThUKCCLsahkDLUHVkMczcQJ69x3mJM0rdSexwT3Bq5yLKltNhzWuhwoJ+O6lv1ZxXI&#10;a1WOq8r4zJ0WzdkcD5eGnFKzr2m/BhFpiv/hd/ugFSxzeH1JP0Bu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N8wGTBAAAA2wAAAA8AAAAAAAAAAAAAAAAAmAIAAGRycy9kb3du&#10;cmV2LnhtbFBLBQYAAAAABAAEAPUAAACGAwAAAAA=&#10;" filled="f" stroked="f">
                  <v:textbox style="mso-fit-shape-to-text:t" inset="0,0,0,0">
                    <w:txbxContent>
                      <w:p w:rsidR="00B070BF" w:rsidRDefault="00B070BF" w:rsidP="00B070BF">
                        <w:r>
                          <w:rPr>
                            <w:color w:val="000000"/>
                            <w:sz w:val="14"/>
                            <w:szCs w:val="14"/>
                          </w:rPr>
                          <w:t>13</w:t>
                        </w:r>
                      </w:p>
                    </w:txbxContent>
                  </v:textbox>
                </v:rect>
                <v:rect id="Rectangle 132" o:spid="_x0000_s1156" style="position:absolute;left:22085;top:22440;width:990;height:102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5eE8AA&#10;AADbAAAADwAAAGRycy9kb3ducmV2LnhtbESPzYoCMRCE74LvEFrYm2acg8hoFBEEV/biuA/QTHp+&#10;MOkMSXRm394Iwh6LqvqK2u5Ha8STfOgcK1guMhDEldMdNwp+b6f5GkSIyBqNY1LwRwH2u+lki4V2&#10;A1/pWcZGJAiHAhW0MfaFlKFqyWJYuJ44ebXzFmOSvpHa45Dg1sg8y1bSYsdpocWeji1V9/JhFchb&#10;eRrWpfGZu+T1j/k+X2tySn3NxsMGRKQx/oc/7bNWsMrh/SX9ALl7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65eE8AAAADbAAAADwAAAAAAAAAAAAAAAACYAgAAZHJzL2Rvd25y&#10;ZXYueG1sUEsFBgAAAAAEAAQA9QAAAIUDAAAAAA==&#10;" filled="f" stroked="f">
                  <v:textbox style="mso-fit-shape-to-text:t" inset="0,0,0,0">
                    <w:txbxContent>
                      <w:p w:rsidR="00B070BF" w:rsidRDefault="00B070BF" w:rsidP="00B070BF">
                        <w:r>
                          <w:rPr>
                            <w:color w:val="000000"/>
                            <w:sz w:val="14"/>
                            <w:szCs w:val="14"/>
                          </w:rPr>
                          <w:t>18</w:t>
                        </w:r>
                      </w:p>
                    </w:txbxContent>
                  </v:textbox>
                </v:rect>
                <v:rect id="Rectangle 133" o:spid="_x0000_s1157" style="position:absolute;left:13500;top:17437;width:990;height:102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7iMAA&#10;AADbAAAADwAAAGRycy9kb3ducmV2LnhtbESPzYoCMRCE7wu+Q2jB25pRQWQ0igiCK14cfYBm0vOD&#10;SWdIojP79kZY2GNRVV9Rm91gjXiRD61jBbNpBoK4dLrlWsH9dvxegQgRWaNxTAp+KcBuO/raYK5d&#10;z1d6FbEWCcIhRwVNjF0uZSgbshimriNOXuW8xZikr6X22Ce4NXKeZUtpseW00GBHh4bKR/G0CuSt&#10;OParwvjMnefVxfycrhU5pSbjYb8GEWmI/+G/9kkrWC7g8yX9ALl9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L7iMAAAADbAAAADwAAAAAAAAAAAAAAAACYAgAAZHJzL2Rvd25y&#10;ZXYueG1sUEsFBgAAAAAEAAQA9QAAAIUDAAAAAA==&#10;" filled="f" stroked="f">
                  <v:textbox style="mso-fit-shape-to-text:t" inset="0,0,0,0">
                    <w:txbxContent>
                      <w:p w:rsidR="00B070BF" w:rsidRDefault="00B070BF" w:rsidP="00B070BF">
                        <w:r>
                          <w:rPr>
                            <w:color w:val="000000"/>
                            <w:sz w:val="14"/>
                            <w:szCs w:val="14"/>
                          </w:rPr>
                          <w:t>34</w:t>
                        </w:r>
                      </w:p>
                    </w:txbxContent>
                  </v:textbox>
                </v:rect>
                <v:rect id="Rectangle 134" o:spid="_x0000_s1158" style="position:absolute;left:5003;top:23025;width:991;height:102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wtj/MAA&#10;AADbAAAADwAAAGRycy9kb3ducmV2LnhtbESPzYoCMRCE7wu+Q2jB25pRRGQ0igiCK14cfYBm0vOD&#10;SWdIojP79kZY2GNRVV9Rm91gjXiRD61jBbNpBoK4dLrlWsH9dvxegQgRWaNxTAp+KcBuO/raYK5d&#10;z1d6FbEWCcIhRwVNjF0uZSgbshimriNOXuW8xZikr6X22Ce4NXKeZUtpseW00GBHh4bKR/G0CuSt&#10;OParwvjMnefVxfycrhU5pSbjYb8GEWmI/+G/9kkrWC7g8yX9ALl9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wtj/MAAAADbAAAADwAAAAAAAAAAAAAAAACYAgAAZHJzL2Rvd25y&#10;ZXYueG1sUEsFBgAAAAAEAAQA9QAAAIUDAAAAAA==&#10;" filled="f" stroked="f">
                  <v:textbox style="mso-fit-shape-to-text:t" inset="0,0,0,0">
                    <w:txbxContent>
                      <w:p w:rsidR="00B070BF" w:rsidRDefault="00B070BF" w:rsidP="00B070BF">
                        <w:r>
                          <w:rPr>
                            <w:color w:val="000000"/>
                            <w:sz w:val="14"/>
                            <w:szCs w:val="14"/>
                          </w:rPr>
                          <w:t>16</w:t>
                        </w:r>
                      </w:p>
                    </w:txbxContent>
                  </v:textbox>
                </v:rect>
                <v:rect id="Rectangle 135" o:spid="_x0000_s1159" style="position:absolute;left:6832;top:11347;width:991;height:102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fGZ8AA&#10;AADbAAAADwAAAGRycy9kb3ducmV2LnhtbESPzYoCMRCE7wu+Q2jB25pRUGQ0igiCK14cfYBm0vOD&#10;SWdIojP79kZY2GNRVV9Rm91gjXiRD61jBbNpBoK4dLrlWsH9dvxegQgRWaNxTAp+KcBuO/raYK5d&#10;z1d6FbEWCcIhRwVNjF0uZSgbshimriNOXuW8xZikr6X22Ce4NXKeZUtpseW00GBHh4bKR/G0CuSt&#10;OParwvjMnefVxfycrhU5pSbjYb8GEWmI/+G/9kkrWC7g8yX9ALl9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EfGZ8AAAADbAAAADwAAAAAAAAAAAAAAAACYAgAAZHJzL2Rvd25y&#10;ZXYueG1sUEsFBgAAAAAEAAQA9QAAAIUDAAAAAA==&#10;" filled="f" stroked="f">
                  <v:textbox style="mso-fit-shape-to-text:t" inset="0,0,0,0">
                    <w:txbxContent>
                      <w:p w:rsidR="00B070BF" w:rsidRDefault="00B070BF" w:rsidP="00B070BF">
                        <w:r>
                          <w:rPr>
                            <w:color w:val="000000"/>
                            <w:sz w:val="14"/>
                            <w:szCs w:val="14"/>
                          </w:rPr>
                          <w:t>53</w:t>
                        </w:r>
                      </w:p>
                    </w:txbxContent>
                  </v:textbox>
                </v:rect>
                <v:rect id="Rectangle 136" o:spid="_x0000_s1160" style="position:absolute;left:15252;top:15436;width:991;height:102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JVYEMAA&#10;AADbAAAADwAAAGRycy9kb3ducmV2LnhtbESPzYoCMRCE7wu+Q2jB25rRwyCzRhFBUPHiuA/QTHp+&#10;2KQzJNEZ394Iwh6LqvqKWm9Ha8SDfOgcK1jMMxDEldMdNwp+b4fvFYgQkTUax6TgSQG2m8nXGgvt&#10;Br7So4yNSBAOBSpoY+wLKUPVksUwdz1x8mrnLcYkfSO1xyHBrZHLLMulxY7TQos97Vuq/sq7VSBv&#10;5WFYlcZn7rysL+Z0vNbklJpNx90PiEhj/A9/2ketIM/h/SX9ALl5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7JVYEMAAAADbAAAADwAAAAAAAAAAAAAAAACYAgAAZHJzL2Rvd25y&#10;ZXYueG1sUEsFBgAAAAAEAAQA9QAAAIUDAAAAAA==&#10;" filled="f" stroked="f">
                  <v:textbox style="mso-fit-shape-to-text:t" inset="0,0,0,0">
                    <w:txbxContent>
                      <w:p w:rsidR="00B070BF" w:rsidRDefault="00B070BF" w:rsidP="00B070BF">
                        <w:r>
                          <w:rPr>
                            <w:color w:val="000000"/>
                            <w:sz w:val="14"/>
                            <w:szCs w:val="14"/>
                          </w:rPr>
                          <w:t>40</w:t>
                        </w:r>
                      </w:p>
                    </w:txbxContent>
                  </v:textbox>
                </v:rect>
                <v:rect id="Rectangle 137" o:spid="_x0000_s1161" style="position:absolute;left:23837;top:20104;width:991;height:102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9n9i8AA&#10;AADbAAAADwAAAGRycy9kb3ducmV2LnhtbESPzYoCMRCE7wu+Q2jB25rRgyujUUQQXPHi6AM0k54f&#10;TDpDEp3ZtzeCsMeiqr6i1tvBGvEkH1rHCmbTDARx6XTLtYLb9fC9BBEiskbjmBT8UYDtZvS1xly7&#10;ni/0LGItEoRDjgqaGLtcylA2ZDFMXUecvMp5izFJX0vtsU9wa+Q8yxbSYstpocGO9g2V9+JhFchr&#10;ceiXhfGZO82rs/k9XipySk3Gw24FItIQ/8Of9lErWPzA+0v6AXLz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9n9i8AAAADbAAAADwAAAAAAAAAAAAAAAACYAgAAZHJzL2Rvd25y&#10;ZXYueG1sUEsFBgAAAAAEAAQA9QAAAIUDAAAAAA==&#10;" filled="f" stroked="f">
                  <v:textbox style="mso-fit-shape-to-text:t" inset="0,0,0,0">
                    <w:txbxContent>
                      <w:p w:rsidR="00B070BF" w:rsidRDefault="00B070BF" w:rsidP="00B070BF">
                        <w:r>
                          <w:rPr>
                            <w:color w:val="000000"/>
                            <w:sz w:val="14"/>
                            <w:szCs w:val="14"/>
                          </w:rPr>
                          <w:t>25</w:t>
                        </w:r>
                      </w:p>
                    </w:txbxContent>
                  </v:textbox>
                </v:rect>
                <v:rect id="Rectangle 138" o:spid="_x0000_s1162" style="position:absolute;left:49593;top:25114;width:495;height:102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kZp+b0A&#10;AADbAAAADwAAAGRycy9kb3ducmV2LnhtbERPy4rCMBTdC/5DuII7m+pCpBpFBEEHN9b5gEtz+8Dk&#10;piTRdv7eLIRZHs57dxitEW/yoXOsYJnlIIgrpztuFPw+zosNiBCRNRrHpOCPAhz208kOC+0GvtO7&#10;jI1IIRwKVNDG2BdShqoliyFzPXHiauctxgR9I7XHIYVbI1d5vpYWO04NLfZ0aql6li+rQD7K87Ap&#10;jc/dz6q+mevlXpNTaj4bj1sQkcb4L/66L1rBOo1NX9IPkPsP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8kZp+b0AAADbAAAADwAAAAAAAAAAAAAAAACYAgAAZHJzL2Rvd25yZXYu&#10;eG1sUEsFBgAAAAAEAAQA9QAAAIIDAAAAAA==&#10;" filled="f" stroked="f">
                  <v:textbox style="mso-fit-shape-to-text:t" inset="0,0,0,0">
                    <w:txbxContent>
                      <w:p w:rsidR="00B070BF" w:rsidRDefault="00B070BF" w:rsidP="00B070BF">
                        <w:r>
                          <w:rPr>
                            <w:color w:val="000000"/>
                            <w:sz w:val="14"/>
                            <w:szCs w:val="14"/>
                          </w:rPr>
                          <w:t>9</w:t>
                        </w:r>
                      </w:p>
                    </w:txbxContent>
                  </v:textbox>
                </v:rect>
                <v:rect id="Rectangle 139" o:spid="_x0000_s1163" style="position:absolute;left:41090;top:24612;width:991;height:102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rMYsAA&#10;AADbAAAADwAAAGRycy9kb3ducmV2LnhtbESPzYoCMRCE7wu+Q2jB25rRg7ijUUQQXPHi6AM0k54f&#10;TDpDEp3ZtzeCsMeiqr6i1tvBGvEkH1rHCmbTDARx6XTLtYLb9fC9BBEiskbjmBT8UYDtZvS1xly7&#10;ni/0LGItEoRDjgqaGLtcylA2ZDFMXUecvMp5izFJX0vtsU9wa+Q8yxbSYstpocGO9g2V9+JhFchr&#10;ceiXhfGZO82rs/k9XipySk3Gw24FItIQ/8Of9lErWPzA+0v6AXLz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QrMYsAAAADbAAAADwAAAAAAAAAAAAAAAACYAgAAZHJzL2Rvd25y&#10;ZXYueG1sUEsFBgAAAAAEAAQA9QAAAIUDAAAAAA==&#10;" filled="f" stroked="f">
                  <v:textbox style="mso-fit-shape-to-text:t" inset="0,0,0,0">
                    <w:txbxContent>
                      <w:p w:rsidR="00B070BF" w:rsidRDefault="00B070BF" w:rsidP="00B070BF">
                        <w:r>
                          <w:rPr>
                            <w:color w:val="000000"/>
                            <w:sz w:val="14"/>
                            <w:szCs w:val="14"/>
                          </w:rPr>
                          <w:t>11</w:t>
                        </w:r>
                      </w:p>
                    </w:txbxContent>
                  </v:textbox>
                </v:rect>
                <v:rect id="Rectangle 140" o:spid="_x0000_s1164" style="position:absolute;left:32505;top:23780;width:991;height:102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nzIr8A&#10;AADbAAAADwAAAGRycy9kb3ducmV2LnhtbERPS2rDMBDdF3IHMYXsarlepMGxEkohkIZu4uQAgzX+&#10;EGlkJMV2bx8tCl0+3r86LNaIiXwYHCt4z3IQxI3TA3cKbtfj2xZEiMgajWNS8EsBDvvVS4WldjNf&#10;aKpjJ1IIhxIV9DGOpZSh6cliyNxInLjWeYsxQd9J7XFO4dbIIs830uLAqaHHkb56au71wyqQ1/o4&#10;b2vjc3cu2h/zfbq05JRavy6fOxCRlvgv/nOftIKPtD59ST9A7p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J6fMivwAAANsAAAAPAAAAAAAAAAAAAAAAAJgCAABkcnMvZG93bnJl&#10;di54bWxQSwUGAAAAAAQABAD1AAAAhAMAAAAA&#10;" filled="f" stroked="f">
                  <v:textbox style="mso-fit-shape-to-text:t" inset="0,0,0,0">
                    <w:txbxContent>
                      <w:p w:rsidR="00B070BF" w:rsidRDefault="00B070BF" w:rsidP="00B070BF">
                        <w:r>
                          <w:rPr>
                            <w:color w:val="000000"/>
                            <w:sz w:val="14"/>
                            <w:szCs w:val="14"/>
                          </w:rPr>
                          <w:t>14</w:t>
                        </w:r>
                      </w:p>
                    </w:txbxContent>
                  </v:textbox>
                </v:rect>
                <v:rect id="Rectangle 141" o:spid="_x0000_s1165" style="position:absolute;left:8750;top:8343;width:990;height:102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qVWucAA&#10;AADbAAAADwAAAGRycy9kb3ducmV2LnhtbESPzYoCMRCE7wu+Q2jB25rRw66MRhFB0MWLow/QTHp+&#10;MOkMSXTGtzeCsMeiqr6iVpvBGvEgH1rHCmbTDARx6XTLtYLrZf+9ABEiskbjmBQ8KcBmPfpaYa5d&#10;z2d6FLEWCcIhRwVNjF0uZSgbshimriNOXuW8xZikr6X22Ce4NXKeZT/SYstpocGOdg2Vt+JuFchL&#10;se8XhfGZ+5tXJ3M8nCtySk3Gw3YJItIQ/8Of9kEr+J3B+0v6AXL9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qVWucAAAADbAAAADwAAAAAAAAAAAAAAAACYAgAAZHJzL2Rvd25y&#10;ZXYueG1sUEsFBgAAAAAEAAQA9QAAAIUDAAAAAA==&#10;" filled="f" stroked="f">
                  <v:textbox style="mso-fit-shape-to-text:t" inset="0,0,0,0">
                    <w:txbxContent>
                      <w:p w:rsidR="00B070BF" w:rsidRDefault="00B070BF" w:rsidP="00B070BF">
                        <w:r>
                          <w:rPr>
                            <w:color w:val="000000"/>
                            <w:sz w:val="14"/>
                            <w:szCs w:val="14"/>
                          </w:rPr>
                          <w:t>63</w:t>
                        </w:r>
                      </w:p>
                    </w:txbxContent>
                  </v:textbox>
                </v:rect>
                <v:rect id="Rectangle 142" o:spid="_x0000_s1166" style="position:absolute;left:51593;top:25196;width:496;height:102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fIzsEA&#10;AADbAAAADwAAAGRycy9kb3ducmV2LnhtbESPzYoCMRCE74LvEFrYm2acgyuzRhFBUNmL4z5AM+n5&#10;waQzJNEZ394sLOyxqKqvqM1utEY8yYfOsYLlIgNBXDndcaPg53acr0GEiKzROCYFLwqw204nGyy0&#10;G/hKzzI2IkE4FKigjbEvpAxVSxbDwvXEyaudtxiT9I3UHocEt0bmWbaSFjtOCy32dGipupcPq0De&#10;yuOwLo3P3CWvv835dK3JKfUxG/dfICKN8T/81z5pBZ85/H5JP0Bu3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Z3yM7BAAAA2wAAAA8AAAAAAAAAAAAAAAAAmAIAAGRycy9kb3du&#10;cmV2LnhtbFBLBQYAAAAABAAEAPUAAACGAwAAAAA=&#10;" filled="f" stroked="f">
                  <v:textbox style="mso-fit-shape-to-text:t" inset="0,0,0,0">
                    <w:txbxContent>
                      <w:p w:rsidR="00B070BF" w:rsidRDefault="00B070BF" w:rsidP="00B070BF">
                        <w:r>
                          <w:rPr>
                            <w:color w:val="000000"/>
                            <w:sz w:val="14"/>
                            <w:szCs w:val="14"/>
                          </w:rPr>
                          <w:t>9</w:t>
                        </w:r>
                      </w:p>
                    </w:txbxContent>
                  </v:textbox>
                </v:rect>
                <v:rect id="Rectangle 143" o:spid="_x0000_s1167" style="position:absolute;left:42919;top:24949;width:991;height:102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ttVcEA&#10;AADbAAAADwAAAGRycy9kb3ducmV2LnhtbESPzYoCMRCE74LvEFrwphkVdmU0igiCLntx9AGaSc8P&#10;Jp0hic749puFhT0WVfUVtd0P1ogX+dA6VrCYZyCIS6dbrhXcb6fZGkSIyBqNY1LwpgD73Xi0xVy7&#10;nq/0KmItEoRDjgqaGLtcylA2ZDHMXUecvMp5izFJX0vtsU9wa+Qyyz6kxZbTQoMdHRsqH8XTKpC3&#10;4tSvC+Mz97Wsvs3lfK3IKTWdDIcNiEhD/A//tc9awecK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k7bVXBAAAA2wAAAA8AAAAAAAAAAAAAAAAAmAIAAGRycy9kb3du&#10;cmV2LnhtbFBLBQYAAAAABAAEAPUAAACGAwAAAAA=&#10;" filled="f" stroked="f">
                  <v:textbox style="mso-fit-shape-to-text:t" inset="0,0,0,0">
                    <w:txbxContent>
                      <w:p w:rsidR="00B070BF" w:rsidRDefault="00B070BF" w:rsidP="00B070BF">
                        <w:r>
                          <w:rPr>
                            <w:color w:val="000000"/>
                            <w:sz w:val="14"/>
                            <w:szCs w:val="14"/>
                          </w:rPr>
                          <w:t>10</w:t>
                        </w:r>
                      </w:p>
                    </w:txbxContent>
                  </v:textbox>
                </v:rect>
                <v:rect id="Rectangle 144" o:spid="_x0000_s1168" style="position:absolute;left:34340;top:23025;width:991;height:102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tL1IcEA&#10;AADbAAAADwAAAGRycy9kb3ducmV2LnhtbESPzYoCMRCE74LvEFrwphlFdmU0igiCLntx9AGaSc8P&#10;Jp0hic749puFhT0WVfUVtd0P1ogX+dA6VrCYZyCIS6dbrhXcb6fZGkSIyBqNY1LwpgD73Xi0xVy7&#10;nq/0KmItEoRDjgqaGLtcylA2ZDHMXUecvMp5izFJX0vtsU9wa+Qyyz6kxZbTQoMdHRsqH8XTKpC3&#10;4tSvC+Mz97Wsvs3lfK3IKTWdDIcNiEhD/A//tc9awecK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bS9SHBAAAA2wAAAA8AAAAAAAAAAAAAAAAAmAIAAGRycy9kb3du&#10;cmV2LnhtbFBLBQYAAAAABAAEAPUAAACGAwAAAAA=&#10;" filled="f" stroked="f">
                  <v:textbox style="mso-fit-shape-to-text:t" inset="0,0,0,0">
                    <w:txbxContent>
                      <w:p w:rsidR="00B070BF" w:rsidRDefault="00B070BF" w:rsidP="00B070BF">
                        <w:r>
                          <w:rPr>
                            <w:color w:val="000000"/>
                            <w:sz w:val="14"/>
                            <w:szCs w:val="14"/>
                          </w:rPr>
                          <w:t>16</w:t>
                        </w:r>
                      </w:p>
                    </w:txbxContent>
                  </v:textbox>
                </v:rect>
                <v:rect id="Rectangle 145" o:spid="_x0000_s1169" style="position:absolute;left:25838;top:19272;width:990;height:102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5QusEA&#10;AADbAAAADwAAAGRycy9kb3ducmV2LnhtbESPzYoCMRCE74LvEFrwphkFd2U0igiCLntx9AGaSc8P&#10;Jp0hic749puFhT0WVfUVtd0P1ogX+dA6VrCYZyCIS6dbrhXcb6fZGkSIyBqNY1LwpgD73Xi0xVy7&#10;nq/0KmItEoRDjgqaGLtcylA2ZDHMXUecvMp5izFJX0vtsU9wa+Qyyz6kxZbTQoMdHRsqH8XTKpC3&#10;4tSvC+Mz97Wsvs3lfK3IKTWdDIcNiEhD/A//tc9awecK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meULrBAAAA2wAAAA8AAAAAAAAAAAAAAAAAmAIAAGRycy9kb3du&#10;cmV2LnhtbFBLBQYAAAAABAAEAPUAAACGAwAAAAA=&#10;" filled="f" stroked="f">
                  <v:textbox style="mso-fit-shape-to-text:t" inset="0,0,0,0">
                    <w:txbxContent>
                      <w:p w:rsidR="00B070BF" w:rsidRDefault="00B070BF" w:rsidP="00B070BF">
                        <w:r>
                          <w:rPr>
                            <w:color w:val="000000"/>
                            <w:sz w:val="14"/>
                            <w:szCs w:val="14"/>
                          </w:rPr>
                          <w:t>28</w:t>
                        </w:r>
                      </w:p>
                    </w:txbxContent>
                  </v:textbox>
                </v:rect>
                <v:rect id="Rectangle 146" o:spid="_x0000_s1170" style="position:absolute;left:17335;top:13347;width:991;height:102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zOzcAA&#10;AADbAAAADwAAAGRycy9kb3ducmV2LnhtbESPzYoCMRCE7wu+Q2jB25rRgyujUUQQXPHi6AM0k54f&#10;TDpDEp3ZtzeCsMeiqr6i1tvBGvEkH1rHCmbTDARx6XTLtYLb9fC9BBEiskbjmBT8UYDtZvS1xly7&#10;ni/0LGItEoRDjgqaGLtcylA2ZDFMXUecvMp5izFJX0vtsU9wa+Q8yxbSYstpocGO9g2V9+JhFchr&#10;ceiXhfGZO82rs/k9XipySk3Gw24FItIQ/8Of9lEr+FnA+0v6AXLz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UzOzcAAAADbAAAADwAAAAAAAAAAAAAAAACYAgAAZHJzL2Rvd25y&#10;ZXYueG1sUEsFBgAAAAAEAAQA9QAAAIUDAAAAAA==&#10;" filled="f" stroked="f">
                  <v:textbox style="mso-fit-shape-to-text:t" inset="0,0,0,0">
                    <w:txbxContent>
                      <w:p w:rsidR="00B070BF" w:rsidRDefault="00B070BF" w:rsidP="00B070BF">
                        <w:r>
                          <w:rPr>
                            <w:color w:val="000000"/>
                            <w:sz w:val="14"/>
                            <w:szCs w:val="14"/>
                          </w:rPr>
                          <w:t>47</w:t>
                        </w:r>
                      </w:p>
                    </w:txbxContent>
                  </v:textbox>
                </v:rect>
                <v:rect id="Rectangle 147" o:spid="_x0000_s1171" style="position:absolute;left:1917;top:27114;width:496;height:102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BrVsAA&#10;AADbAAAADwAAAGRycy9kb3ducmV2LnhtbESPzYoCMRCE7wu+Q2jB25rRg8poFBEEV7w4+gDNpOcH&#10;k86QRGf27Y2wsMeiqr6iNrvBGvEiH1rHCmbTDARx6XTLtYL77fi9AhEiskbjmBT8UoDddvS1wVy7&#10;nq/0KmItEoRDjgqaGLtcylA2ZDFMXUecvMp5izFJX0vtsU9wa+Q8yxbSYstpocGODg2Vj+JpFchb&#10;cexXhfGZO8+ri/k5XStySk3Gw34NItIQ/8N/7ZNWsFzC50v6AXL7B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gBrVsAAAADbAAAADwAAAAAAAAAAAAAAAACYAgAAZHJzL2Rvd25y&#10;ZXYueG1sUEsFBgAAAAAEAAQA9QAAAIUDAAAAAA==&#10;" filled="f" stroked="f">
                  <v:textbox style="mso-fit-shape-to-text:t" inset="0,0,0,0">
                    <w:txbxContent>
                      <w:p w:rsidR="00B070BF" w:rsidRDefault="00B070BF" w:rsidP="00B070BF">
                        <w:r>
                          <w:rPr>
                            <w:color w:val="000000"/>
                            <w:sz w:val="14"/>
                            <w:szCs w:val="14"/>
                          </w:rPr>
                          <w:t>0</w:t>
                        </w:r>
                      </w:p>
                    </w:txbxContent>
                  </v:textbox>
                </v:rect>
                <v:rect id="Rectangle 148" o:spid="_x0000_s1172" style="position:absolute;left:1416;top:24028;width:990;height:102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5//JL8A&#10;AADbAAAADwAAAGRycy9kb3ducmV2LnhtbERPS2rDMBDdF3IHMYXsarlepMGxEkohkIZu4uQAgzX+&#10;EGlkJMV2bx8tCl0+3r86LNaIiXwYHCt4z3IQxI3TA3cKbtfj2xZEiMgajWNS8EsBDvvVS4WldjNf&#10;aKpjJ1IIhxIV9DGOpZSh6cliyNxInLjWeYsxQd9J7XFO4dbIIs830uLAqaHHkb56au71wyqQ1/o4&#10;b2vjc3cu2h/zfbq05JRavy6fOxCRlvgv/nOftIKPNDZ9ST9A7p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3n/8kvwAAANsAAAAPAAAAAAAAAAAAAAAAAJgCAABkcnMvZG93bnJl&#10;di54bWxQSwUGAAAAAAQABAD1AAAAhAMAAAAA&#10;" filled="f" stroked="f">
                  <v:textbox style="mso-fit-shape-to-text:t" inset="0,0,0,0">
                    <w:txbxContent>
                      <w:p w:rsidR="00B070BF" w:rsidRDefault="00B070BF" w:rsidP="00B070BF">
                        <w:r>
                          <w:rPr>
                            <w:color w:val="000000"/>
                            <w:sz w:val="14"/>
                            <w:szCs w:val="14"/>
                          </w:rPr>
                          <w:t>10</w:t>
                        </w:r>
                      </w:p>
                    </w:txbxContent>
                  </v:textbox>
                </v:rect>
                <v:rect id="Rectangle 149" o:spid="_x0000_s1173" style="position:absolute;left:1416;top:20859;width:990;height:102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Nav8EA&#10;AADbAAAADwAAAGRycy9kb3ducmV2LnhtbESPzYoCMRCE7wu+Q2jB25rRg6ujUUQQVPbi6AM0k54f&#10;TDpDknVm394IC3ssquorarMbrBFP8qF1rGA2zUAQl063XCu4346fSxAhIms0jknBLwXYbUcfG8y1&#10;6/lKzyLWIkE45KigibHLpQxlQxbD1HXEyauctxiT9LXUHvsEt0bOs2whLbacFhrs6NBQ+Sh+rAJ5&#10;K479sjA+c5d59W3Op2tFTqnJeNivQUQa4n/4r33SCr5W8P6SfoDcv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jTWr/BAAAA2wAAAA8AAAAAAAAAAAAAAAAAmAIAAGRycy9kb3du&#10;cmV2LnhtbFBLBQYAAAAABAAEAPUAAACGAwAAAAA=&#10;" filled="f" stroked="f">
                  <v:textbox style="mso-fit-shape-to-text:t" inset="0,0,0,0">
                    <w:txbxContent>
                      <w:p w:rsidR="00B070BF" w:rsidRDefault="00B070BF" w:rsidP="00B070BF">
                        <w:r>
                          <w:rPr>
                            <w:color w:val="000000"/>
                            <w:sz w:val="14"/>
                            <w:szCs w:val="14"/>
                          </w:rPr>
                          <w:t>20</w:t>
                        </w:r>
                      </w:p>
                    </w:txbxContent>
                  </v:textbox>
                </v:rect>
                <v:rect id="Rectangle 150" o:spid="_x0000_s1174" style="position:absolute;left:1416;top:17773;width:990;height:102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yDBb4A&#10;AADbAAAADwAAAGRycy9kb3ducmV2LnhtbERPy4rCMBTdC/5DuAPuNB0XUjpGGQYKHXFj9QMuze2D&#10;SW5KEm3n781CcHk47/1xtkY8yIfBsYLPTQaCuHF64E7B7VqucxAhIms0jknBPwU4HpaLPRbaTXyh&#10;Rx07kUI4FKigj3EspAxNTxbDxo3EiWudtxgT9J3UHqcUbo3cZtlOWhw4NfQ40k9PzV99twrktS6n&#10;vDY+c6dteza/1aUlp9TqY/7+AhFpjm/xy11pBXlan76kHyAPT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Lw8gwW+AAAA2wAAAA8AAAAAAAAAAAAAAAAAmAIAAGRycy9kb3ducmV2&#10;LnhtbFBLBQYAAAAABAAEAPUAAACDAwAAAAA=&#10;" filled="f" stroked="f">
                  <v:textbox style="mso-fit-shape-to-text:t" inset="0,0,0,0">
                    <w:txbxContent>
                      <w:p w:rsidR="00B070BF" w:rsidRDefault="00B070BF" w:rsidP="00B070BF">
                        <w:r>
                          <w:rPr>
                            <w:color w:val="000000"/>
                            <w:sz w:val="14"/>
                            <w:szCs w:val="14"/>
                          </w:rPr>
                          <w:t>30</w:t>
                        </w:r>
                      </w:p>
                    </w:txbxContent>
                  </v:textbox>
                </v:rect>
                <v:rect id="Rectangle 151" o:spid="_x0000_s1175" style="position:absolute;left:1416;top:14598;width:990;height:102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3AmnsEA&#10;AADbAAAADwAAAGRycy9kb3ducmV2LnhtbESP3YrCMBSE7xd8h3AE77apXkipRhFB0GVvrPsAh+b0&#10;B5OTkkTbffuNIOzlMDPfMNv9ZI14kg+9YwXLLAdBXDvdc6vg53b6LECEiKzROCYFvxRgv5t9bLHU&#10;buQrPavYigThUKKCLsahlDLUHVkMmRuIk9c4bzEm6VupPY4Jbo1c5flaWuw5LXQ40LGj+l49rAJ5&#10;q05jURmfu69V820u52tDTqnFfDpsQESa4n/43T5rBcUSXl/SD5C7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NwJp7BAAAA2wAAAA8AAAAAAAAAAAAAAAAAmAIAAGRycy9kb3du&#10;cmV2LnhtbFBLBQYAAAAABAAEAPUAAACGAwAAAAA=&#10;" filled="f" stroked="f">
                  <v:textbox style="mso-fit-shape-to-text:t" inset="0,0,0,0">
                    <w:txbxContent>
                      <w:p w:rsidR="00B070BF" w:rsidRDefault="00B070BF" w:rsidP="00B070BF">
                        <w:r>
                          <w:rPr>
                            <w:color w:val="000000"/>
                            <w:sz w:val="14"/>
                            <w:szCs w:val="14"/>
                          </w:rPr>
                          <w:t>40</w:t>
                        </w:r>
                      </w:p>
                    </w:txbxContent>
                  </v:textbox>
                </v:rect>
                <v:rect id="Rectangle 152" o:spid="_x0000_s1176" style="position:absolute;left:1416;top:11512;width:990;height:102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6K46cEA&#10;AADbAAAADwAAAGRycy9kb3ducmV2LnhtbESP3YrCMBSE7xd8h3AE79Z0eyGlGkUWBF28se4DHJrT&#10;H0xOShJt9+2NIOzlMDPfMJvdZI14kA+9YwVfywwEce10z62C3+vhswARIrJG45gU/FGA3Xb2scFS&#10;u5Ev9KhiKxKEQ4kKuhiHUspQd2QxLN1AnLzGeYsxSd9K7XFMcGtknmUrabHntNDhQN8d1bfqbhXI&#10;a3UYi8r4zP3kzdmcjpeGnFKL+bRfg4g0xf/wu33UCoocXl/SD5Db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OiuOnBAAAA2wAAAA8AAAAAAAAAAAAAAAAAmAIAAGRycy9kb3du&#10;cmV2LnhtbFBLBQYAAAAABAAEAPUAAACGAwAAAAA=&#10;" filled="f" stroked="f">
                  <v:textbox style="mso-fit-shape-to-text:t" inset="0,0,0,0">
                    <w:txbxContent>
                      <w:p w:rsidR="00B070BF" w:rsidRDefault="00B070BF" w:rsidP="00B070BF">
                        <w:r>
                          <w:rPr>
                            <w:color w:val="000000"/>
                            <w:sz w:val="14"/>
                            <w:szCs w:val="14"/>
                          </w:rPr>
                          <w:t>50</w:t>
                        </w:r>
                      </w:p>
                    </w:txbxContent>
                  </v:textbox>
                </v:rect>
                <v:rect id="Rectangle 153" o:spid="_x0000_s1177" style="position:absolute;left:1416;top:8343;width:990;height:102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4dcsEA&#10;AADbAAAADwAAAGRycy9kb3ducmV2LnhtbESP3YrCMBSE7xd8h3AE79ZUF5bSNYoIgi7eWPcBDs3p&#10;DyYnJYm2vr0RhL0cZuYbZrUZrRF38qFzrGAxz0AQV0533Cj4u+w/cxAhIms0jknBgwJs1pOPFRba&#10;DXymexkbkSAcClTQxtgXUoaqJYth7nri5NXOW4xJ+kZqj0OCWyOXWfYtLXacFlrsaddSdS1vVoG8&#10;lPshL43P3O+yPpnj4VyTU2o2Hbc/ICKN8T/8bh+0gvwLXl/SD5Dr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zuHXLBAAAA2wAAAA8AAAAAAAAAAAAAAAAAmAIAAGRycy9kb3du&#10;cmV2LnhtbFBLBQYAAAAABAAEAPUAAACGAwAAAAA=&#10;" filled="f" stroked="f">
                  <v:textbox style="mso-fit-shape-to-text:t" inset="0,0,0,0">
                    <w:txbxContent>
                      <w:p w:rsidR="00B070BF" w:rsidRDefault="00B070BF" w:rsidP="00B070BF">
                        <w:r>
                          <w:rPr>
                            <w:color w:val="000000"/>
                            <w:sz w:val="14"/>
                            <w:szCs w:val="14"/>
                          </w:rPr>
                          <w:t>60</w:t>
                        </w:r>
                      </w:p>
                    </w:txbxContent>
                  </v:textbox>
                </v:rect>
                <v:rect id="Rectangle 154" o:spid="_x0000_s1178" style="position:absolute;left:1416;top:5257;width:990;height:102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eFBsEA&#10;AADbAAAADwAAAGRycy9kb3ducmV2LnhtbESP3YrCMBSE7xd8h3AE79ZUWZbSNYoIgi7eWPcBDs3p&#10;DyYnJYm2vr0RhL0cZuYbZrUZrRF38qFzrGAxz0AQV0533Cj4u+w/cxAhIms0jknBgwJs1pOPFRba&#10;DXymexkbkSAcClTQxtgXUoaqJYth7nri5NXOW4xJ+kZqj0OCWyOXWfYtLXacFlrsaddSdS1vVoG8&#10;lPshL43P3O+yPpnj4VyTU2o2Hbc/ICKN8T/8bh+0gvwLXl/SD5Dr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MHhQbBAAAA2wAAAA8AAAAAAAAAAAAAAAAAmAIAAGRycy9kb3du&#10;cmV2LnhtbFBLBQYAAAAABAAEAPUAAACGAwAAAAA=&#10;" filled="f" stroked="f">
                  <v:textbox style="mso-fit-shape-to-text:t" inset="0,0,0,0">
                    <w:txbxContent>
                      <w:p w:rsidR="00B070BF" w:rsidRDefault="00B070BF" w:rsidP="00B070BF">
                        <w:r>
                          <w:rPr>
                            <w:color w:val="000000"/>
                            <w:sz w:val="14"/>
                            <w:szCs w:val="14"/>
                          </w:rPr>
                          <w:t>70</w:t>
                        </w:r>
                      </w:p>
                    </w:txbxContent>
                  </v:textbox>
                </v:rect>
                <v:rect id="Rectangle 155" o:spid="_x0000_s1179" style="position:absolute;left:5003;top:28448;width:4991;height:102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sgncEA&#10;AADbAAAADwAAAGRycy9kb3ducmV2LnhtbESP3YrCMBSE7xd8h3AE79ZUYZfSNYoIgi7eWPcBDs3p&#10;DyYnJYm2vr0RhL0cZuYbZrUZrRF38qFzrGAxz0AQV0533Cj4u+w/cxAhIms0jknBgwJs1pOPFRba&#10;DXymexkbkSAcClTQxtgXUoaqJYth7nri5NXOW4xJ+kZqj0OCWyOXWfYtLXacFlrsaddSdS1vVoG8&#10;lPshL43P3O+yPpnj4VyTU2o2Hbc/ICKN8T/8bh+0gvwLXl/SD5Dr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xLIJ3BAAAA2wAAAA8AAAAAAAAAAAAAAAAAmAIAAGRycy9kb3du&#10;cmV2LnhtbFBLBQYAAAAABAAEAPUAAACGAwAAAAA=&#10;" filled="f" stroked="f">
                  <v:textbox style="mso-fit-shape-to-text:t" inset="0,0,0,0">
                    <w:txbxContent>
                      <w:p w:rsidR="00B070BF" w:rsidRPr="00337705" w:rsidRDefault="00B070BF" w:rsidP="00B070BF">
                        <w:r>
                          <w:rPr>
                            <w:color w:val="000000"/>
                            <w:sz w:val="14"/>
                            <w:szCs w:val="14"/>
                          </w:rPr>
                          <w:t>Acuerdos de</w:t>
                        </w:r>
                      </w:p>
                    </w:txbxContent>
                  </v:textbox>
                </v:rect>
                <v:rect id="Rectangle 156" o:spid="_x0000_s1180" style="position:absolute;left:4914;top:29698;width:4845;height:102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ThfCsMA&#10;AADbAAAADwAAAGRycy9kb3ducmV2LnhtbESP3WoCMRSE7wu+QzgF72p2iyy6GkULRRG88OcBDpvT&#10;zbabk20Sdfv2jSB4OczMN8x82dtWXMmHxrGCfJSBIK6cbrhWcD59vk1AhIissXVMCv4owHIxeJlj&#10;qd2ND3Q9xlokCIcSFZgYu1LKUBmyGEauI07el/MWY5K+ltrjLcFtK9+zrJAWG04LBjv6MFT9HC9W&#10;Aa03h+n3Kpi99HnI97tiOt78KjV87VczEJH6+Aw/2lutYFLA/Uv6AXLx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ThfCsMAAADbAAAADwAAAAAAAAAAAAAAAACYAgAAZHJzL2Rv&#10;d25yZXYueG1sUEsFBgAAAAAEAAQA9QAAAIgDAAAAAA==&#10;" filled="f" stroked="f">
                  <v:textbox inset="0,0,0,0">
                    <w:txbxContent>
                      <w:p w:rsidR="00B070BF" w:rsidRPr="00337705" w:rsidRDefault="00B070BF" w:rsidP="00B070BF">
                        <w:r>
                          <w:rPr>
                            <w:color w:val="000000"/>
                            <w:sz w:val="14"/>
                            <w:szCs w:val="14"/>
                          </w:rPr>
                          <w:t>cooperación</w:t>
                        </w:r>
                      </w:p>
                    </w:txbxContent>
                  </v:textbox>
                </v:rect>
                <v:rect id="Rectangle 157" o:spid="_x0000_s1181" style="position:absolute;left:12249;top:28448;width:7213;height:102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9UbccEA&#10;AADbAAAADwAAAGRycy9kb3ducmV2LnhtbESPzYoCMRCE7wu+Q2jB25rRw+4waxQRBF28OO4DNJOe&#10;H0w6QxKd8e2NIOyxqKqvqNVmtEbcyYfOsYLFPANBXDndcaPg77L/zEGEiKzROCYFDwqwWU8+Vlho&#10;N/CZ7mVsRIJwKFBBG2NfSBmqliyGueuJk1c7bzEm6RupPQ4Jbo1cZtmXtNhxWmixp11L1bW8WQXy&#10;Uu6HvDQ+c7/L+mSOh3NNTqnZdNz+gIg0xv/wu33QCvJveH1JP0Cu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PVG3HBAAAA2wAAAA8AAAAAAAAAAAAAAAAAmAIAAGRycy9kb3du&#10;cmV2LnhtbFBLBQYAAAAABAAEAPUAAACGAwAAAAA=&#10;" filled="f" stroked="f">
                  <v:textbox style="mso-fit-shape-to-text:t" inset="0,0,0,0">
                    <w:txbxContent>
                      <w:p w:rsidR="00B070BF" w:rsidRDefault="00B070BF" w:rsidP="00B070BF">
                        <w:r>
                          <w:rPr>
                            <w:color w:val="000000"/>
                            <w:sz w:val="14"/>
                            <w:szCs w:val="14"/>
                          </w:rPr>
                          <w:t>IPAS para marcas</w:t>
                        </w:r>
                      </w:p>
                    </w:txbxContent>
                  </v:textbox>
                </v:rect>
                <v:rect id="Rectangle 158" o:spid="_x0000_s1182" style="position:absolute;left:21755;top:28448;width:7715;height:102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qPA74A&#10;AADbAAAADwAAAGRycy9kb3ducmV2LnhtbERPy4rCMBTdC/5DuAPuNB0XUjpGGQYKHXFj9QMuze2D&#10;SW5KEm3n781CcHk47/1xtkY8yIfBsYLPTQaCuHF64E7B7VqucxAhIms0jknBPwU4HpaLPRbaTXyh&#10;Rx07kUI4FKigj3EspAxNTxbDxo3EiWudtxgT9J3UHqcUbo3cZtlOWhw4NfQ40k9PzV99twrktS6n&#10;vDY+c6dteza/1aUlp9TqY/7+AhFpjm/xy11pBXkam76kHyAPT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JKjwO+AAAA2wAAAA8AAAAAAAAAAAAAAAAAmAIAAGRycy9kb3ducmV2&#10;LnhtbFBLBQYAAAAABAAEAPUAAACDAwAAAAA=&#10;" filled="f" stroked="f">
                  <v:textbox style="mso-fit-shape-to-text:t" inset="0,0,0,0">
                    <w:txbxContent>
                      <w:p w:rsidR="00B070BF" w:rsidRDefault="00B070BF" w:rsidP="00B070BF">
                        <w:r>
                          <w:rPr>
                            <w:color w:val="000000"/>
                            <w:sz w:val="14"/>
                            <w:szCs w:val="14"/>
                          </w:rPr>
                          <w:t>IPAS para patentes</w:t>
                        </w:r>
                      </w:p>
                    </w:txbxContent>
                  </v:textbox>
                </v:rect>
                <v:rect id="Rectangle 159" o:spid="_x0000_s1183" style="position:absolute;left:30835;top:28448;width:4401;height:102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YqmMEA&#10;AADbAAAADwAAAGRycy9kb3ducmV2LnhtbESPzYoCMRCE7wu+Q2jB25rRwzI7axQRBF28OO4DNJOe&#10;H0w6QxKd8e2NIOyxqKqvqNVmtEbcyYfOsYLFPANBXDndcaPg77L/zEGEiKzROCYFDwqwWU8+Vlho&#10;N/CZ7mVsRIJwKFBBG2NfSBmqliyGueuJk1c7bzEm6RupPQ4Jbo1cZtmXtNhxWmixp11L1bW8WQXy&#10;Uu6HvDQ+c7/L+mSOh3NNTqnZdNz+gIg0xv/wu33QCvJveH1JP0Cu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0GKpjBAAAA2wAAAA8AAAAAAAAAAAAAAAAAmAIAAGRycy9kb3du&#10;cmV2LnhtbFBLBQYAAAAABAAEAPUAAACGAwAAAAA=&#10;" filled="f" stroked="f">
                  <v:textbox style="mso-fit-shape-to-text:t" inset="0,0,0,0">
                    <w:txbxContent>
                      <w:p w:rsidR="00B070BF" w:rsidRDefault="00B070BF" w:rsidP="00B070BF">
                        <w:r>
                          <w:rPr>
                            <w:color w:val="000000"/>
                            <w:sz w:val="14"/>
                            <w:szCs w:val="14"/>
                          </w:rPr>
                          <w:t>WIPOScan</w:t>
                        </w:r>
                      </w:p>
                    </w:txbxContent>
                  </v:textbox>
                </v:rect>
                <v:rect id="Rectangle 160" o:spid="_x0000_s1184" style="position:absolute;left:39090;top:28448;width:5734;height:102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UV2L8A&#10;AADbAAAADwAAAGRycy9kb3ducmV2LnhtbERPS2rDMBDdF3IHMYXsarlehNSxEkohkIZu4uQAgzX+&#10;EGlkJMV2bx8tCl0+3r86LNaIiXwYHCt4z3IQxI3TA3cKbtfj2xZEiMgajWNS8EsBDvvVS4WldjNf&#10;aKpjJ1IIhxIV9DGOpZSh6cliyNxInLjWeYsxQd9J7XFO4dbIIs830uLAqaHHkb56au71wyqQ1/o4&#10;b2vjc3cu2h/zfbq05JRavy6fOxCRlvgv/nOftIKPtD59ST9A7p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55RXYvwAAANsAAAAPAAAAAAAAAAAAAAAAAJgCAABkcnMvZG93bnJl&#10;di54bWxQSwUGAAAAAAQABAD1AAAAhAMAAAAA&#10;" filled="f" stroked="f">
                  <v:textbox style="mso-fit-shape-to-text:t" inset="0,0,0,0">
                    <w:txbxContent>
                      <w:p w:rsidR="00B070BF" w:rsidRDefault="00B070BF" w:rsidP="00B070BF">
                        <w:r>
                          <w:rPr>
                            <w:color w:val="000000"/>
                            <w:sz w:val="14"/>
                            <w:szCs w:val="14"/>
                          </w:rPr>
                          <w:t xml:space="preserve">Sistema árabe </w:t>
                        </w:r>
                      </w:p>
                    </w:txbxContent>
                  </v:textbox>
                </v:rect>
                <v:rect id="Rectangle 161" o:spid="_x0000_s1185" style="position:absolute;left:38919;top:29698;width:6921;height:102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mwQ8AA&#10;AADbAAAADwAAAGRycy9kb3ducmV2LnhtbESPzYoCMRCE7wu+Q2jB25rRw+KORhFB0MWLow/QTHp+&#10;MOkMSXTGtzeCsMeiqr6iVpvBGvEgH1rHCmbTDARx6XTLtYLrZf+9ABEiskbjmBQ8KcBmPfpaYa5d&#10;z2d6FLEWCcIhRwVNjF0uZSgbshimriNOXuW8xZikr6X22Ce4NXKeZT/SYstpocGOdg2Vt+JuFchL&#10;se8XhfGZ+5tXJ3M8nCtySk3Gw3YJItIQ/8Of9kEr+J3B+0v6AXL9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qmwQ8AAAADbAAAADwAAAAAAAAAAAAAAAACYAgAAZHJzL2Rvd25y&#10;ZXYueG1sUEsFBgAAAAAEAAQA9QAAAIUDAAAAAA==&#10;" filled="f" stroked="f">
                  <v:textbox style="mso-fit-shape-to-text:t" inset="0,0,0,0">
                    <w:txbxContent>
                      <w:p w:rsidR="00B070BF" w:rsidRPr="00CC16B5" w:rsidRDefault="00B070BF" w:rsidP="00B070BF">
                        <w:r>
                          <w:rPr>
                            <w:color w:val="000000"/>
                            <w:sz w:val="14"/>
                            <w:szCs w:val="14"/>
                          </w:rPr>
                          <w:t>de gestión de P.I.</w:t>
                        </w:r>
                      </w:p>
                    </w:txbxContent>
                  </v:textbox>
                </v:rect>
                <v:rect id="Rectangle 162" o:spid="_x0000_s1186" style="position:absolute;left:40081;top:30721;width:3607;height:102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suNMEA&#10;AADbAAAADwAAAGRycy9kb3ducmV2LnhtbESPzYoCMRCE7wu+Q2hhb2vGOYjOGkUEQWUvjvsAzaTn&#10;B5POkERnfHuzsOCxqKqvqPV2tEY8yIfOsYL5LANBXDndcaPg93r4WoIIEVmjcUwKnhRgu5l8rLHQ&#10;buALPcrYiAThUKCCNsa+kDJULVkMM9cTJ6923mJM0jdSexwS3BqZZ9lCWuw4LbTY076l6lberQJ5&#10;LQ/DsjQ+c+e8/jGn46Ump9TndNx9g4g0xnf4v33UClY5/H1JP0BuX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Z7LjTBAAAA2wAAAA8AAAAAAAAAAAAAAAAAmAIAAGRycy9kb3du&#10;cmV2LnhtbFBLBQYAAAAABAAEAPUAAACGAwAAAAA=&#10;" filled="f" stroked="f">
                  <v:textbox style="mso-fit-shape-to-text:t" inset="0,0,0,0">
                    <w:txbxContent>
                      <w:p w:rsidR="00B070BF" w:rsidRDefault="00B070BF" w:rsidP="00B070BF">
                        <w:r>
                          <w:rPr>
                            <w:color w:val="000000"/>
                            <w:sz w:val="14"/>
                            <w:szCs w:val="14"/>
                          </w:rPr>
                          <w:t xml:space="preserve"> (AIPMS)</w:t>
                        </w:r>
                      </w:p>
                    </w:txbxContent>
                  </v:textbox>
                </v:rect>
                <v:rect id="Rectangle 163" o:spid="_x0000_s1187" style="position:absolute;left:39319;top:31743;width:6362;height:10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U75cUA&#10;AADbAAAADwAAAGRycy9kb3ducmV2LnhtbESPQWvCQBSE70L/w/IKXkQ3WhCN2UgpCB4KxdhDvT2y&#10;z2w0+zZkV5P213cLBY/DzHzDZNvBNuJOna8dK5jPEhDEpdM1Vwo+j7vpCoQPyBobx6Tgmzxs86dR&#10;hql2PR/oXoRKRAj7FBWYENpUSl8asuhnriWO3tl1FkOUXSV1h32E20YukmQpLdYcFwy29GaovBY3&#10;q2D38VUT/8jDZL3q3aVcnArz3io1fh5eNyACDeER/m/vtYL1C/x9iT9A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FTvlxQAAANsAAAAPAAAAAAAAAAAAAAAAAJgCAABkcnMv&#10;ZG93bnJldi54bWxQSwUGAAAAAAQABAD1AAAAigMAAAAA&#10;" filled="f" stroked="f">
                  <v:textbox style="mso-fit-shape-to-text:t" inset="0,0,0,0">
                    <w:txbxContent>
                      <w:p w:rsidR="00B070BF" w:rsidRPr="00CC16B5" w:rsidRDefault="00B070BF" w:rsidP="00B070BF">
                        <w:r>
                          <w:rPr>
                            <w:color w:val="000000"/>
                            <w:sz w:val="14"/>
                            <w:szCs w:val="14"/>
                          </w:rPr>
                          <w:t>para marcas</w:t>
                        </w:r>
                      </w:p>
                    </w:txbxContent>
                  </v:textbox>
                </v:rect>
                <v:rect id="Rectangle 164" o:spid="_x0000_s1188" style="position:absolute;left:47421;top:28448;width:5734;height:102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4T28EA&#10;AADbAAAADwAAAGRycy9kb3ducmV2LnhtbESPzYoCMRCE7wu+Q2jB25pRZNHRKCIIKntx9AGaSc8P&#10;Jp0hyTqzb2+EhT0WVfUVtdkN1ogn+dA6VjCbZiCIS6dbrhXcb8fPJYgQkTUax6TglwLstqOPDeba&#10;9XylZxFrkSAcclTQxNjlUoayIYth6jri5FXOW4xJ+lpqj32CWyPnWfYlLbacFhrs6NBQ+Sh+rAJ5&#10;K479sjA+c5d59W3Op2tFTqnJeNivQUQa4n/4r33SClYLeH9JP0Bu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beE9vBAAAA2wAAAA8AAAAAAAAAAAAAAAAAmAIAAGRycy9kb3du&#10;cmV2LnhtbFBLBQYAAAAABAAEAPUAAACGAwAAAAA=&#10;" filled="f" stroked="f">
                  <v:textbox style="mso-fit-shape-to-text:t" inset="0,0,0,0">
                    <w:txbxContent>
                      <w:p w:rsidR="00B070BF" w:rsidRPr="00CC16B5" w:rsidRDefault="00B070BF" w:rsidP="00B070BF">
                        <w:r>
                          <w:rPr>
                            <w:color w:val="000000"/>
                            <w:sz w:val="14"/>
                            <w:szCs w:val="14"/>
                          </w:rPr>
                          <w:t xml:space="preserve">Sistema árabe </w:t>
                        </w:r>
                      </w:p>
                    </w:txbxContent>
                  </v:textbox>
                </v:rect>
                <v:rect id="Rectangle 165" o:spid="_x0000_s1189" style="position:absolute;left:47421;top:29698;width:6922;height:102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K2QMEA&#10;AADbAAAADwAAAGRycy9kb3ducmV2LnhtbESPzYoCMRCE7wu+Q2jB25pRcNHRKCIIKntx9AGaSc8P&#10;Jp0hyTqzb2+EhT0WVfUVtdkN1ogn+dA6VjCbZiCIS6dbrhXcb8fPJYgQkTUax6TglwLstqOPDeba&#10;9XylZxFrkSAcclTQxNjlUoayIYth6jri5FXOW4xJ+lpqj32CWyPnWfYlLbacFhrs6NBQ+Sh+rAJ5&#10;K479sjA+c5d59W3Op2tFTqnJeNivQUQa4n/4r33SClYLeH9JP0Bu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mStkDBAAAA2wAAAA8AAAAAAAAAAAAAAAAAmAIAAGRycy9kb3du&#10;cmV2LnhtbFBLBQYAAAAABAAEAPUAAACGAwAAAAA=&#10;" filled="f" stroked="f">
                  <v:textbox style="mso-fit-shape-to-text:t" inset="0,0,0,0">
                    <w:txbxContent>
                      <w:p w:rsidR="00B070BF" w:rsidRPr="00CC16B5" w:rsidRDefault="00B070BF" w:rsidP="00B070BF">
                        <w:r>
                          <w:rPr>
                            <w:color w:val="000000"/>
                            <w:sz w:val="14"/>
                            <w:szCs w:val="14"/>
                          </w:rPr>
                          <w:t>de gestión de P.I.</w:t>
                        </w:r>
                      </w:p>
                    </w:txbxContent>
                  </v:textbox>
                </v:rect>
                <v:rect id="Rectangle 166" o:spid="_x0000_s1190" style="position:absolute;left:48336;top:30721;width:3359;height:102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UAoN8AA&#10;AADbAAAADwAAAGRycy9kb3ducmV2LnhtbESPzYoCMRCE7wu+Q2jB25rRg7ijUUQQXPHi6AM0k54f&#10;TDpDEp3ZtzeCsMeiqr6i1tvBGvEkH1rHCmbTDARx6XTLtYLb9fC9BBEiskbjmBT8UYDtZvS1xly7&#10;ni/0LGItEoRDjgqaGLtcylA2ZDFMXUecvMp5izFJX0vtsU9wa+Q8yxbSYstpocGO9g2V9+JhFchr&#10;ceiXhfGZO82rs/k9XipySk3Gw24FItIQ/8Of9lEr+FnA+0v6AXLz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UAoN8AAAADbAAAADwAAAAAAAAAAAAAAAACYAgAAZHJzL2Rvd25y&#10;ZXYueG1sUEsFBgAAAAAEAAQA9QAAAIUDAAAAAA==&#10;" filled="f" stroked="f">
                  <v:textbox style="mso-fit-shape-to-text:t" inset="0,0,0,0">
                    <w:txbxContent>
                      <w:p w:rsidR="00B070BF" w:rsidRPr="00CC16B5" w:rsidRDefault="00B070BF" w:rsidP="00B070BF">
                        <w:r>
                          <w:rPr>
                            <w:color w:val="000000"/>
                            <w:sz w:val="14"/>
                            <w:szCs w:val="14"/>
                          </w:rPr>
                          <w:t>(AIPMS)</w:t>
                        </w:r>
                      </w:p>
                    </w:txbxContent>
                  </v:textbox>
                </v:rect>
                <v:rect id="Rectangle 167" o:spid="_x0000_s1191" style="position:absolute;left:47713;top:31743;width:5442;height:102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yNrMEA&#10;AADbAAAADwAAAGRycy9kb3ducmV2LnhtbESPzYoCMRCE7wu+Q2jB25rRg6ujUUQQVPbi6AM0k54f&#10;TDpDknVm394IC3ssquorarMbrBFP8qF1rGA2zUAQl063XCu4346fSxAhIms0jknBLwXYbUcfG8y1&#10;6/lKzyLWIkE45KigibHLpQxlQxbD1HXEyauctxiT9LXUHvsEt0bOs2whLbacFhrs6NBQ+Sh+rAJ5&#10;K479sjA+c5d59W3Op2tFTqnJeNivQUQa4n/4r33SClZf8P6SfoDcv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YMjazBAAAA2wAAAA8AAAAAAAAAAAAAAAAAmAIAAGRycy9kb3du&#10;cmV2LnhtbFBLBQYAAAAABAAEAPUAAACGAwAAAAA=&#10;" filled="f" stroked="f">
                  <v:textbox style="mso-fit-shape-to-text:t" inset="0,0,0,0">
                    <w:txbxContent>
                      <w:p w:rsidR="00B070BF" w:rsidRPr="00CC16B5" w:rsidRDefault="00B070BF" w:rsidP="00B070BF">
                        <w:r>
                          <w:rPr>
                            <w:color w:val="000000"/>
                            <w:sz w:val="14"/>
                            <w:szCs w:val="14"/>
                          </w:rPr>
                          <w:t>para patentes</w:t>
                        </w:r>
                      </w:p>
                    </w:txbxContent>
                  </v:textbox>
                </v:rect>
                <v:rect id="Rectangle 168" o:spid="_x0000_s1192" style="position:absolute;left:55092;top:14351;width:3416;height:47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yq0osEA&#10;AADbAAAADwAAAGRycy9kb3ducmV2LnhtbERPPW/CMBDdK/EfrEPq1jgwVCHEIEBCdOiSUKkZT/ER&#10;R8TnEBtI/309VOr49L6L7WR78aDRd44VLJIUBHHjdMetgq/z8S0D4QOyxt4xKfghD9vN7KXAXLsn&#10;l/SoQitiCPscFZgQhlxK3xiy6BM3EEfu4kaLIcKxlXrEZwy3vVym6bu02HFsMDjQwVBzre5WAfW3&#10;43eW7cr6tN836aBrc/qslXqdT7s1iEBT+Bf/uT+0glUcG7/EHyA3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MqtKLBAAAA2wAAAA8AAAAAAAAAAAAAAAAAmAIAAGRycy9kb3du&#10;cmV2LnhtbFBLBQYAAAAABAAEAPUAAACGAwAAAAA=&#10;" strokeweight="0"/>
                <v:rect id="Rectangle 169" o:spid="_x0000_s1193" style="position:absolute;left:55422;top:14935;width:502;height:5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Ny6MYA&#10;AADbAAAADwAAAGRycy9kb3ducmV2LnhtbESPW2vCQBSE3wv9D8sp9K3ZVKiXNKuIUFpFBK3S12P2&#10;5EKzZ9PsqtFf7wpCH4eZ+YZJJ52pxZFaV1lW8BrFIIgzqysuFGy/P16GIJxH1lhbJgVncjAZPz6k&#10;mGh74jUdN74QAcIuQQWl900ipctKMugi2xAHL7etQR9kW0jd4inATS17cdyXBisOCyU2NCsp+90c&#10;jIL94EKz85tb/nVmt7erxWfu5j9KPT9103cQnjr/H763v7SC0QhuX8IPkOM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DNy6MYAAADbAAAADwAAAAAAAAAAAAAAAACYAgAAZHJz&#10;L2Rvd25yZXYueG1sUEsFBgAAAAAEAAQA9QAAAIsDAAAAAA==&#10;" fillcolor="#99f" strokeweight=".65pt"/>
                <v:rect id="Rectangle 170" o:spid="_x0000_s1194" style="position:absolute;left:56261;top:14598;width:1981;height:102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u/7sIA&#10;AADcAAAADwAAAGRycy9kb3ducmV2LnhtbESPzWoDMQyE74W8g1Ggt8ZODiVs44QQCKSll2z6AGKt&#10;/aG2vNhOdvv21aHQm8SMZj7tDnPw6kEpD5EtrFcGFHET3cCdha/b+WULKhdkhz4yWfihDIf94mmH&#10;lYsTX+lRl05JCOcKLfSljJXWuekpYF7FkVi0NqaARdbUaZdwkvDg9caYVx1wYGnocaRTT813fQ8W&#10;9K0+T9vaJxM/Nu2nf79cW4rWPi/n4xuoQnP5N/9dX5zgG8GXZ2QCvf8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G7/uwgAAANwAAAAPAAAAAAAAAAAAAAAAAJgCAABkcnMvZG93&#10;bnJldi54bWxQSwUGAAAAAAQABAD1AAAAhwMAAAAA&#10;" filled="f" stroked="f">
                  <v:textbox style="mso-fit-shape-to-text:t" inset="0,0,0,0">
                    <w:txbxContent>
                      <w:p w:rsidR="00B070BF" w:rsidRDefault="00B070BF" w:rsidP="00B070BF">
                        <w:r>
                          <w:rPr>
                            <w:color w:val="000000"/>
                            <w:sz w:val="14"/>
                            <w:szCs w:val="14"/>
                          </w:rPr>
                          <w:t>2009</w:t>
                        </w:r>
                      </w:p>
                    </w:txbxContent>
                  </v:textbox>
                </v:rect>
                <v:rect id="Rectangle 171" o:spid="_x0000_s1195" style="position:absolute;left:55422;top:16516;width:502;height:5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2kvn8QA&#10;AADcAAAADwAAAGRycy9kb3ducmV2LnhtbESPT2sCMRDF74V+hzAFL6Wb3YIiW6NYweLVP4jH6Wa6&#10;WdxMtpuo8dsbQfA2w3vvN28ms2hbcabeN44VFFkOgrhyuuFawW67/BiD8AFZY+uYFFzJw2z6+jLB&#10;UrsLr+m8CbVIEPYlKjAhdKWUvjJk0WeuI07an+sthrT2tdQ9XhLctvIzz0fSYsPpgsGOFoaq4+Zk&#10;E2UUf+bvR+z+4361+P49DE1RD5UavMX5F4hAMTzNj/RKp/p5Afdn0gRye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9pL5/EAAAA3AAAAA8AAAAAAAAAAAAAAAAAmAIAAGRycy9k&#10;b3ducmV2LnhtbFBLBQYAAAAABAAEAPUAAACJAwAAAAA=&#10;" fillcolor="#936" strokeweight=".65pt"/>
                <v:rect id="Rectangle 172" o:spid="_x0000_s1196" style="position:absolute;left:56261;top:16186;width:1981;height:102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4WEAr8A&#10;AADcAAAADwAAAGRycy9kb3ducmV2LnhtbERPzWoCMRC+C32HMIXeNHEPRVajFEHQ4sW1DzBsZn9o&#10;MlmS6G7f3ghCb/Px/c5mNzkr7hRi71nDcqFAENfe9Nxq+Lke5isQMSEbtJ5Jwx9F2G3fZhssjR/5&#10;QvcqtSKHcCxRQ5fSUEoZ644cxoUfiDPX+OAwZRhaaQKOOdxZWSj1KR32nBs6HGjfUf1b3ZwGea0O&#10;46qyQfnvojnb0/HSkNf64336WoNINKV/8ct9NHm+KuD5TL5Abh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3hYQCvwAAANwAAAAPAAAAAAAAAAAAAAAAAJgCAABkcnMvZG93bnJl&#10;di54bWxQSwUGAAAAAAQABAD1AAAAhAMAAAAA&#10;" filled="f" stroked="f">
                  <v:textbox style="mso-fit-shape-to-text:t" inset="0,0,0,0">
                    <w:txbxContent>
                      <w:p w:rsidR="00B070BF" w:rsidRDefault="00B070BF" w:rsidP="00B070BF">
                        <w:r>
                          <w:rPr>
                            <w:color w:val="000000"/>
                            <w:sz w:val="14"/>
                            <w:szCs w:val="14"/>
                          </w:rPr>
                          <w:t>2011</w:t>
                        </w:r>
                      </w:p>
                    </w:txbxContent>
                  </v:textbox>
                </v:rect>
                <v:rect id="Rectangle 173" o:spid="_x0000_s1197" style="position:absolute;left:55422;top:18103;width:502;height:5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HBKWMMA&#10;AADcAAAADwAAAGRycy9kb3ducmV2LnhtbERPPWvDMBDdC/0P4grdGtktFONGCcaQkAyhxEmGbId1&#10;kU2tk7FU2/n3VaHQ7R7v85br2XZipMG3jhWkiwQEce10y0bB+bR5yUD4gKyxc0wK7uRhvXp8WGKu&#10;3cRHGqtgRAxhn6OCJoQ+l9LXDVn0C9cTR+7mBoshwsFIPeAUw20nX5PkXVpsOTY02FPZUP1VfVsF&#10;GW7H6lIcM3vdm/Jq9C3tD59KPT/NxQeIQHP4F/+5dzrOT97g95l4gVz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HBKWMMAAADcAAAADwAAAAAAAAAAAAAAAACYAgAAZHJzL2Rv&#10;d25yZXYueG1sUEsFBgAAAAAEAAQA9QAAAIgDAAAAAA==&#10;" fillcolor="#ffc" strokeweight=".65pt"/>
                <v:rect id="Rectangle 174" o:spid="_x0000_s1198" style="position:absolute;left:56261;top:17773;width:1981;height:102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C57b8A&#10;AADcAAAADwAAAGRycy9kb3ducmV2LnhtbERP22oCMRB9F/oPYQp9cxOliKxGKYKgpS+ufsCwmb3Q&#10;ZLIk0d3+fVMo+DaHc53tfnJWPCjE3rOGRaFAENfe9NxquF2P8zWImJANWs+k4Yci7Hcvsy2Wxo98&#10;oUeVWpFDOJaooUtpKKWMdUcOY+EH4sw1PjhMGYZWmoBjDndWLpVaSYc954YOBzp0VH9Xd6dBXqvj&#10;uK5sUP5z2XzZ8+nSkNf67XX62IBINKWn+N99Mnm+eoe/Z/IFcvc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XILntvwAAANwAAAAPAAAAAAAAAAAAAAAAAJgCAABkcnMvZG93bnJl&#10;di54bWxQSwUGAAAAAAQABAD1AAAAhAMAAAAA&#10;" filled="f" stroked="f">
                  <v:textbox style="mso-fit-shape-to-text:t" inset="0,0,0,0">
                    <w:txbxContent>
                      <w:p w:rsidR="00B070BF" w:rsidRDefault="00B070BF" w:rsidP="00B070BF">
                        <w:r>
                          <w:rPr>
                            <w:color w:val="000000"/>
                            <w:sz w:val="14"/>
                            <w:szCs w:val="14"/>
                          </w:rPr>
                          <w:t>2012</w:t>
                        </w:r>
                      </w:p>
                    </w:txbxContent>
                  </v:textbox>
                </v:rect>
                <v:rect id="Rectangle 175" o:spid="_x0000_s1199" style="position:absolute;left:419;top:419;width:58420;height:341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QdCMEA&#10;AADcAAAADwAAAGRycy9kb3ducmV2LnhtbERPTYvCMBC9L/gfwgje1lTFVapRRBA86a6KeBybsS1N&#10;JqWJWv/9ZmHB2zze58yXrTXiQY0vHSsY9BMQxJnTJecKTsfN5xSED8gajWNS8CIPy0XnY46pdk/+&#10;occh5CKGsE9RQRFCnUrps4Is+r6riSN3c43FEGGTS93gM4ZbI4dJ8iUtlhwbCqxpXVBWHe5WwXR8&#10;NdVpMrrsJvvBuSKzIr/7VqrXbVczEIHa8Bb/u7c6zk/G8PdMvEAuf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skHQjBAAAA3AAAAA8AAAAAAAAAAAAAAAAAmAIAAGRycy9kb3du&#10;cmV2LnhtbFBLBQYAAAAABAAEAPUAAACGAwAAAAA=&#10;" filled="f" strokeweight="0"/>
                <w10:anchorlock/>
              </v:group>
            </w:pict>
          </mc:Fallback>
        </mc:AlternateContent>
      </w:r>
    </w:p>
    <w:p w:rsidR="00B070BF" w:rsidRPr="009577DE" w:rsidRDefault="00B070BF" w:rsidP="00B070BF">
      <w:pPr>
        <w:widowControl w:val="0"/>
        <w:autoSpaceDE w:val="0"/>
        <w:autoSpaceDN w:val="0"/>
        <w:adjustRightInd w:val="0"/>
        <w:rPr>
          <w:sz w:val="20"/>
          <w:lang w:val="en-US"/>
        </w:rPr>
      </w:pPr>
    </w:p>
    <w:p w:rsidR="00B070BF" w:rsidRPr="009577DE" w:rsidRDefault="00B070BF" w:rsidP="00B070BF">
      <w:pPr>
        <w:widowControl w:val="0"/>
        <w:rPr>
          <w:sz w:val="20"/>
          <w:u w:val="single"/>
        </w:rPr>
      </w:pPr>
      <w:r w:rsidRPr="009577DE">
        <w:rPr>
          <w:sz w:val="20"/>
          <w:u w:val="single"/>
        </w:rPr>
        <w:t xml:space="preserve">Plataformas de infraestructura – Avances más destacados </w:t>
      </w:r>
    </w:p>
    <w:p w:rsidR="00B070BF" w:rsidRPr="009577DE" w:rsidRDefault="00B070BF" w:rsidP="00B070BF">
      <w:pPr>
        <w:widowControl w:val="0"/>
        <w:rPr>
          <w:sz w:val="20"/>
        </w:rPr>
      </w:pPr>
    </w:p>
    <w:tbl>
      <w:tblPr>
        <w:tblW w:w="0" w:type="auto"/>
        <w:tblLook w:val="01E0" w:firstRow="1" w:lastRow="1" w:firstColumn="1" w:lastColumn="1" w:noHBand="0" w:noVBand="0"/>
      </w:tblPr>
      <w:tblGrid>
        <w:gridCol w:w="1978"/>
        <w:gridCol w:w="7593"/>
      </w:tblGrid>
      <w:tr w:rsidR="00B070BF" w:rsidRPr="009577DE" w:rsidTr="00C33D4A">
        <w:tc>
          <w:tcPr>
            <w:tcW w:w="1978" w:type="dxa"/>
            <w:shd w:val="clear" w:color="auto" w:fill="auto"/>
          </w:tcPr>
          <w:p w:rsidR="00B070BF" w:rsidRPr="009577DE" w:rsidRDefault="00B070BF" w:rsidP="00C33D4A">
            <w:pPr>
              <w:widowControl w:val="0"/>
              <w:spacing w:before="120" w:after="120"/>
              <w:rPr>
                <w:sz w:val="20"/>
                <w:lang w:val="en-US"/>
              </w:rPr>
            </w:pPr>
            <w:r w:rsidRPr="009577DE">
              <w:rPr>
                <w:sz w:val="20"/>
                <w:lang w:val="en-US"/>
              </w:rPr>
              <w:t xml:space="preserve">WIPO DAS </w:t>
            </w:r>
          </w:p>
        </w:tc>
        <w:tc>
          <w:tcPr>
            <w:tcW w:w="7593" w:type="dxa"/>
            <w:shd w:val="clear" w:color="auto" w:fill="auto"/>
          </w:tcPr>
          <w:p w:rsidR="00B070BF" w:rsidRPr="009577DE" w:rsidRDefault="00B070BF" w:rsidP="00C33D4A">
            <w:pPr>
              <w:widowControl w:val="0"/>
              <w:spacing w:before="120" w:after="120"/>
              <w:rPr>
                <w:sz w:val="20"/>
              </w:rPr>
            </w:pPr>
            <w:r w:rsidRPr="009577DE">
              <w:rPr>
                <w:sz w:val="20"/>
              </w:rPr>
              <w:t xml:space="preserve">Se llevó a cabo una actualización a gran escala a mediados de 2012.  La última versión del sistema (DAS 2.0) incluye un mecanismo simplificado de seguridad y otras mejoras acordadas en 2011 por el </w:t>
            </w:r>
            <w:r w:rsidRPr="009577DE">
              <w:rPr>
                <w:iCs/>
                <w:sz w:val="20"/>
              </w:rPr>
              <w:t>Grupo de trabajo</w:t>
            </w:r>
            <w:r w:rsidRPr="009577DE">
              <w:rPr>
                <w:sz w:val="20"/>
              </w:rPr>
              <w:t xml:space="preserve"> sobre el servicio de acceso digital a los documentos de prioridad.  El nuevo sistema debería resultar más atractivo para los solicitantes y las oficinas.  En la actualidad, 11 oficinas participan en el sistema.</w:t>
            </w:r>
          </w:p>
        </w:tc>
      </w:tr>
      <w:tr w:rsidR="00B070BF" w:rsidRPr="009577DE" w:rsidTr="00C33D4A">
        <w:tc>
          <w:tcPr>
            <w:tcW w:w="1978" w:type="dxa"/>
            <w:shd w:val="clear" w:color="auto" w:fill="auto"/>
          </w:tcPr>
          <w:p w:rsidR="00B070BF" w:rsidRPr="009577DE" w:rsidRDefault="00B070BF" w:rsidP="00C33D4A">
            <w:pPr>
              <w:widowControl w:val="0"/>
              <w:spacing w:before="120" w:after="120"/>
              <w:rPr>
                <w:sz w:val="20"/>
                <w:lang w:val="en-US"/>
              </w:rPr>
            </w:pPr>
            <w:r w:rsidRPr="009577DE">
              <w:rPr>
                <w:sz w:val="20"/>
                <w:lang w:val="es-ES_tradnl"/>
              </w:rPr>
              <w:t>WIPO CASE</w:t>
            </w:r>
            <w:r w:rsidRPr="009577DE">
              <w:rPr>
                <w:sz w:val="20"/>
                <w:lang w:val="en-US"/>
              </w:rPr>
              <w:t xml:space="preserve"> </w:t>
            </w:r>
          </w:p>
        </w:tc>
        <w:tc>
          <w:tcPr>
            <w:tcW w:w="7593" w:type="dxa"/>
            <w:shd w:val="clear" w:color="auto" w:fill="auto"/>
          </w:tcPr>
          <w:p w:rsidR="00B070BF" w:rsidRPr="009577DE" w:rsidRDefault="00B070BF" w:rsidP="00C33D4A">
            <w:pPr>
              <w:widowControl w:val="0"/>
              <w:spacing w:before="120" w:after="120"/>
              <w:rPr>
                <w:sz w:val="20"/>
              </w:rPr>
            </w:pPr>
            <w:r w:rsidRPr="009577DE">
              <w:rPr>
                <w:sz w:val="20"/>
              </w:rPr>
              <w:t xml:space="preserve">Se llevó a cabo una actualización a gran escala a mediados de 2012.  Durante </w:t>
            </w:r>
            <w:r>
              <w:rPr>
                <w:sz w:val="20"/>
              </w:rPr>
              <w:t>l</w:t>
            </w:r>
            <w:r w:rsidRPr="009577DE">
              <w:rPr>
                <w:sz w:val="20"/>
              </w:rPr>
              <w:t>a misma se añadió la función de búsqueda por familia de patentes y el acceso remoto a las bibliotecas digitales de las oficinas de P.I., facilitando el acceso a sus documentos por Internet en lugar de almacenarlos en un servidor centralizado en la OMPI.</w:t>
            </w:r>
          </w:p>
          <w:p w:rsidR="00B070BF" w:rsidRPr="009577DE" w:rsidRDefault="00B070BF" w:rsidP="00C33D4A">
            <w:pPr>
              <w:widowControl w:val="0"/>
              <w:spacing w:before="120" w:after="120"/>
              <w:rPr>
                <w:sz w:val="20"/>
              </w:rPr>
            </w:pPr>
            <w:r w:rsidRPr="009577DE">
              <w:rPr>
                <w:sz w:val="20"/>
              </w:rPr>
              <w:t>Cuatro oficinas participantes utilizan el sistema de forma activa (Australia, Canadá, Nueva Zelandia y el Reino Unido).</w:t>
            </w:r>
          </w:p>
        </w:tc>
      </w:tr>
    </w:tbl>
    <w:p w:rsidR="00B070BF" w:rsidRPr="009577DE" w:rsidRDefault="00B070BF" w:rsidP="00B070BF">
      <w:pPr>
        <w:widowControl w:val="0"/>
        <w:jc w:val="both"/>
        <w:rPr>
          <w:bCs/>
          <w:sz w:val="20"/>
        </w:rPr>
      </w:pPr>
    </w:p>
    <w:p w:rsidR="00B070BF" w:rsidRPr="009577DE" w:rsidRDefault="00B070BF" w:rsidP="00B070BF">
      <w:pPr>
        <w:widowControl w:val="0"/>
        <w:jc w:val="both"/>
        <w:rPr>
          <w:bCs/>
          <w:sz w:val="20"/>
          <w:szCs w:val="22"/>
          <w:lang w:val="pt-BR"/>
        </w:rPr>
      </w:pPr>
      <w:r w:rsidRPr="009577DE">
        <w:rPr>
          <w:bCs/>
          <w:sz w:val="20"/>
          <w:szCs w:val="22"/>
          <w:lang w:val="es-ES_tradnl"/>
        </w:rPr>
        <w:t>APLICACIÓN DE LA AGENDA PARA EL DESARROLLO</w:t>
      </w:r>
      <w:r w:rsidRPr="009577DE">
        <w:rPr>
          <w:bCs/>
          <w:sz w:val="20"/>
          <w:szCs w:val="22"/>
          <w:lang w:val="pt-BR"/>
        </w:rPr>
        <w:t xml:space="preserve"> </w:t>
      </w:r>
    </w:p>
    <w:p w:rsidR="00B070BF" w:rsidRPr="00DA5E72" w:rsidRDefault="00B070BF" w:rsidP="00B070BF">
      <w:pPr>
        <w:widowControl w:val="0"/>
        <w:autoSpaceDE w:val="0"/>
        <w:autoSpaceDN w:val="0"/>
        <w:adjustRightInd w:val="0"/>
        <w:rPr>
          <w:bCs/>
          <w:szCs w:val="22"/>
          <w:lang w:val="es-ES_tradnl"/>
        </w:rPr>
      </w:pPr>
    </w:p>
    <w:p w:rsidR="00B070BF" w:rsidRPr="009577DE" w:rsidRDefault="00B070BF" w:rsidP="00B070BF">
      <w:pPr>
        <w:widowControl w:val="0"/>
        <w:numPr>
          <w:ilvl w:val="0"/>
          <w:numId w:val="14"/>
        </w:numPr>
        <w:jc w:val="both"/>
        <w:rPr>
          <w:rFonts w:eastAsia="MS Mincho"/>
          <w:sz w:val="20"/>
          <w:lang w:eastAsia="ja-JP" w:bidi="th-TH"/>
        </w:rPr>
      </w:pPr>
      <w:r w:rsidRPr="009577DE">
        <w:rPr>
          <w:rFonts w:eastAsia="MS Mincho"/>
          <w:bCs/>
          <w:sz w:val="20"/>
          <w:lang w:eastAsia="ja-JP" w:bidi="th-TH"/>
        </w:rPr>
        <w:t xml:space="preserve">El diseño, la planificación y el desarrollo de las actividades emprendidas por el programa 15 tuvieron en cuenta y se guiaron por las </w:t>
      </w:r>
      <w:r w:rsidRPr="009577DE">
        <w:rPr>
          <w:iCs/>
          <w:sz w:val="20"/>
        </w:rPr>
        <w:t xml:space="preserve">recomendaciones pertinentes de la Agenda para el Desarrollo, en particular las recomendaciones </w:t>
      </w:r>
      <w:r w:rsidRPr="009577DE">
        <w:rPr>
          <w:rFonts w:eastAsia="MS Mincho"/>
          <w:bCs/>
          <w:sz w:val="20"/>
          <w:lang w:eastAsia="ja-JP" w:bidi="th-TH"/>
        </w:rPr>
        <w:t>1, 2 y 10.  Además, el programa acometió la ejecución del proyecto de la Agenda para el Desarrollo sobre instituciones de P.I. eficaces y el proyecto sobre la propiedad intelectual, las tecnologías de la información y la comunicación, la brecha digital y el acceso a los conocimientos. Sendos proyectos concluyeron a finales de 2011 y fueron evaluados en 2012. El CDIP sometió a debate los informes de evaluación correspondientes.  </w:t>
      </w:r>
    </w:p>
    <w:p w:rsidR="00B070BF" w:rsidRPr="009577DE" w:rsidRDefault="00B070BF" w:rsidP="00B070BF">
      <w:pPr>
        <w:widowControl w:val="0"/>
        <w:autoSpaceDE w:val="0"/>
        <w:autoSpaceDN w:val="0"/>
        <w:adjustRightInd w:val="0"/>
        <w:jc w:val="both"/>
        <w:rPr>
          <w:rFonts w:eastAsia="MS Mincho"/>
          <w:bCs/>
          <w:sz w:val="20"/>
          <w:lang w:eastAsia="ja-JP" w:bidi="th-TH"/>
        </w:rPr>
      </w:pPr>
    </w:p>
    <w:p w:rsidR="00B070BF" w:rsidRPr="009577DE" w:rsidRDefault="00B070BF" w:rsidP="00B070BF">
      <w:pPr>
        <w:widowControl w:val="0"/>
        <w:numPr>
          <w:ilvl w:val="0"/>
          <w:numId w:val="14"/>
        </w:numPr>
        <w:jc w:val="both"/>
        <w:rPr>
          <w:rFonts w:eastAsia="MS Mincho"/>
          <w:bCs/>
          <w:sz w:val="20"/>
          <w:lang w:eastAsia="ja-JP" w:bidi="th-TH"/>
        </w:rPr>
      </w:pPr>
      <w:r w:rsidRPr="009577DE">
        <w:rPr>
          <w:rFonts w:eastAsia="MS Mincho"/>
          <w:bCs/>
          <w:sz w:val="20"/>
          <w:lang w:eastAsia="ja-JP" w:bidi="th-TH"/>
        </w:rPr>
        <w:t xml:space="preserve">Además, con el fin de mejorar la infraestructura técnica y de conocimientos de las oficinas de P.I. y de otras instituciones de P.O. para prestar mejores servicios a los sectores interesados, el programa siguió proporcionando asistencia técnica a las oficinas de P.I. de los </w:t>
      </w:r>
      <w:r w:rsidRPr="009577DE">
        <w:rPr>
          <w:rFonts w:eastAsia="MS Mincho" w:cs="ArialMT"/>
          <w:sz w:val="20"/>
          <w:lang w:eastAsia="ja-JP" w:bidi="th-TH"/>
        </w:rPr>
        <w:t>países en desarrollo</w:t>
      </w:r>
      <w:r w:rsidRPr="009577DE">
        <w:rPr>
          <w:rFonts w:eastAsia="MS Mincho"/>
          <w:bCs/>
          <w:sz w:val="20"/>
          <w:lang w:eastAsia="ja-JP" w:bidi="th-TH"/>
        </w:rPr>
        <w:t xml:space="preserve"> y de los </w:t>
      </w:r>
      <w:r w:rsidRPr="009577DE">
        <w:rPr>
          <w:sz w:val="20"/>
        </w:rPr>
        <w:t>PMA con el fin de mejorar sus sistemas TIC de recepción, administración, examen, registro y publicación de títulos de P.I.</w:t>
      </w:r>
      <w:r w:rsidRPr="009577DE">
        <w:rPr>
          <w:rFonts w:eastAsia="MS Mincho"/>
          <w:bCs/>
          <w:sz w:val="20"/>
          <w:lang w:eastAsia="ja-JP" w:bidi="th-TH"/>
        </w:rPr>
        <w:t xml:space="preserve">  A finales de 2012, un total de 66 oficinas de P.I. utilizaban los sistemas que brinda y respalda la OMPI en el marco de este programa, y a lo largo de ese año se realizaron actividades en 54 países de todas las regiones.  </w:t>
      </w:r>
    </w:p>
    <w:p w:rsidR="00B070BF" w:rsidRPr="009577DE" w:rsidRDefault="00B070BF" w:rsidP="00B070BF">
      <w:pPr>
        <w:widowControl w:val="0"/>
        <w:jc w:val="both"/>
        <w:rPr>
          <w:rFonts w:eastAsia="MS Mincho"/>
          <w:bCs/>
          <w:sz w:val="20"/>
          <w:lang w:eastAsia="ja-JP" w:bidi="th-TH"/>
        </w:rPr>
      </w:pPr>
    </w:p>
    <w:p w:rsidR="00B070BF" w:rsidRPr="009577DE" w:rsidRDefault="00B070BF" w:rsidP="00B070BF">
      <w:pPr>
        <w:widowControl w:val="0"/>
        <w:jc w:val="both"/>
        <w:rPr>
          <w:rFonts w:eastAsia="MS Mincho"/>
          <w:bCs/>
          <w:sz w:val="20"/>
          <w:lang w:eastAsia="ja-JP" w:bidi="th-TH"/>
        </w:rPr>
      </w:pPr>
    </w:p>
    <w:p w:rsidR="00B070BF" w:rsidRPr="009577DE" w:rsidRDefault="00B070BF" w:rsidP="00B070BF">
      <w:pPr>
        <w:widowControl w:val="0"/>
        <w:jc w:val="both"/>
        <w:rPr>
          <w:sz w:val="20"/>
          <w:szCs w:val="22"/>
        </w:rPr>
      </w:pPr>
      <w:r w:rsidRPr="00CB3668">
        <w:rPr>
          <w:sz w:val="20"/>
          <w:szCs w:val="22"/>
        </w:rPr>
        <w:t>DATOS SOBRE EL RENDIMIENTO</w:t>
      </w:r>
    </w:p>
    <w:p w:rsidR="00B070BF" w:rsidRPr="009577DE" w:rsidRDefault="00B070BF" w:rsidP="00B070BF">
      <w:pPr>
        <w:widowControl w:val="0"/>
        <w:rPr>
          <w:b/>
          <w:sz w:val="16"/>
          <w:szCs w:val="16"/>
        </w:rPr>
      </w:pPr>
    </w:p>
    <w:tbl>
      <w:tblPr>
        <w:tblW w:w="5000" w:type="pct"/>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630"/>
        <w:gridCol w:w="1498"/>
        <w:gridCol w:w="1710"/>
        <w:gridCol w:w="3494"/>
        <w:gridCol w:w="1239"/>
      </w:tblGrid>
      <w:tr w:rsidR="00B070BF" w:rsidRPr="009577DE" w:rsidTr="00C33D4A">
        <w:trPr>
          <w:cantSplit/>
        </w:trPr>
        <w:tc>
          <w:tcPr>
            <w:tcW w:w="5000" w:type="pct"/>
            <w:gridSpan w:val="5"/>
            <w:tcBorders>
              <w:top w:val="single" w:sz="4" w:space="0" w:color="auto"/>
              <w:left w:val="single" w:sz="4" w:space="0" w:color="auto"/>
              <w:bottom w:val="single" w:sz="4" w:space="0" w:color="auto"/>
              <w:right w:val="single" w:sz="4" w:space="0" w:color="auto"/>
            </w:tcBorders>
            <w:shd w:val="clear" w:color="auto" w:fill="CCFFFF"/>
            <w:vAlign w:val="center"/>
          </w:tcPr>
          <w:p w:rsidR="00B070BF" w:rsidRPr="009577DE" w:rsidRDefault="00B070BF" w:rsidP="00C33D4A">
            <w:pPr>
              <w:widowControl w:val="0"/>
              <w:tabs>
                <w:tab w:val="left" w:pos="1452"/>
              </w:tabs>
              <w:spacing w:before="120" w:after="120"/>
              <w:ind w:left="1452" w:hanging="1452"/>
              <w:rPr>
                <w:b/>
                <w:bCs/>
                <w:sz w:val="16"/>
                <w:szCs w:val="16"/>
                <w:lang w:val="es-ES_tradnl"/>
              </w:rPr>
            </w:pPr>
            <w:r w:rsidRPr="009577DE">
              <w:rPr>
                <w:b/>
                <w:bCs/>
                <w:sz w:val="16"/>
                <w:szCs w:val="16"/>
                <w:lang w:val="es-ES_tradnl"/>
              </w:rPr>
              <w:t>Resultado previsto:</w:t>
            </w:r>
            <w:r w:rsidRPr="009577DE">
              <w:rPr>
                <w:b/>
                <w:bCs/>
                <w:sz w:val="16"/>
                <w:szCs w:val="16"/>
                <w:lang w:val="es-ES_tradnl"/>
              </w:rPr>
              <w:tab/>
            </w:r>
            <w:r w:rsidRPr="009577DE">
              <w:rPr>
                <w:bCs/>
                <w:sz w:val="16"/>
                <w:szCs w:val="16"/>
                <w:lang w:val="es-ES_tradnl"/>
              </w:rPr>
              <w:t xml:space="preserve"> Mejora en la infraestructura técnica y de conocimientos de las oficinas y demás instituciones de P.I. que les permite prestar mejores servicios (más económicos, más rápidos y de mejor calidad) a sus usuarios.</w:t>
            </w:r>
          </w:p>
        </w:tc>
      </w:tr>
      <w:tr w:rsidR="00B070BF" w:rsidRPr="009577DE" w:rsidTr="00C33D4A">
        <w:trPr>
          <w:cantSplit/>
        </w:trPr>
        <w:tc>
          <w:tcPr>
            <w:tcW w:w="874" w:type="pct"/>
            <w:tcBorders>
              <w:top w:val="single" w:sz="4" w:space="0" w:color="auto"/>
              <w:left w:val="single" w:sz="4" w:space="0" w:color="auto"/>
              <w:bottom w:val="nil"/>
            </w:tcBorders>
            <w:shd w:val="clear" w:color="auto" w:fill="auto"/>
            <w:vAlign w:val="center"/>
          </w:tcPr>
          <w:p w:rsidR="00B070BF" w:rsidRPr="009577DE" w:rsidRDefault="00B070BF" w:rsidP="00C33D4A">
            <w:pPr>
              <w:widowControl w:val="0"/>
              <w:spacing w:after="120"/>
              <w:rPr>
                <w:sz w:val="16"/>
                <w:szCs w:val="16"/>
                <w:lang w:val="es-ES_tradnl"/>
              </w:rPr>
            </w:pPr>
            <w:r w:rsidRPr="009577DE">
              <w:rPr>
                <w:b/>
                <w:bCs/>
                <w:sz w:val="16"/>
                <w:szCs w:val="16"/>
                <w:lang w:val="es-ES_tradnl"/>
              </w:rPr>
              <w:t>Indicadores de rendimiento</w:t>
            </w:r>
          </w:p>
        </w:tc>
        <w:tc>
          <w:tcPr>
            <w:tcW w:w="805" w:type="pct"/>
            <w:tcBorders>
              <w:top w:val="single" w:sz="4" w:space="0" w:color="auto"/>
              <w:bottom w:val="nil"/>
            </w:tcBorders>
            <w:shd w:val="clear" w:color="auto" w:fill="C0C0C0"/>
          </w:tcPr>
          <w:p w:rsidR="00B070BF" w:rsidRPr="009577DE" w:rsidRDefault="00B070BF" w:rsidP="00C33D4A">
            <w:pPr>
              <w:widowControl w:val="0"/>
              <w:spacing w:after="120"/>
              <w:rPr>
                <w:b/>
                <w:bCs/>
                <w:sz w:val="16"/>
                <w:szCs w:val="16"/>
                <w:lang w:val="es-ES_tradnl"/>
              </w:rPr>
            </w:pPr>
            <w:r w:rsidRPr="009577DE">
              <w:rPr>
                <w:b/>
                <w:bCs/>
                <w:sz w:val="16"/>
                <w:szCs w:val="16"/>
                <w:lang w:val="es-ES_tradnl"/>
              </w:rPr>
              <w:t>Referencia (</w:t>
            </w:r>
            <w:proofErr w:type="spellStart"/>
            <w:r w:rsidRPr="009577DE">
              <w:rPr>
                <w:b/>
                <w:bCs/>
                <w:sz w:val="16"/>
                <w:szCs w:val="16"/>
                <w:lang w:val="es-ES_tradnl"/>
              </w:rPr>
              <w:t>Presup</w:t>
            </w:r>
            <w:proofErr w:type="spellEnd"/>
            <w:r w:rsidRPr="009577DE">
              <w:rPr>
                <w:b/>
                <w:bCs/>
                <w:sz w:val="16"/>
                <w:szCs w:val="16"/>
                <w:lang w:val="es-ES_tradnl"/>
              </w:rPr>
              <w:t xml:space="preserve">. por </w:t>
            </w:r>
            <w:proofErr w:type="spellStart"/>
            <w:r w:rsidRPr="009577DE">
              <w:rPr>
                <w:b/>
                <w:bCs/>
                <w:sz w:val="16"/>
                <w:szCs w:val="16"/>
                <w:lang w:val="es-ES_tradnl"/>
              </w:rPr>
              <w:t>prog</w:t>
            </w:r>
            <w:proofErr w:type="spellEnd"/>
            <w:r w:rsidRPr="009577DE">
              <w:rPr>
                <w:b/>
                <w:bCs/>
                <w:sz w:val="16"/>
                <w:szCs w:val="16"/>
                <w:lang w:val="es-ES_tradnl"/>
              </w:rPr>
              <w:t>. 2012/13)</w:t>
            </w:r>
          </w:p>
        </w:tc>
        <w:tc>
          <w:tcPr>
            <w:tcW w:w="916" w:type="pct"/>
            <w:tcBorders>
              <w:top w:val="single" w:sz="4" w:space="0" w:color="auto"/>
              <w:bottom w:val="nil"/>
            </w:tcBorders>
            <w:shd w:val="clear" w:color="auto" w:fill="auto"/>
            <w:tcMar>
              <w:top w:w="110" w:type="dxa"/>
            </w:tcMar>
            <w:vAlign w:val="center"/>
          </w:tcPr>
          <w:p w:rsidR="00B070BF" w:rsidRPr="00F2661C" w:rsidRDefault="00B070BF" w:rsidP="00C33D4A">
            <w:pPr>
              <w:widowControl w:val="0"/>
              <w:spacing w:after="120"/>
              <w:rPr>
                <w:b/>
                <w:color w:val="993300"/>
                <w:sz w:val="16"/>
                <w:szCs w:val="16"/>
                <w:lang w:val="es-ES_tradnl"/>
              </w:rPr>
            </w:pPr>
            <w:r w:rsidRPr="00F2661C">
              <w:rPr>
                <w:b/>
                <w:color w:val="993300"/>
                <w:sz w:val="16"/>
                <w:szCs w:val="16"/>
                <w:lang w:val="es-ES_tradnl"/>
              </w:rPr>
              <w:t xml:space="preserve">Referencia actualizada a comienzos de 2012. </w:t>
            </w:r>
          </w:p>
        </w:tc>
        <w:tc>
          <w:tcPr>
            <w:tcW w:w="1848" w:type="pct"/>
            <w:tcBorders>
              <w:top w:val="single" w:sz="4" w:space="0" w:color="auto"/>
              <w:bottom w:val="nil"/>
            </w:tcBorders>
            <w:shd w:val="clear" w:color="auto" w:fill="FFFFFF"/>
            <w:tcMar>
              <w:top w:w="110" w:type="dxa"/>
            </w:tcMar>
            <w:vAlign w:val="center"/>
          </w:tcPr>
          <w:p w:rsidR="00B070BF" w:rsidRPr="009577DE" w:rsidRDefault="00B070BF" w:rsidP="00C33D4A">
            <w:pPr>
              <w:widowControl w:val="0"/>
              <w:spacing w:after="120"/>
              <w:rPr>
                <w:sz w:val="16"/>
                <w:szCs w:val="16"/>
                <w:lang w:val="es-ES_tradnl"/>
              </w:rPr>
            </w:pPr>
            <w:r w:rsidRPr="009577DE">
              <w:rPr>
                <w:b/>
                <w:bCs/>
                <w:sz w:val="16"/>
                <w:szCs w:val="16"/>
                <w:lang w:val="es-ES_tradnl"/>
              </w:rPr>
              <w:t>Datos sobre el rendimiento</w:t>
            </w:r>
          </w:p>
        </w:tc>
        <w:tc>
          <w:tcPr>
            <w:tcW w:w="557" w:type="pct"/>
            <w:tcBorders>
              <w:top w:val="single" w:sz="4" w:space="0" w:color="auto"/>
              <w:bottom w:val="nil"/>
              <w:right w:val="single" w:sz="4" w:space="0" w:color="auto"/>
            </w:tcBorders>
            <w:shd w:val="clear" w:color="auto" w:fill="auto"/>
            <w:tcMar>
              <w:top w:w="110" w:type="dxa"/>
            </w:tcMar>
            <w:vAlign w:val="center"/>
          </w:tcPr>
          <w:p w:rsidR="00B070BF" w:rsidRPr="009577DE" w:rsidRDefault="00B070BF" w:rsidP="00C33D4A">
            <w:pPr>
              <w:widowControl w:val="0"/>
              <w:spacing w:after="120"/>
              <w:jc w:val="center"/>
              <w:rPr>
                <w:b/>
                <w:bCs/>
                <w:sz w:val="16"/>
                <w:szCs w:val="16"/>
                <w:lang w:val="es-ES_tradnl"/>
              </w:rPr>
            </w:pPr>
            <w:r w:rsidRPr="009577DE">
              <w:rPr>
                <w:b/>
                <w:bCs/>
                <w:sz w:val="16"/>
                <w:szCs w:val="16"/>
                <w:lang w:val="es-ES_tradnl"/>
              </w:rPr>
              <w:t>Clave de colores</w:t>
            </w:r>
          </w:p>
        </w:tc>
      </w:tr>
      <w:tr w:rsidR="00B070BF" w:rsidRPr="009577DE" w:rsidTr="00C33D4A">
        <w:trPr>
          <w:cantSplit/>
        </w:trPr>
        <w:tc>
          <w:tcPr>
            <w:tcW w:w="874" w:type="pct"/>
            <w:tcBorders>
              <w:top w:val="nil"/>
              <w:left w:val="single" w:sz="4" w:space="0" w:color="auto"/>
              <w:bottom w:val="nil"/>
            </w:tcBorders>
            <w:shd w:val="clear" w:color="auto" w:fill="auto"/>
          </w:tcPr>
          <w:p w:rsidR="00B070BF" w:rsidRPr="009577DE" w:rsidRDefault="00B070BF" w:rsidP="00C33D4A">
            <w:pPr>
              <w:widowControl w:val="0"/>
              <w:rPr>
                <w:sz w:val="16"/>
                <w:szCs w:val="16"/>
                <w:lang w:val="es-ES_tradnl" w:bidi="th-TH"/>
              </w:rPr>
            </w:pPr>
            <w:r w:rsidRPr="009577DE">
              <w:rPr>
                <w:sz w:val="16"/>
                <w:szCs w:val="16"/>
                <w:lang w:val="es-ES_tradnl" w:bidi="th-TH"/>
              </w:rPr>
              <w:t xml:space="preserve">Número de oficinas que disponen de sistemas de administración de P.I. totalmente automatizados proporcionados por la OMPI, en comparación con las que disponen de sistemas automatizados parcialmente. </w:t>
            </w:r>
          </w:p>
          <w:p w:rsidR="00B070BF" w:rsidRPr="009577DE" w:rsidRDefault="00B070BF" w:rsidP="00C33D4A">
            <w:pPr>
              <w:widowControl w:val="0"/>
              <w:rPr>
                <w:sz w:val="16"/>
                <w:szCs w:val="16"/>
                <w:lang w:val="es-ES_tradnl"/>
              </w:rPr>
            </w:pPr>
          </w:p>
        </w:tc>
        <w:tc>
          <w:tcPr>
            <w:tcW w:w="805" w:type="pct"/>
            <w:tcBorders>
              <w:top w:val="nil"/>
              <w:bottom w:val="nil"/>
            </w:tcBorders>
            <w:shd w:val="clear" w:color="auto" w:fill="C0C0C0"/>
          </w:tcPr>
          <w:p w:rsidR="00B070BF" w:rsidRPr="009577DE" w:rsidRDefault="00B070BF" w:rsidP="00C33D4A">
            <w:pPr>
              <w:widowControl w:val="0"/>
              <w:rPr>
                <w:sz w:val="16"/>
                <w:szCs w:val="16"/>
                <w:lang w:val="es-ES_tradnl" w:bidi="th-TH"/>
              </w:rPr>
            </w:pPr>
            <w:r w:rsidRPr="009577DE">
              <w:rPr>
                <w:sz w:val="16"/>
                <w:szCs w:val="16"/>
                <w:lang w:val="es-ES_tradnl" w:bidi="th-TH"/>
              </w:rPr>
              <w:t>38 oficinas con sistemas totalmente automatizados.  Un total de 58 oficinas utilizan sistemas de administración de P.I. proporcionados por la OMPI.</w:t>
            </w:r>
          </w:p>
        </w:tc>
        <w:tc>
          <w:tcPr>
            <w:tcW w:w="916" w:type="pct"/>
            <w:tcBorders>
              <w:top w:val="nil"/>
              <w:bottom w:val="nil"/>
            </w:tcBorders>
            <w:shd w:val="clear" w:color="auto" w:fill="auto"/>
            <w:tcMar>
              <w:top w:w="110" w:type="dxa"/>
            </w:tcMar>
          </w:tcPr>
          <w:p w:rsidR="00B070BF" w:rsidRPr="00F2661C" w:rsidRDefault="00B070BF" w:rsidP="00C33D4A">
            <w:pPr>
              <w:widowControl w:val="0"/>
              <w:spacing w:after="120"/>
              <w:rPr>
                <w:color w:val="993300"/>
                <w:sz w:val="16"/>
                <w:szCs w:val="16"/>
                <w:lang w:val="es-ES_tradnl"/>
              </w:rPr>
            </w:pPr>
            <w:r w:rsidRPr="00F2661C">
              <w:rPr>
                <w:color w:val="993300"/>
                <w:sz w:val="16"/>
                <w:szCs w:val="16"/>
                <w:lang w:val="es-ES_tradnl"/>
              </w:rPr>
              <w:t xml:space="preserve">Número de oficinas con sistemas de administración de P.I. totalmente automatizados a finales de 2011:  33 </w:t>
            </w:r>
          </w:p>
          <w:p w:rsidR="00B070BF" w:rsidRPr="00F2661C" w:rsidRDefault="00B070BF" w:rsidP="00C33D4A">
            <w:pPr>
              <w:widowControl w:val="0"/>
              <w:spacing w:after="120"/>
              <w:rPr>
                <w:color w:val="993300"/>
                <w:sz w:val="16"/>
                <w:szCs w:val="16"/>
                <w:lang w:val="es-ES_tradnl"/>
              </w:rPr>
            </w:pPr>
            <w:r w:rsidRPr="00F2661C">
              <w:rPr>
                <w:color w:val="993300"/>
                <w:sz w:val="16"/>
                <w:szCs w:val="16"/>
                <w:lang w:val="es-ES_tradnl"/>
              </w:rPr>
              <w:t>Número de oficinas con sistemas de administración de P.I. automatizados parcialmente a finales de 2011:  25</w:t>
            </w:r>
          </w:p>
          <w:p w:rsidR="00B070BF" w:rsidRPr="00F2661C" w:rsidRDefault="00B070BF" w:rsidP="00C33D4A">
            <w:pPr>
              <w:widowControl w:val="0"/>
              <w:spacing w:after="120"/>
              <w:rPr>
                <w:color w:val="993300"/>
                <w:sz w:val="16"/>
                <w:szCs w:val="16"/>
                <w:lang w:val="es-ES_tradnl"/>
              </w:rPr>
            </w:pPr>
            <w:r w:rsidRPr="00F2661C">
              <w:rPr>
                <w:color w:val="993300"/>
                <w:sz w:val="16"/>
                <w:szCs w:val="16"/>
                <w:lang w:val="es-ES_tradnl"/>
              </w:rPr>
              <w:t>Total:  58 oficinas utilizan sistemas de administración de P.I. proporcionados por la OMPI (finales de 2011).</w:t>
            </w:r>
          </w:p>
          <w:p w:rsidR="00B070BF" w:rsidRPr="00F2661C" w:rsidRDefault="00B070BF" w:rsidP="00C33D4A">
            <w:pPr>
              <w:widowControl w:val="0"/>
              <w:rPr>
                <w:i/>
                <w:color w:val="993300"/>
                <w:sz w:val="16"/>
                <w:szCs w:val="16"/>
                <w:lang w:val="es-ES_tradnl"/>
              </w:rPr>
            </w:pPr>
          </w:p>
        </w:tc>
        <w:tc>
          <w:tcPr>
            <w:tcW w:w="1848" w:type="pct"/>
            <w:tcBorders>
              <w:top w:val="nil"/>
              <w:bottom w:val="nil"/>
            </w:tcBorders>
            <w:shd w:val="clear" w:color="auto" w:fill="FFFFFF"/>
            <w:tcMar>
              <w:top w:w="110" w:type="dxa"/>
            </w:tcMar>
          </w:tcPr>
          <w:p w:rsidR="00B070BF" w:rsidRPr="009577DE" w:rsidRDefault="00B070BF" w:rsidP="00C33D4A">
            <w:pPr>
              <w:widowControl w:val="0"/>
              <w:rPr>
                <w:sz w:val="16"/>
                <w:szCs w:val="16"/>
                <w:lang w:val="es-ES_tradnl" w:bidi="th-TH"/>
              </w:rPr>
            </w:pPr>
            <w:r w:rsidRPr="009577DE">
              <w:rPr>
                <w:sz w:val="16"/>
                <w:szCs w:val="16"/>
                <w:lang w:val="es-ES_tradnl" w:bidi="th-TH"/>
              </w:rPr>
              <w:t xml:space="preserve">Número de oficinas con sistemas totalmente automatizados a finales de 2012:  36. </w:t>
            </w:r>
          </w:p>
          <w:p w:rsidR="00B070BF" w:rsidRPr="009577DE" w:rsidRDefault="00B070BF" w:rsidP="00C33D4A">
            <w:pPr>
              <w:widowControl w:val="0"/>
              <w:rPr>
                <w:sz w:val="16"/>
                <w:szCs w:val="16"/>
                <w:lang w:val="es-ES_tradnl" w:bidi="th-TH"/>
              </w:rPr>
            </w:pPr>
          </w:p>
          <w:p w:rsidR="00B070BF" w:rsidRPr="009577DE" w:rsidRDefault="00B070BF" w:rsidP="00C33D4A">
            <w:pPr>
              <w:widowControl w:val="0"/>
              <w:rPr>
                <w:sz w:val="16"/>
                <w:szCs w:val="16"/>
                <w:lang w:val="es-ES_tradnl" w:bidi="th-TH"/>
              </w:rPr>
            </w:pPr>
            <w:r w:rsidRPr="009577DE">
              <w:rPr>
                <w:sz w:val="16"/>
                <w:szCs w:val="16"/>
                <w:lang w:val="es-ES_tradnl" w:bidi="th-TH"/>
              </w:rPr>
              <w:t>Número de oficinas con sistemas automatizados parcialmente a finales de 2012:  25.</w:t>
            </w:r>
          </w:p>
          <w:p w:rsidR="00B070BF" w:rsidRPr="009577DE" w:rsidRDefault="00B070BF" w:rsidP="00C33D4A">
            <w:pPr>
              <w:widowControl w:val="0"/>
              <w:rPr>
                <w:sz w:val="16"/>
                <w:szCs w:val="16"/>
                <w:lang w:val="es-ES_tradnl" w:bidi="th-TH"/>
              </w:rPr>
            </w:pPr>
          </w:p>
          <w:p w:rsidR="00B070BF" w:rsidRPr="009577DE" w:rsidRDefault="00B070BF" w:rsidP="00C33D4A">
            <w:pPr>
              <w:widowControl w:val="0"/>
              <w:rPr>
                <w:sz w:val="16"/>
                <w:szCs w:val="16"/>
                <w:lang w:val="es-ES_tradnl" w:bidi="th-TH"/>
              </w:rPr>
            </w:pPr>
            <w:r w:rsidRPr="009577DE">
              <w:rPr>
                <w:sz w:val="16"/>
                <w:szCs w:val="16"/>
                <w:lang w:val="es-ES_tradnl" w:bidi="th-TH"/>
              </w:rPr>
              <w:t>Número de oficinas que usan la plataforma WIPO CASE:  4.</w:t>
            </w:r>
          </w:p>
          <w:p w:rsidR="00B070BF" w:rsidRPr="009577DE" w:rsidRDefault="00B070BF" w:rsidP="00C33D4A">
            <w:pPr>
              <w:widowControl w:val="0"/>
              <w:rPr>
                <w:sz w:val="16"/>
                <w:szCs w:val="16"/>
                <w:lang w:val="es-ES_tradnl" w:bidi="th-TH"/>
              </w:rPr>
            </w:pPr>
          </w:p>
          <w:p w:rsidR="00B070BF" w:rsidRPr="009577DE" w:rsidRDefault="00B070BF" w:rsidP="00C33D4A">
            <w:pPr>
              <w:widowControl w:val="0"/>
              <w:rPr>
                <w:sz w:val="16"/>
                <w:szCs w:val="16"/>
                <w:lang w:val="es-ES_tradnl" w:bidi="th-TH"/>
              </w:rPr>
            </w:pPr>
            <w:r w:rsidRPr="009577DE">
              <w:rPr>
                <w:sz w:val="16"/>
                <w:szCs w:val="16"/>
                <w:lang w:val="es-ES_tradnl" w:bidi="th-TH"/>
              </w:rPr>
              <w:t>En total 65 oficinas utilizaban sistemas de administración de P.I. proporcionados por la OMPI a finales de 2012.</w:t>
            </w:r>
          </w:p>
          <w:p w:rsidR="00B070BF" w:rsidRPr="009577DE" w:rsidRDefault="00B070BF" w:rsidP="00C33D4A">
            <w:pPr>
              <w:widowControl w:val="0"/>
              <w:rPr>
                <w:sz w:val="16"/>
                <w:szCs w:val="16"/>
                <w:lang w:val="es-ES_tradnl" w:bidi="th-TH"/>
              </w:rPr>
            </w:pPr>
          </w:p>
          <w:p w:rsidR="00B070BF" w:rsidRPr="009577DE" w:rsidRDefault="00B070BF" w:rsidP="00C33D4A">
            <w:pPr>
              <w:widowControl w:val="0"/>
              <w:rPr>
                <w:sz w:val="16"/>
                <w:szCs w:val="16"/>
                <w:lang w:val="es-ES_tradnl" w:bidi="th-TH"/>
              </w:rPr>
            </w:pPr>
          </w:p>
          <w:p w:rsidR="00B070BF" w:rsidRPr="009577DE" w:rsidRDefault="00B070BF" w:rsidP="00C33D4A">
            <w:pPr>
              <w:widowControl w:val="0"/>
              <w:rPr>
                <w:sz w:val="16"/>
                <w:szCs w:val="16"/>
                <w:lang w:val="es-ES_tradnl"/>
              </w:rPr>
            </w:pPr>
          </w:p>
        </w:tc>
        <w:tc>
          <w:tcPr>
            <w:tcW w:w="557" w:type="pct"/>
            <w:tcBorders>
              <w:top w:val="nil"/>
              <w:bottom w:val="nil"/>
              <w:right w:val="single" w:sz="4" w:space="0" w:color="auto"/>
            </w:tcBorders>
            <w:shd w:val="clear" w:color="auto" w:fill="auto"/>
            <w:tcMar>
              <w:top w:w="110" w:type="dxa"/>
            </w:tcMar>
          </w:tcPr>
          <w:p w:rsidR="00B070BF" w:rsidRPr="009577DE" w:rsidRDefault="00B070BF" w:rsidP="00C33D4A">
            <w:pPr>
              <w:widowControl w:val="0"/>
              <w:jc w:val="center"/>
              <w:rPr>
                <w:bCs/>
                <w:sz w:val="16"/>
                <w:szCs w:val="16"/>
                <w:lang w:val="es-ES_tradnl"/>
              </w:rPr>
            </w:pPr>
            <w:r w:rsidRPr="009577DE">
              <w:rPr>
                <w:b/>
                <w:color w:val="008000"/>
                <w:sz w:val="16"/>
                <w:szCs w:val="16"/>
                <w:lang w:val="es-ES_tradnl"/>
              </w:rPr>
              <w:t>Progresa con normalidad</w:t>
            </w:r>
          </w:p>
          <w:p w:rsidR="00B070BF" w:rsidRPr="009577DE" w:rsidRDefault="00B070BF" w:rsidP="00C33D4A">
            <w:pPr>
              <w:widowControl w:val="0"/>
              <w:jc w:val="center"/>
              <w:rPr>
                <w:bCs/>
                <w:sz w:val="16"/>
                <w:szCs w:val="16"/>
                <w:lang w:val="es-ES_tradnl"/>
              </w:rPr>
            </w:pPr>
          </w:p>
          <w:p w:rsidR="00B070BF" w:rsidRPr="009577DE" w:rsidRDefault="00B070BF" w:rsidP="00C33D4A">
            <w:pPr>
              <w:widowControl w:val="0"/>
              <w:jc w:val="center"/>
              <w:rPr>
                <w:bCs/>
                <w:sz w:val="16"/>
                <w:szCs w:val="16"/>
                <w:lang w:val="es-ES_tradnl"/>
              </w:rPr>
            </w:pPr>
          </w:p>
        </w:tc>
      </w:tr>
      <w:tr w:rsidR="00B070BF" w:rsidRPr="009577DE" w:rsidTr="00C33D4A">
        <w:trPr>
          <w:cantSplit/>
        </w:trPr>
        <w:tc>
          <w:tcPr>
            <w:tcW w:w="874" w:type="pct"/>
            <w:tcBorders>
              <w:top w:val="nil"/>
              <w:left w:val="single" w:sz="4" w:space="0" w:color="auto"/>
              <w:bottom w:val="nil"/>
            </w:tcBorders>
            <w:shd w:val="clear" w:color="auto" w:fill="auto"/>
          </w:tcPr>
          <w:p w:rsidR="00B070BF" w:rsidRPr="009577DE" w:rsidRDefault="00B070BF" w:rsidP="00C33D4A">
            <w:pPr>
              <w:widowControl w:val="0"/>
              <w:rPr>
                <w:sz w:val="16"/>
                <w:szCs w:val="16"/>
                <w:lang w:val="es-ES_tradnl"/>
              </w:rPr>
            </w:pPr>
            <w:r w:rsidRPr="009577DE">
              <w:rPr>
                <w:sz w:val="16"/>
                <w:szCs w:val="16"/>
                <w:lang w:val="es-ES_tradnl" w:bidi="th-TH"/>
              </w:rPr>
              <w:t>Número de oficinas cuyos datos de P.I. están disponibles en las bases de datos de la OMPI en Internet.</w:t>
            </w:r>
          </w:p>
        </w:tc>
        <w:tc>
          <w:tcPr>
            <w:tcW w:w="805" w:type="pct"/>
            <w:tcBorders>
              <w:top w:val="nil"/>
              <w:bottom w:val="nil"/>
            </w:tcBorders>
            <w:shd w:val="clear" w:color="auto" w:fill="C0C0C0"/>
          </w:tcPr>
          <w:p w:rsidR="00B070BF" w:rsidRPr="009577DE" w:rsidRDefault="00B070BF" w:rsidP="00C33D4A">
            <w:pPr>
              <w:widowControl w:val="0"/>
              <w:rPr>
                <w:sz w:val="16"/>
                <w:szCs w:val="16"/>
                <w:lang w:val="es-ES_tradnl" w:bidi="th-TH"/>
              </w:rPr>
            </w:pPr>
            <w:r w:rsidRPr="009577DE">
              <w:rPr>
                <w:sz w:val="16"/>
                <w:szCs w:val="16"/>
                <w:lang w:val="es-ES_tradnl" w:bidi="th-TH"/>
              </w:rPr>
              <w:t>20</w:t>
            </w:r>
          </w:p>
          <w:p w:rsidR="00B070BF" w:rsidRPr="009577DE" w:rsidRDefault="00B070BF" w:rsidP="00C33D4A">
            <w:pPr>
              <w:widowControl w:val="0"/>
              <w:rPr>
                <w:sz w:val="16"/>
                <w:szCs w:val="16"/>
                <w:lang w:val="es-ES_tradnl"/>
              </w:rPr>
            </w:pPr>
          </w:p>
        </w:tc>
        <w:tc>
          <w:tcPr>
            <w:tcW w:w="916" w:type="pct"/>
            <w:tcBorders>
              <w:top w:val="nil"/>
              <w:bottom w:val="nil"/>
            </w:tcBorders>
            <w:shd w:val="clear" w:color="auto" w:fill="auto"/>
            <w:tcMar>
              <w:top w:w="110" w:type="dxa"/>
            </w:tcMar>
          </w:tcPr>
          <w:p w:rsidR="00B070BF" w:rsidRPr="009577DE" w:rsidRDefault="00B070BF" w:rsidP="00C33D4A">
            <w:pPr>
              <w:widowControl w:val="0"/>
              <w:rPr>
                <w:i/>
                <w:sz w:val="16"/>
                <w:szCs w:val="16"/>
                <w:lang w:val="es-ES_tradnl"/>
              </w:rPr>
            </w:pPr>
          </w:p>
        </w:tc>
        <w:tc>
          <w:tcPr>
            <w:tcW w:w="1848" w:type="pct"/>
            <w:tcBorders>
              <w:top w:val="nil"/>
              <w:bottom w:val="nil"/>
            </w:tcBorders>
            <w:shd w:val="clear" w:color="auto" w:fill="FFFFFF"/>
            <w:tcMar>
              <w:top w:w="110" w:type="dxa"/>
            </w:tcMar>
          </w:tcPr>
          <w:p w:rsidR="00B070BF" w:rsidRPr="009577DE" w:rsidRDefault="00B070BF" w:rsidP="00C33D4A">
            <w:pPr>
              <w:widowControl w:val="0"/>
              <w:rPr>
                <w:sz w:val="16"/>
                <w:szCs w:val="16"/>
                <w:lang w:val="es-ES_tradnl" w:bidi="th-TH"/>
              </w:rPr>
            </w:pPr>
            <w:r w:rsidRPr="009577DE">
              <w:rPr>
                <w:sz w:val="16"/>
                <w:szCs w:val="16"/>
                <w:lang w:val="es-ES_tradnl" w:bidi="th-TH"/>
              </w:rPr>
              <w:t>38 oficinas cuyos datos de P.I. están disponibles en las bases de datos de la OMPI en Internet (</w:t>
            </w:r>
            <w:proofErr w:type="spellStart"/>
            <w:r w:rsidRPr="009577DE">
              <w:rPr>
                <w:sz w:val="16"/>
                <w:szCs w:val="16"/>
                <w:lang w:val="es-ES_tradnl" w:bidi="th-TH"/>
              </w:rPr>
              <w:t>PatentScope</w:t>
            </w:r>
            <w:proofErr w:type="spellEnd"/>
            <w:r w:rsidRPr="009577DE">
              <w:rPr>
                <w:sz w:val="16"/>
                <w:szCs w:val="16"/>
                <w:lang w:val="es-ES_tradnl" w:bidi="th-TH"/>
              </w:rPr>
              <w:t xml:space="preserve"> y la Base Mundial de Datos sobre Marcas).</w:t>
            </w:r>
          </w:p>
          <w:p w:rsidR="00B070BF" w:rsidRPr="009577DE" w:rsidRDefault="00B070BF" w:rsidP="00C33D4A">
            <w:pPr>
              <w:widowControl w:val="0"/>
              <w:rPr>
                <w:sz w:val="16"/>
                <w:szCs w:val="16"/>
                <w:lang w:val="es-ES_tradnl"/>
              </w:rPr>
            </w:pPr>
          </w:p>
        </w:tc>
        <w:tc>
          <w:tcPr>
            <w:tcW w:w="557" w:type="pct"/>
            <w:tcBorders>
              <w:top w:val="nil"/>
              <w:bottom w:val="nil"/>
              <w:right w:val="single" w:sz="4" w:space="0" w:color="auto"/>
            </w:tcBorders>
            <w:shd w:val="clear" w:color="auto" w:fill="auto"/>
            <w:tcMar>
              <w:top w:w="110" w:type="dxa"/>
            </w:tcMar>
          </w:tcPr>
          <w:p w:rsidR="00B070BF" w:rsidRPr="009577DE" w:rsidRDefault="00B070BF" w:rsidP="00C33D4A">
            <w:pPr>
              <w:widowControl w:val="0"/>
              <w:jc w:val="center"/>
              <w:rPr>
                <w:bCs/>
                <w:sz w:val="16"/>
                <w:szCs w:val="16"/>
                <w:lang w:val="es-ES_tradnl"/>
              </w:rPr>
            </w:pPr>
            <w:r w:rsidRPr="009577DE">
              <w:rPr>
                <w:b/>
                <w:color w:val="008000"/>
                <w:sz w:val="16"/>
                <w:szCs w:val="16"/>
                <w:lang w:val="es-ES_tradnl"/>
              </w:rPr>
              <w:t>Progresa con normalidad</w:t>
            </w:r>
            <w:r w:rsidRPr="009577DE" w:rsidDel="00D2501A">
              <w:rPr>
                <w:bCs/>
                <w:sz w:val="16"/>
                <w:szCs w:val="16"/>
                <w:lang w:val="es-ES_tradnl"/>
              </w:rPr>
              <w:t xml:space="preserve"> </w:t>
            </w:r>
          </w:p>
        </w:tc>
      </w:tr>
      <w:tr w:rsidR="00B070BF" w:rsidRPr="009577DE" w:rsidTr="00C33D4A">
        <w:trPr>
          <w:cantSplit/>
          <w:trHeight w:val="784"/>
        </w:trPr>
        <w:tc>
          <w:tcPr>
            <w:tcW w:w="874" w:type="pct"/>
            <w:tcBorders>
              <w:top w:val="nil"/>
              <w:left w:val="single" w:sz="4" w:space="0" w:color="auto"/>
              <w:bottom w:val="nil"/>
            </w:tcBorders>
            <w:shd w:val="clear" w:color="auto" w:fill="auto"/>
          </w:tcPr>
          <w:p w:rsidR="00B070BF" w:rsidRPr="009577DE" w:rsidRDefault="00B070BF" w:rsidP="00C33D4A">
            <w:pPr>
              <w:widowControl w:val="0"/>
              <w:rPr>
                <w:sz w:val="16"/>
                <w:szCs w:val="16"/>
                <w:lang w:val="es-ES_tradnl"/>
              </w:rPr>
            </w:pPr>
            <w:r w:rsidRPr="009577DE">
              <w:rPr>
                <w:sz w:val="16"/>
                <w:szCs w:val="16"/>
                <w:lang w:val="es-ES_tradnl" w:bidi="th-TH"/>
              </w:rPr>
              <w:t>Número de grupos de oficinas que participan en una plataforma común.</w:t>
            </w:r>
          </w:p>
          <w:p w:rsidR="00B070BF" w:rsidRPr="009577DE" w:rsidRDefault="00B070BF" w:rsidP="00C33D4A">
            <w:pPr>
              <w:widowControl w:val="0"/>
              <w:jc w:val="center"/>
              <w:rPr>
                <w:sz w:val="16"/>
                <w:szCs w:val="16"/>
                <w:lang w:val="es-ES_tradnl"/>
              </w:rPr>
            </w:pPr>
          </w:p>
        </w:tc>
        <w:tc>
          <w:tcPr>
            <w:tcW w:w="805" w:type="pct"/>
            <w:tcBorders>
              <w:top w:val="nil"/>
              <w:bottom w:val="nil"/>
            </w:tcBorders>
            <w:shd w:val="clear" w:color="auto" w:fill="C0C0C0"/>
          </w:tcPr>
          <w:p w:rsidR="00B070BF" w:rsidRPr="009577DE" w:rsidRDefault="00B070BF" w:rsidP="00C33D4A">
            <w:pPr>
              <w:widowControl w:val="0"/>
              <w:rPr>
                <w:sz w:val="16"/>
                <w:szCs w:val="16"/>
                <w:lang w:val="es-ES_tradnl" w:bidi="th-TH"/>
              </w:rPr>
            </w:pPr>
            <w:r w:rsidRPr="009577DE">
              <w:rPr>
                <w:sz w:val="16"/>
                <w:szCs w:val="16"/>
                <w:lang w:val="es-ES_tradnl" w:bidi="th-TH"/>
              </w:rPr>
              <w:t>1</w:t>
            </w:r>
          </w:p>
        </w:tc>
        <w:tc>
          <w:tcPr>
            <w:tcW w:w="916" w:type="pct"/>
            <w:tcBorders>
              <w:top w:val="nil"/>
              <w:bottom w:val="nil"/>
            </w:tcBorders>
            <w:shd w:val="clear" w:color="auto" w:fill="auto"/>
            <w:tcMar>
              <w:top w:w="110" w:type="dxa"/>
            </w:tcMar>
          </w:tcPr>
          <w:p w:rsidR="00B070BF" w:rsidRPr="009577DE" w:rsidRDefault="00B070BF" w:rsidP="00C33D4A">
            <w:pPr>
              <w:widowControl w:val="0"/>
              <w:rPr>
                <w:i/>
                <w:sz w:val="16"/>
                <w:szCs w:val="16"/>
                <w:lang w:val="es-ES_tradnl"/>
              </w:rPr>
            </w:pPr>
          </w:p>
        </w:tc>
        <w:tc>
          <w:tcPr>
            <w:tcW w:w="1848" w:type="pct"/>
            <w:tcBorders>
              <w:top w:val="nil"/>
              <w:bottom w:val="nil"/>
            </w:tcBorders>
            <w:shd w:val="clear" w:color="auto" w:fill="FFFFFF"/>
            <w:tcMar>
              <w:top w:w="110" w:type="dxa"/>
            </w:tcMar>
          </w:tcPr>
          <w:p w:rsidR="00B070BF" w:rsidRPr="009577DE" w:rsidRDefault="00B070BF" w:rsidP="00C33D4A">
            <w:pPr>
              <w:widowControl w:val="0"/>
              <w:rPr>
                <w:sz w:val="16"/>
                <w:szCs w:val="16"/>
                <w:lang w:val="es-ES_tradnl" w:bidi="th-TH"/>
              </w:rPr>
            </w:pPr>
            <w:r w:rsidRPr="009577DE">
              <w:rPr>
                <w:sz w:val="16"/>
                <w:szCs w:val="16"/>
                <w:lang w:val="es-ES_tradnl" w:bidi="th-TH"/>
              </w:rPr>
              <w:t>Un grupo (comprende cuatro oficinas: Australia, el Canadá, Nueva Zelandia y el Reino Unido).</w:t>
            </w:r>
          </w:p>
          <w:p w:rsidR="00B070BF" w:rsidRPr="009577DE" w:rsidRDefault="00B070BF" w:rsidP="00C33D4A">
            <w:pPr>
              <w:widowControl w:val="0"/>
              <w:rPr>
                <w:sz w:val="16"/>
                <w:szCs w:val="16"/>
                <w:lang w:val="es-ES_tradnl"/>
              </w:rPr>
            </w:pPr>
          </w:p>
        </w:tc>
        <w:tc>
          <w:tcPr>
            <w:tcW w:w="557" w:type="pct"/>
            <w:tcBorders>
              <w:top w:val="nil"/>
              <w:bottom w:val="nil"/>
              <w:right w:val="single" w:sz="4" w:space="0" w:color="auto"/>
            </w:tcBorders>
            <w:shd w:val="clear" w:color="auto" w:fill="auto"/>
            <w:tcMar>
              <w:top w:w="110" w:type="dxa"/>
            </w:tcMar>
          </w:tcPr>
          <w:p w:rsidR="00B070BF" w:rsidRPr="009577DE" w:rsidRDefault="00B070BF" w:rsidP="00C33D4A">
            <w:pPr>
              <w:widowControl w:val="0"/>
              <w:jc w:val="center"/>
              <w:rPr>
                <w:b/>
                <w:sz w:val="16"/>
                <w:szCs w:val="16"/>
                <w:lang w:val="es-ES_tradnl"/>
              </w:rPr>
            </w:pPr>
            <w:r w:rsidRPr="009577DE">
              <w:rPr>
                <w:b/>
                <w:color w:val="FF0000"/>
                <w:sz w:val="16"/>
                <w:szCs w:val="16"/>
                <w:lang w:val="es-ES_tradnl"/>
              </w:rPr>
              <w:t>Sin avances significativos</w:t>
            </w:r>
          </w:p>
          <w:p w:rsidR="00B070BF" w:rsidRPr="009577DE" w:rsidRDefault="00B070BF" w:rsidP="00C33D4A">
            <w:pPr>
              <w:widowControl w:val="0"/>
              <w:rPr>
                <w:bCs/>
                <w:sz w:val="16"/>
                <w:szCs w:val="16"/>
                <w:lang w:val="es-ES_tradnl"/>
              </w:rPr>
            </w:pPr>
          </w:p>
        </w:tc>
      </w:tr>
      <w:tr w:rsidR="00B070BF" w:rsidRPr="009577DE" w:rsidTr="00C33D4A">
        <w:trPr>
          <w:cantSplit/>
        </w:trPr>
        <w:tc>
          <w:tcPr>
            <w:tcW w:w="874" w:type="pct"/>
            <w:tcBorders>
              <w:top w:val="nil"/>
              <w:left w:val="single" w:sz="4" w:space="0" w:color="auto"/>
              <w:bottom w:val="single" w:sz="4" w:space="0" w:color="auto"/>
            </w:tcBorders>
            <w:shd w:val="clear" w:color="auto" w:fill="auto"/>
          </w:tcPr>
          <w:p w:rsidR="00B070BF" w:rsidRPr="009577DE" w:rsidRDefault="00B070BF" w:rsidP="00C33D4A">
            <w:pPr>
              <w:widowControl w:val="0"/>
              <w:rPr>
                <w:sz w:val="16"/>
                <w:szCs w:val="16"/>
                <w:lang w:val="es-ES_tradnl"/>
              </w:rPr>
            </w:pPr>
            <w:r w:rsidRPr="009577DE">
              <w:rPr>
                <w:sz w:val="16"/>
                <w:szCs w:val="16"/>
                <w:lang w:val="es-ES_tradnl" w:bidi="th-TH"/>
              </w:rPr>
              <w:t>Número de oficinas que tramitan los datos del PCT y del sistema de Madrid con el apoyo de sistemas proporcionados por la OMPI.</w:t>
            </w:r>
          </w:p>
        </w:tc>
        <w:tc>
          <w:tcPr>
            <w:tcW w:w="805" w:type="pct"/>
            <w:tcBorders>
              <w:top w:val="nil"/>
              <w:bottom w:val="single" w:sz="4" w:space="0" w:color="auto"/>
            </w:tcBorders>
            <w:shd w:val="clear" w:color="auto" w:fill="C0C0C0"/>
          </w:tcPr>
          <w:p w:rsidR="00B070BF" w:rsidRPr="009577DE" w:rsidRDefault="00B070BF" w:rsidP="00C33D4A">
            <w:pPr>
              <w:widowControl w:val="0"/>
              <w:rPr>
                <w:sz w:val="16"/>
                <w:szCs w:val="16"/>
                <w:lang w:val="es-ES_tradnl" w:bidi="th-TH"/>
              </w:rPr>
            </w:pPr>
            <w:r w:rsidRPr="009577DE">
              <w:rPr>
                <w:sz w:val="16"/>
                <w:szCs w:val="16"/>
                <w:lang w:val="es-ES_tradnl" w:bidi="th-TH"/>
              </w:rPr>
              <w:t>5</w:t>
            </w:r>
          </w:p>
        </w:tc>
        <w:tc>
          <w:tcPr>
            <w:tcW w:w="916" w:type="pct"/>
            <w:tcBorders>
              <w:top w:val="nil"/>
              <w:bottom w:val="single" w:sz="4" w:space="0" w:color="auto"/>
            </w:tcBorders>
            <w:shd w:val="clear" w:color="auto" w:fill="auto"/>
            <w:tcMar>
              <w:top w:w="110" w:type="dxa"/>
            </w:tcMar>
          </w:tcPr>
          <w:p w:rsidR="00B070BF" w:rsidRPr="009577DE" w:rsidRDefault="00B070BF" w:rsidP="00C33D4A">
            <w:pPr>
              <w:widowControl w:val="0"/>
              <w:rPr>
                <w:i/>
                <w:sz w:val="16"/>
                <w:szCs w:val="16"/>
                <w:lang w:val="es-ES_tradnl"/>
              </w:rPr>
            </w:pPr>
          </w:p>
        </w:tc>
        <w:tc>
          <w:tcPr>
            <w:tcW w:w="1848" w:type="pct"/>
            <w:tcBorders>
              <w:top w:val="nil"/>
              <w:bottom w:val="single" w:sz="4" w:space="0" w:color="auto"/>
            </w:tcBorders>
            <w:shd w:val="clear" w:color="auto" w:fill="FFFFFF"/>
            <w:tcMar>
              <w:top w:w="110" w:type="dxa"/>
            </w:tcMar>
          </w:tcPr>
          <w:p w:rsidR="00B070BF" w:rsidRPr="009577DE" w:rsidRDefault="00B070BF" w:rsidP="00C33D4A">
            <w:pPr>
              <w:widowControl w:val="0"/>
              <w:rPr>
                <w:sz w:val="16"/>
                <w:szCs w:val="16"/>
                <w:lang w:val="es-ES_tradnl" w:bidi="th-TH"/>
              </w:rPr>
            </w:pPr>
            <w:r w:rsidRPr="009577DE">
              <w:rPr>
                <w:sz w:val="16"/>
                <w:szCs w:val="16"/>
                <w:lang w:val="es-ES_tradnl" w:bidi="th-TH"/>
              </w:rPr>
              <w:t xml:space="preserve">24 oficinas </w:t>
            </w:r>
          </w:p>
          <w:p w:rsidR="00B070BF" w:rsidRPr="009577DE" w:rsidRDefault="00B070BF" w:rsidP="00C33D4A">
            <w:pPr>
              <w:widowControl w:val="0"/>
              <w:rPr>
                <w:sz w:val="16"/>
                <w:szCs w:val="16"/>
                <w:lang w:val="es-ES_tradnl" w:bidi="th-TH"/>
              </w:rPr>
            </w:pPr>
          </w:p>
          <w:p w:rsidR="00B070BF" w:rsidRPr="009577DE" w:rsidRDefault="00B070BF" w:rsidP="00C33D4A">
            <w:pPr>
              <w:widowControl w:val="0"/>
              <w:rPr>
                <w:sz w:val="16"/>
                <w:szCs w:val="16"/>
                <w:lang w:val="es-ES_tradnl" w:bidi="th-TH"/>
              </w:rPr>
            </w:pPr>
          </w:p>
          <w:p w:rsidR="00B070BF" w:rsidRPr="009577DE" w:rsidRDefault="00B070BF" w:rsidP="00C33D4A">
            <w:pPr>
              <w:widowControl w:val="0"/>
              <w:rPr>
                <w:sz w:val="16"/>
                <w:szCs w:val="16"/>
                <w:lang w:val="es-ES_tradnl" w:bidi="th-TH"/>
              </w:rPr>
            </w:pPr>
          </w:p>
          <w:p w:rsidR="00B070BF" w:rsidRPr="009577DE" w:rsidRDefault="00B070BF" w:rsidP="00C33D4A">
            <w:pPr>
              <w:widowControl w:val="0"/>
              <w:rPr>
                <w:sz w:val="16"/>
                <w:szCs w:val="16"/>
                <w:lang w:val="es-ES_tradnl" w:bidi="th-TH"/>
              </w:rPr>
            </w:pPr>
          </w:p>
          <w:p w:rsidR="00B070BF" w:rsidRPr="009577DE" w:rsidRDefault="00B070BF" w:rsidP="00C33D4A">
            <w:pPr>
              <w:widowControl w:val="0"/>
              <w:rPr>
                <w:sz w:val="16"/>
                <w:szCs w:val="16"/>
                <w:lang w:val="es-ES_tradnl" w:bidi="th-TH"/>
              </w:rPr>
            </w:pPr>
          </w:p>
          <w:p w:rsidR="00B070BF" w:rsidRPr="009577DE" w:rsidRDefault="00B070BF" w:rsidP="00C33D4A">
            <w:pPr>
              <w:widowControl w:val="0"/>
              <w:rPr>
                <w:sz w:val="16"/>
                <w:szCs w:val="16"/>
                <w:lang w:val="es-ES_tradnl"/>
              </w:rPr>
            </w:pPr>
          </w:p>
        </w:tc>
        <w:tc>
          <w:tcPr>
            <w:tcW w:w="557" w:type="pct"/>
            <w:tcBorders>
              <w:top w:val="nil"/>
              <w:bottom w:val="single" w:sz="4" w:space="0" w:color="auto"/>
              <w:right w:val="single" w:sz="4" w:space="0" w:color="auto"/>
            </w:tcBorders>
            <w:shd w:val="clear" w:color="auto" w:fill="auto"/>
            <w:tcMar>
              <w:top w:w="110" w:type="dxa"/>
            </w:tcMar>
          </w:tcPr>
          <w:p w:rsidR="00B070BF" w:rsidRPr="009577DE" w:rsidRDefault="00B070BF" w:rsidP="00C33D4A">
            <w:pPr>
              <w:widowControl w:val="0"/>
              <w:jc w:val="center"/>
              <w:rPr>
                <w:bCs/>
                <w:sz w:val="16"/>
                <w:szCs w:val="16"/>
                <w:lang w:val="es-ES_tradnl"/>
              </w:rPr>
            </w:pPr>
            <w:r w:rsidRPr="009577DE">
              <w:rPr>
                <w:b/>
                <w:color w:val="008000"/>
                <w:sz w:val="16"/>
                <w:szCs w:val="16"/>
                <w:lang w:val="es-ES_tradnl"/>
              </w:rPr>
              <w:t>Progresa con normalidad</w:t>
            </w:r>
            <w:r w:rsidRPr="009577DE" w:rsidDel="00D2501A">
              <w:rPr>
                <w:bCs/>
                <w:sz w:val="16"/>
                <w:szCs w:val="16"/>
                <w:lang w:val="es-ES_tradnl"/>
              </w:rPr>
              <w:t xml:space="preserve"> </w:t>
            </w:r>
          </w:p>
          <w:p w:rsidR="00B070BF" w:rsidRPr="009577DE" w:rsidRDefault="00B070BF" w:rsidP="00C33D4A">
            <w:pPr>
              <w:widowControl w:val="0"/>
              <w:jc w:val="center"/>
              <w:rPr>
                <w:bCs/>
                <w:sz w:val="16"/>
                <w:szCs w:val="16"/>
                <w:lang w:val="es-ES_tradnl"/>
              </w:rPr>
            </w:pPr>
          </w:p>
        </w:tc>
      </w:tr>
    </w:tbl>
    <w:p w:rsidR="00B070BF" w:rsidRPr="009577DE" w:rsidRDefault="00B070BF" w:rsidP="00B070BF">
      <w:pPr>
        <w:widowControl w:val="0"/>
        <w:rPr>
          <w:sz w:val="20"/>
        </w:rPr>
      </w:pPr>
    </w:p>
    <w:p w:rsidR="00B070BF" w:rsidRDefault="00B070BF" w:rsidP="00B070BF">
      <w:pPr>
        <w:rPr>
          <w:sz w:val="20"/>
        </w:rPr>
      </w:pPr>
      <w:r>
        <w:rPr>
          <w:sz w:val="20"/>
        </w:rPr>
        <w:br w:type="page"/>
      </w:r>
    </w:p>
    <w:p w:rsidR="00B070BF" w:rsidRPr="009577DE" w:rsidRDefault="00B070BF" w:rsidP="00B070BF">
      <w:pPr>
        <w:widowControl w:val="0"/>
        <w:rPr>
          <w:sz w:val="18"/>
          <w:szCs w:val="18"/>
          <w:lang w:val="es-ES_tradnl"/>
        </w:rPr>
      </w:pPr>
    </w:p>
    <w:p w:rsidR="00B070BF" w:rsidRPr="009577DE" w:rsidRDefault="00B070BF" w:rsidP="00B070BF">
      <w:pPr>
        <w:widowControl w:val="0"/>
        <w:rPr>
          <w:sz w:val="20"/>
          <w:szCs w:val="22"/>
          <w:lang w:val="es-ES_tradnl"/>
        </w:rPr>
      </w:pPr>
      <w:r w:rsidRPr="009577DE">
        <w:rPr>
          <w:sz w:val="20"/>
          <w:szCs w:val="22"/>
          <w:lang w:val="es-ES_tradnl"/>
        </w:rPr>
        <w:t>PRESUPUESTO Y GASTOS REALES</w:t>
      </w:r>
    </w:p>
    <w:p w:rsidR="00B070BF" w:rsidRPr="006964C6" w:rsidRDefault="00B070BF" w:rsidP="00B070BF">
      <w:pPr>
        <w:widowControl w:val="0"/>
        <w:rPr>
          <w:sz w:val="20"/>
          <w:lang w:val="es-ES_tradnl"/>
        </w:rPr>
      </w:pPr>
    </w:p>
    <w:p w:rsidR="00B070BF" w:rsidRPr="006964C6" w:rsidRDefault="00B070BF" w:rsidP="00B070BF">
      <w:pPr>
        <w:widowControl w:val="0"/>
        <w:jc w:val="center"/>
        <w:rPr>
          <w:sz w:val="20"/>
          <w:lang w:val="es-ES_tradnl"/>
        </w:rPr>
      </w:pPr>
      <w:r w:rsidRPr="006964C6">
        <w:rPr>
          <w:sz w:val="20"/>
          <w:lang w:val="es-ES_tradnl"/>
        </w:rPr>
        <w:t>Presupuesto y gastos reales (por resultado)</w:t>
      </w:r>
    </w:p>
    <w:p w:rsidR="00B070BF" w:rsidRPr="009577DE" w:rsidRDefault="00B070BF" w:rsidP="00B070BF">
      <w:pPr>
        <w:widowControl w:val="0"/>
        <w:jc w:val="center"/>
        <w:rPr>
          <w:sz w:val="20"/>
          <w:lang w:val="es-ES_tradnl"/>
        </w:rPr>
      </w:pPr>
      <w:r w:rsidRPr="006964C6">
        <w:rPr>
          <w:i/>
          <w:iCs/>
          <w:sz w:val="20"/>
          <w:lang w:val="es-ES_tradnl"/>
        </w:rPr>
        <w:t>(en miles de francos suizos)</w:t>
      </w:r>
      <w:r w:rsidRPr="006964C6">
        <w:rPr>
          <w:i/>
          <w:iCs/>
          <w:sz w:val="20"/>
          <w:lang w:val="es-ES_tradnl"/>
        </w:rPr>
        <w:br/>
      </w:r>
      <w:r w:rsidRPr="006964C6">
        <w:rPr>
          <w:i/>
          <w:iCs/>
          <w:sz w:val="20"/>
          <w:lang w:val="es-ES_tradnl"/>
        </w:rPr>
        <w:br/>
      </w:r>
      <w:r w:rsidRPr="009577DE">
        <w:rPr>
          <w:noProof/>
          <w:lang w:val="en-US" w:eastAsia="en-US"/>
        </w:rPr>
        <w:drawing>
          <wp:inline distT="0" distB="0" distL="0" distR="0" wp14:anchorId="57C5CA84" wp14:editId="59F714A6">
            <wp:extent cx="5902325" cy="1187450"/>
            <wp:effectExtent l="0" t="0" r="3175" b="0"/>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902325" cy="1187450"/>
                    </a:xfrm>
                    <a:prstGeom prst="rect">
                      <a:avLst/>
                    </a:prstGeom>
                    <a:noFill/>
                    <a:ln>
                      <a:noFill/>
                    </a:ln>
                  </pic:spPr>
                </pic:pic>
              </a:graphicData>
            </a:graphic>
          </wp:inline>
        </w:drawing>
      </w:r>
    </w:p>
    <w:p w:rsidR="00B070BF" w:rsidRPr="006964C6" w:rsidRDefault="00B070BF" w:rsidP="00B070BF">
      <w:pPr>
        <w:widowControl w:val="0"/>
        <w:jc w:val="center"/>
        <w:rPr>
          <w:sz w:val="20"/>
          <w:lang w:val="es-ES_tradnl"/>
        </w:rPr>
      </w:pPr>
    </w:p>
    <w:p w:rsidR="00B070BF" w:rsidRPr="006964C6" w:rsidRDefault="00B070BF" w:rsidP="00B070BF">
      <w:pPr>
        <w:widowControl w:val="0"/>
        <w:jc w:val="center"/>
        <w:rPr>
          <w:sz w:val="20"/>
          <w:lang w:val="es-ES_tradnl"/>
        </w:rPr>
      </w:pPr>
    </w:p>
    <w:p w:rsidR="00B070BF" w:rsidRPr="009577DE" w:rsidRDefault="00B070BF" w:rsidP="00B070BF">
      <w:pPr>
        <w:widowControl w:val="0"/>
        <w:jc w:val="center"/>
        <w:rPr>
          <w:sz w:val="20"/>
          <w:lang w:val="es-ES_tradnl"/>
        </w:rPr>
      </w:pPr>
      <w:r w:rsidRPr="006964C6">
        <w:rPr>
          <w:sz w:val="20"/>
          <w:lang w:val="es-ES_tradnl"/>
        </w:rPr>
        <w:t>Presupuesto y gastos reales (de personal y no relativos al personal)</w:t>
      </w:r>
      <w:r w:rsidRPr="006964C6">
        <w:rPr>
          <w:sz w:val="20"/>
          <w:lang w:val="es-ES_tradnl"/>
        </w:rPr>
        <w:br/>
      </w:r>
      <w:r w:rsidRPr="006964C6">
        <w:rPr>
          <w:i/>
          <w:sz w:val="20"/>
          <w:lang w:val="es-ES_tradnl"/>
        </w:rPr>
        <w:t>(en miles de francos suizos)</w:t>
      </w:r>
      <w:r w:rsidRPr="006964C6">
        <w:rPr>
          <w:sz w:val="20"/>
          <w:lang w:val="es-ES_tradnl"/>
        </w:rPr>
        <w:br/>
      </w:r>
      <w:r w:rsidRPr="006964C6">
        <w:rPr>
          <w:sz w:val="20"/>
          <w:lang w:val="es-ES_tradnl"/>
        </w:rPr>
        <w:br/>
      </w:r>
      <w:r w:rsidRPr="009577DE">
        <w:rPr>
          <w:noProof/>
          <w:lang w:val="en-US" w:eastAsia="en-US"/>
        </w:rPr>
        <w:drawing>
          <wp:inline distT="0" distB="0" distL="0" distR="0" wp14:anchorId="76E01751" wp14:editId="0DEB77AA">
            <wp:extent cx="5902325" cy="1235075"/>
            <wp:effectExtent l="0" t="0" r="3175" b="3175"/>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902325" cy="1235075"/>
                    </a:xfrm>
                    <a:prstGeom prst="rect">
                      <a:avLst/>
                    </a:prstGeom>
                    <a:noFill/>
                    <a:ln>
                      <a:noFill/>
                    </a:ln>
                  </pic:spPr>
                </pic:pic>
              </a:graphicData>
            </a:graphic>
          </wp:inline>
        </w:drawing>
      </w:r>
    </w:p>
    <w:p w:rsidR="00B070BF" w:rsidRPr="009577DE" w:rsidRDefault="00B070BF" w:rsidP="00B070BF">
      <w:pPr>
        <w:widowControl w:val="0"/>
        <w:rPr>
          <w:sz w:val="20"/>
          <w:lang w:val="es-ES_tradnl"/>
        </w:rPr>
      </w:pPr>
    </w:p>
    <w:p w:rsidR="00B070BF" w:rsidRPr="009577DE" w:rsidRDefault="00B070BF" w:rsidP="00B070BF">
      <w:pPr>
        <w:widowControl w:val="0"/>
        <w:rPr>
          <w:sz w:val="16"/>
          <w:szCs w:val="16"/>
          <w:lang w:val="es-ES_tradnl"/>
        </w:rPr>
      </w:pPr>
      <w:r w:rsidRPr="007C3E0F">
        <w:rPr>
          <w:sz w:val="16"/>
          <w:szCs w:val="16"/>
          <w:lang w:val="es-ES_tradnl"/>
        </w:rPr>
        <w:t>NOTAS:</w:t>
      </w:r>
    </w:p>
    <w:p w:rsidR="00B070BF" w:rsidRPr="009577DE" w:rsidRDefault="00B070BF" w:rsidP="00B070BF">
      <w:pPr>
        <w:widowControl w:val="0"/>
        <w:rPr>
          <w:sz w:val="16"/>
          <w:szCs w:val="16"/>
          <w:lang w:val="es-ES_tradnl"/>
        </w:rPr>
      </w:pPr>
    </w:p>
    <w:p w:rsidR="00B070BF" w:rsidRPr="009577DE" w:rsidRDefault="00B070BF" w:rsidP="00B070BF">
      <w:pPr>
        <w:widowControl w:val="0"/>
        <w:autoSpaceDE w:val="0"/>
        <w:autoSpaceDN w:val="0"/>
        <w:adjustRightInd w:val="0"/>
        <w:rPr>
          <w:sz w:val="16"/>
          <w:szCs w:val="16"/>
          <w:lang w:val="es-ES_tradnl"/>
        </w:rPr>
      </w:pPr>
      <w:r w:rsidRPr="009577DE">
        <w:rPr>
          <w:sz w:val="16"/>
          <w:szCs w:val="16"/>
          <w:lang w:val="es-ES_tradnl"/>
        </w:rPr>
        <w:t>1) El presupuesto después de las transferencias refleja el presupuesto de los programas ajustado después de las transferencias efectuadas en 2012/13 en virtud del artículo 5.5 del Reglamento Financiero.</w:t>
      </w:r>
    </w:p>
    <w:p w:rsidR="00B070BF" w:rsidRPr="009577DE" w:rsidRDefault="00B070BF" w:rsidP="00B070BF">
      <w:pPr>
        <w:widowControl w:val="0"/>
        <w:autoSpaceDE w:val="0"/>
        <w:autoSpaceDN w:val="0"/>
        <w:adjustRightInd w:val="0"/>
        <w:rPr>
          <w:sz w:val="16"/>
          <w:szCs w:val="16"/>
          <w:lang w:val="es-ES_tradnl"/>
        </w:rPr>
      </w:pPr>
    </w:p>
    <w:p w:rsidR="00B070BF" w:rsidRPr="009577DE" w:rsidRDefault="00B070BF" w:rsidP="00B070BF">
      <w:pPr>
        <w:widowControl w:val="0"/>
        <w:autoSpaceDE w:val="0"/>
        <w:autoSpaceDN w:val="0"/>
        <w:adjustRightInd w:val="0"/>
        <w:rPr>
          <w:sz w:val="16"/>
          <w:szCs w:val="16"/>
          <w:lang w:val="es-ES_tradnl"/>
        </w:rPr>
      </w:pPr>
      <w:r w:rsidRPr="009577DE">
        <w:rPr>
          <w:sz w:val="16"/>
          <w:szCs w:val="16"/>
          <w:lang w:val="es-ES_tradnl"/>
        </w:rPr>
        <w:t xml:space="preserve">2) La asignación para el personal del presupuesto de 2012/13 después de las transferencias representa los gastos reales efectuados hasta el 31 de marzo de 2013 y los importes presupuestados para los nueve meses restantes de 2013, sobre la base de costos estándar. </w:t>
      </w:r>
    </w:p>
    <w:p w:rsidR="00B070BF" w:rsidRPr="009577DE" w:rsidRDefault="00B070BF" w:rsidP="00B070BF">
      <w:pPr>
        <w:widowControl w:val="0"/>
        <w:autoSpaceDE w:val="0"/>
        <w:autoSpaceDN w:val="0"/>
        <w:adjustRightInd w:val="0"/>
        <w:rPr>
          <w:sz w:val="16"/>
          <w:szCs w:val="16"/>
          <w:lang w:val="es-ES_tradnl"/>
        </w:rPr>
      </w:pPr>
    </w:p>
    <w:p w:rsidR="00B070BF" w:rsidRPr="009577DE" w:rsidRDefault="00B070BF" w:rsidP="00B070BF">
      <w:pPr>
        <w:widowControl w:val="0"/>
        <w:autoSpaceDE w:val="0"/>
        <w:autoSpaceDN w:val="0"/>
        <w:adjustRightInd w:val="0"/>
        <w:rPr>
          <w:sz w:val="16"/>
          <w:szCs w:val="16"/>
          <w:lang w:val="es-ES_tradnl"/>
        </w:rPr>
      </w:pPr>
      <w:r w:rsidRPr="009577DE">
        <w:rPr>
          <w:sz w:val="16"/>
          <w:szCs w:val="16"/>
          <w:lang w:val="es-ES_tradnl"/>
        </w:rPr>
        <w:t>3) La asignación no relativa al personal del presupuesto de 2012/13 después de las transferencias refleja los ajustes a la baja efectuados para aumentar la eficacia en función de los costos, de conformidad con el compromiso de la Organización de reducir gastos por un importe de 10,2 millones de francos suizos en el bienio 2012/13.</w:t>
      </w:r>
    </w:p>
    <w:p w:rsidR="00B070BF" w:rsidRPr="009577DE" w:rsidRDefault="00B070BF" w:rsidP="00B070BF">
      <w:pPr>
        <w:widowControl w:val="0"/>
        <w:rPr>
          <w:sz w:val="16"/>
          <w:szCs w:val="16"/>
          <w:lang w:val="es-ES_tradnl"/>
        </w:rPr>
      </w:pPr>
    </w:p>
    <w:p w:rsidR="00B070BF" w:rsidRPr="009577DE" w:rsidRDefault="00B070BF" w:rsidP="00B070BF">
      <w:pPr>
        <w:widowControl w:val="0"/>
        <w:rPr>
          <w:sz w:val="20"/>
          <w:lang w:val="es-ES_tradnl"/>
        </w:rPr>
      </w:pPr>
    </w:p>
    <w:p w:rsidR="00B070BF" w:rsidRPr="009577DE" w:rsidRDefault="00B070BF" w:rsidP="00B070BF">
      <w:pPr>
        <w:widowControl w:val="0"/>
        <w:rPr>
          <w:sz w:val="20"/>
          <w:u w:val="single"/>
          <w:lang w:val="es-ES_tradnl"/>
        </w:rPr>
      </w:pPr>
      <w:r>
        <w:rPr>
          <w:sz w:val="20"/>
          <w:lang w:val="es-ES_tradnl"/>
        </w:rPr>
        <w:t xml:space="preserve">A.  </w:t>
      </w:r>
      <w:r w:rsidRPr="009577DE">
        <w:rPr>
          <w:sz w:val="20"/>
          <w:u w:val="single"/>
          <w:lang w:val="es-ES_tradnl"/>
        </w:rPr>
        <w:t xml:space="preserve">Presupuesto </w:t>
      </w:r>
      <w:r>
        <w:rPr>
          <w:sz w:val="20"/>
          <w:u w:val="single"/>
          <w:lang w:val="es-ES_tradnl"/>
        </w:rPr>
        <w:t>2012/13</w:t>
      </w:r>
      <w:r w:rsidRPr="009577DE">
        <w:rPr>
          <w:sz w:val="20"/>
          <w:u w:val="single"/>
          <w:lang w:val="es-ES_tradnl"/>
        </w:rPr>
        <w:t xml:space="preserve"> después de las transferencias</w:t>
      </w:r>
    </w:p>
    <w:p w:rsidR="00B070BF" w:rsidRPr="009577DE" w:rsidRDefault="00B070BF" w:rsidP="00B070BF">
      <w:pPr>
        <w:widowControl w:val="0"/>
        <w:rPr>
          <w:sz w:val="20"/>
          <w:u w:val="single"/>
          <w:lang w:val="es-ES_tradnl"/>
        </w:rPr>
      </w:pPr>
    </w:p>
    <w:p w:rsidR="00B070BF" w:rsidRPr="009577DE" w:rsidRDefault="00B070BF" w:rsidP="00B070BF">
      <w:pPr>
        <w:widowControl w:val="0"/>
        <w:numPr>
          <w:ilvl w:val="0"/>
          <w:numId w:val="14"/>
        </w:numPr>
        <w:jc w:val="both"/>
        <w:rPr>
          <w:sz w:val="20"/>
          <w:lang w:val="es-ES_tradnl"/>
        </w:rPr>
      </w:pPr>
      <w:r w:rsidRPr="009577DE">
        <w:rPr>
          <w:sz w:val="20"/>
          <w:lang w:val="es-ES_tradnl"/>
        </w:rPr>
        <w:t>Se asignaron recursos de personal adicionales a este programa en relación con el resultado IV.5 (Mejora en la infraestructura técnica y de conocimientos) a fin de apoyar el diseño de programas informáticos de la OMPI y las plataformas de infraestructura que la OMPI pone a disposición de las oficinas de P.I. de todo el mundo.</w:t>
      </w:r>
    </w:p>
    <w:p w:rsidR="00B070BF" w:rsidRPr="009577DE" w:rsidRDefault="00B070BF" w:rsidP="00B070BF">
      <w:pPr>
        <w:widowControl w:val="0"/>
        <w:jc w:val="both"/>
        <w:rPr>
          <w:rFonts w:eastAsia="Batang"/>
          <w:sz w:val="20"/>
          <w:lang w:val="es-ES_tradnl" w:eastAsia="ko-KR"/>
        </w:rPr>
      </w:pPr>
    </w:p>
    <w:p w:rsidR="00B070BF" w:rsidRPr="009577DE" w:rsidRDefault="00B070BF" w:rsidP="00B070BF">
      <w:pPr>
        <w:widowControl w:val="0"/>
        <w:jc w:val="both"/>
        <w:rPr>
          <w:rFonts w:eastAsia="Batang"/>
          <w:sz w:val="20"/>
          <w:u w:val="single"/>
          <w:lang w:val="es-ES_tradnl" w:eastAsia="ko-KR"/>
        </w:rPr>
      </w:pPr>
      <w:r w:rsidRPr="009577DE">
        <w:rPr>
          <w:rFonts w:eastAsia="Batang"/>
          <w:sz w:val="20"/>
          <w:lang w:val="es-ES_tradnl" w:eastAsia="ko-KR"/>
        </w:rPr>
        <w:t xml:space="preserve">B. </w:t>
      </w:r>
      <w:r>
        <w:rPr>
          <w:rFonts w:eastAsia="Batang"/>
          <w:sz w:val="20"/>
          <w:lang w:val="es-ES_tradnl" w:eastAsia="ko-KR"/>
        </w:rPr>
        <w:t xml:space="preserve"> </w:t>
      </w:r>
      <w:r w:rsidRPr="009577DE">
        <w:rPr>
          <w:rFonts w:eastAsia="Batang"/>
          <w:sz w:val="20"/>
          <w:u w:val="single"/>
          <w:lang w:val="es-ES_tradnl" w:eastAsia="ko-KR"/>
        </w:rPr>
        <w:t>Utilización del presupuesto 2012</w:t>
      </w:r>
    </w:p>
    <w:p w:rsidR="00B070BF" w:rsidRPr="009577DE" w:rsidRDefault="00B070BF" w:rsidP="00B070BF">
      <w:pPr>
        <w:widowControl w:val="0"/>
        <w:rPr>
          <w:b/>
          <w:bCs/>
          <w:sz w:val="20"/>
          <w:lang w:val="es-ES_tradnl"/>
        </w:rPr>
      </w:pPr>
    </w:p>
    <w:p w:rsidR="00B070BF" w:rsidRPr="009577DE" w:rsidRDefault="00B070BF" w:rsidP="00B070BF">
      <w:pPr>
        <w:widowControl w:val="0"/>
        <w:numPr>
          <w:ilvl w:val="0"/>
          <w:numId w:val="14"/>
        </w:numPr>
        <w:jc w:val="both"/>
        <w:rPr>
          <w:rFonts w:eastAsia="Batang"/>
          <w:sz w:val="20"/>
          <w:lang w:val="es-ES_tradnl" w:eastAsia="ko-KR"/>
        </w:rPr>
      </w:pPr>
      <w:r w:rsidRPr="009577DE">
        <w:rPr>
          <w:rFonts w:eastAsia="Batang"/>
          <w:sz w:val="20"/>
          <w:lang w:val="es-ES_tradnl" w:eastAsia="ko-KR"/>
        </w:rPr>
        <w:t>La utilización del presupuesto se mantiene entre el 40% y el 60% en el primer año del bienio y progresa con normalidad.</w:t>
      </w:r>
    </w:p>
    <w:p w:rsidR="00B070BF" w:rsidRPr="009577DE" w:rsidRDefault="00B070BF" w:rsidP="00B070BF">
      <w:pPr>
        <w:widowControl w:val="0"/>
        <w:rPr>
          <w:sz w:val="20"/>
          <w:lang w:val="es-ES_tradnl"/>
        </w:rPr>
      </w:pPr>
    </w:p>
    <w:p w:rsidR="00B070BF" w:rsidRPr="009577DE" w:rsidRDefault="00B070BF" w:rsidP="00B070BF">
      <w:pPr>
        <w:widowControl w:val="0"/>
        <w:rPr>
          <w:sz w:val="20"/>
          <w:lang w:val="es-ES_tradnl"/>
        </w:rPr>
      </w:pPr>
    </w:p>
    <w:p w:rsidR="00B070BF" w:rsidRPr="009577DE" w:rsidRDefault="00B070BF" w:rsidP="00B070BF">
      <w:pPr>
        <w:widowControl w:val="0"/>
        <w:spacing w:before="240" w:after="60"/>
        <w:ind w:left="2835" w:hanging="2835"/>
        <w:outlineLvl w:val="1"/>
        <w:rPr>
          <w:bCs/>
          <w:iCs/>
          <w:caps/>
          <w:szCs w:val="22"/>
          <w:lang w:val="es-ES_tradnl"/>
        </w:rPr>
      </w:pPr>
      <w:r w:rsidRPr="009577DE">
        <w:rPr>
          <w:bCs/>
          <w:iCs/>
          <w:caps/>
          <w:sz w:val="20"/>
          <w:szCs w:val="28"/>
        </w:rPr>
        <w:br w:type="page"/>
      </w:r>
      <w:bookmarkStart w:id="44" w:name="_Toc359846802"/>
      <w:bookmarkStart w:id="45" w:name="_Toc359949326"/>
      <w:r w:rsidRPr="009577DE">
        <w:rPr>
          <w:b/>
          <w:bCs/>
          <w:iCs/>
          <w:szCs w:val="22"/>
        </w:rPr>
        <w:lastRenderedPageBreak/>
        <w:t>PRO</w:t>
      </w:r>
      <w:r w:rsidRPr="009577DE">
        <w:rPr>
          <w:b/>
          <w:bCs/>
          <w:iCs/>
          <w:szCs w:val="22"/>
          <w:lang w:val="es-ES_tradnl"/>
        </w:rPr>
        <w:t>GRAMA 16</w:t>
      </w:r>
      <w:r w:rsidRPr="009577DE">
        <w:rPr>
          <w:bCs/>
          <w:iCs/>
          <w:szCs w:val="22"/>
          <w:lang w:val="es-ES_tradnl"/>
        </w:rPr>
        <w:tab/>
      </w:r>
      <w:r w:rsidRPr="009577DE">
        <w:rPr>
          <w:b/>
          <w:bCs/>
          <w:iCs/>
          <w:szCs w:val="22"/>
          <w:lang w:val="es-ES_tradnl"/>
        </w:rPr>
        <w:t>ECONOMÍA Y ESTADÍSTICA</w:t>
      </w:r>
      <w:bookmarkEnd w:id="44"/>
      <w:bookmarkEnd w:id="45"/>
    </w:p>
    <w:p w:rsidR="00B070BF" w:rsidRPr="009577DE" w:rsidRDefault="00B070BF" w:rsidP="00B070BF">
      <w:pPr>
        <w:widowControl w:val="0"/>
        <w:rPr>
          <w:szCs w:val="22"/>
          <w:lang w:val="es-ES_tradnl"/>
        </w:rPr>
      </w:pPr>
    </w:p>
    <w:p w:rsidR="00B070BF" w:rsidRPr="009577DE" w:rsidRDefault="00B070BF" w:rsidP="00B070BF">
      <w:pPr>
        <w:widowControl w:val="0"/>
        <w:rPr>
          <w:szCs w:val="22"/>
          <w:lang w:val="es-ES_tradnl"/>
        </w:rPr>
      </w:pPr>
    </w:p>
    <w:p w:rsidR="00B070BF" w:rsidRPr="009577DE" w:rsidRDefault="00B070BF" w:rsidP="00B070BF">
      <w:pPr>
        <w:widowControl w:val="0"/>
        <w:tabs>
          <w:tab w:val="left" w:pos="2268"/>
        </w:tabs>
        <w:rPr>
          <w:b/>
          <w:szCs w:val="22"/>
          <w:lang w:val="es-ES_tradnl"/>
        </w:rPr>
      </w:pPr>
      <w:r w:rsidRPr="009577DE">
        <w:rPr>
          <w:b/>
          <w:szCs w:val="22"/>
          <w:lang w:val="es-ES_tradnl"/>
        </w:rPr>
        <w:t>Director del Programa</w:t>
      </w:r>
      <w:r w:rsidRPr="009577DE">
        <w:rPr>
          <w:szCs w:val="22"/>
          <w:lang w:val="es-ES_tradnl"/>
        </w:rPr>
        <w:tab/>
      </w:r>
      <w:r w:rsidRPr="009577DE">
        <w:rPr>
          <w:b/>
          <w:szCs w:val="22"/>
          <w:lang w:val="es-ES_tradnl"/>
        </w:rPr>
        <w:t>Director General</w:t>
      </w:r>
    </w:p>
    <w:p w:rsidR="00B070BF" w:rsidRPr="009577DE" w:rsidRDefault="00B070BF" w:rsidP="00B070BF">
      <w:pPr>
        <w:widowControl w:val="0"/>
        <w:rPr>
          <w:szCs w:val="22"/>
          <w:lang w:val="es-ES_tradnl"/>
        </w:rPr>
      </w:pPr>
    </w:p>
    <w:p w:rsidR="00B070BF" w:rsidRPr="009577DE" w:rsidRDefault="00B070BF" w:rsidP="00B070BF">
      <w:pPr>
        <w:widowControl w:val="0"/>
        <w:rPr>
          <w:bCs/>
          <w:szCs w:val="22"/>
          <w:lang w:val="es-ES_tradnl"/>
        </w:rPr>
      </w:pPr>
    </w:p>
    <w:p w:rsidR="00B070BF" w:rsidRPr="009577DE" w:rsidRDefault="00B070BF" w:rsidP="00B070BF">
      <w:pPr>
        <w:widowControl w:val="0"/>
        <w:spacing w:line="260" w:lineRule="atLeast"/>
        <w:rPr>
          <w:bCs/>
          <w:sz w:val="20"/>
          <w:lang w:val="es-ES_tradnl"/>
        </w:rPr>
      </w:pPr>
      <w:r w:rsidRPr="009577DE">
        <w:rPr>
          <w:bCs/>
          <w:sz w:val="20"/>
          <w:lang w:val="es-ES_tradnl"/>
        </w:rPr>
        <w:t>RESEÑA DE LOS AVANCES LOGRADOS EN 2012</w:t>
      </w:r>
    </w:p>
    <w:p w:rsidR="00B070BF" w:rsidRPr="009577DE" w:rsidRDefault="00B070BF" w:rsidP="00B070BF">
      <w:pPr>
        <w:widowControl w:val="0"/>
        <w:jc w:val="both"/>
        <w:rPr>
          <w:sz w:val="20"/>
          <w:lang w:val="es-ES_tradnl"/>
        </w:rPr>
      </w:pPr>
    </w:p>
    <w:p w:rsidR="00B070BF" w:rsidRPr="009577DE" w:rsidRDefault="00B070BF" w:rsidP="00B070BF">
      <w:pPr>
        <w:widowControl w:val="0"/>
        <w:numPr>
          <w:ilvl w:val="0"/>
          <w:numId w:val="34"/>
        </w:numPr>
        <w:autoSpaceDE w:val="0"/>
        <w:autoSpaceDN w:val="0"/>
        <w:adjustRightInd w:val="0"/>
        <w:jc w:val="both"/>
        <w:rPr>
          <w:sz w:val="20"/>
        </w:rPr>
      </w:pPr>
      <w:r w:rsidRPr="009577DE">
        <w:rPr>
          <w:sz w:val="20"/>
          <w:lang w:val="es-ES_tradnl"/>
        </w:rPr>
        <w:t xml:space="preserve">La labor estadística consiguió plenamente su objetivo de proporcionar datos empíricos de calidad para la formulación de políticas.  </w:t>
      </w:r>
      <w:r w:rsidRPr="009577DE">
        <w:rPr>
          <w:sz w:val="20"/>
        </w:rPr>
        <w:t xml:space="preserve">Como sucediera en años anteriores, el programa llevó a cabo un estudio estadístico de las oficinas nacionales de propiedad intelectual.  En comparación con los años precedentes, la cobertura geográfica ha mejorado, especialmente para los países de medianos ingresos, entre los que se contaba por primera vez la India.  </w:t>
      </w:r>
      <w:r w:rsidRPr="009577DE">
        <w:rPr>
          <w:sz w:val="20"/>
          <w:lang w:val="es-ES_tradnl"/>
        </w:rPr>
        <w:t xml:space="preserve">La información recogida se ha publicado de forma gratuita en la página Web de estadísticas de la OMPI y es utilizada por investigadores de todo el mundo, tal como evidencian las descargas de datos, las peticiones de los usuarios y las citas en artículos de investigación.  </w:t>
      </w:r>
      <w:r w:rsidRPr="009577DE">
        <w:rPr>
          <w:sz w:val="20"/>
        </w:rPr>
        <w:t>Durante el último trimestre de 2012, el programa puso en marcha una nueva interfaz basada en la web para las estadísticas de P.I., el denominado Centro de datos de Estadísticas de Propiedad Intelectual.  Esta novedosa herramienta ha supuesto una mayor flexibilidad y facilidad de uso del sistema de datos estadísticos de la OMPI.</w:t>
      </w:r>
    </w:p>
    <w:p w:rsidR="00B070BF" w:rsidRPr="009577DE" w:rsidRDefault="00B070BF" w:rsidP="00B070BF">
      <w:pPr>
        <w:widowControl w:val="0"/>
        <w:autoSpaceDE w:val="0"/>
        <w:autoSpaceDN w:val="0"/>
        <w:adjustRightInd w:val="0"/>
        <w:jc w:val="both"/>
        <w:rPr>
          <w:sz w:val="20"/>
        </w:rPr>
      </w:pPr>
    </w:p>
    <w:p w:rsidR="00B070BF" w:rsidRPr="009577DE" w:rsidRDefault="00B070BF" w:rsidP="00B070BF">
      <w:pPr>
        <w:widowControl w:val="0"/>
        <w:numPr>
          <w:ilvl w:val="0"/>
          <w:numId w:val="34"/>
        </w:numPr>
        <w:autoSpaceDE w:val="0"/>
        <w:autoSpaceDN w:val="0"/>
        <w:adjustRightInd w:val="0"/>
        <w:jc w:val="both"/>
        <w:rPr>
          <w:sz w:val="20"/>
        </w:rPr>
      </w:pPr>
      <w:r w:rsidRPr="009577DE">
        <w:rPr>
          <w:sz w:val="20"/>
        </w:rPr>
        <w:t xml:space="preserve">Como en años anteriores, el programa publicó varios informes estadísticos sobre tendencias internacionales en la presentación de solicitudes de P.I. y, por primera vez, sobre el rendimiento de los tratados de la OMPI en este ámbito.  Entre los logros alcanzados cabe destacar un informe ampliado sobre indicadores mundiales de propiedad intelectual que por vez primera proporciona datos acerca de los procedimientos acelerados de examen de solicitudes de patente y las solicitudes de patente para proteger variedades vegetales.  Por otra parte, el programa elaboró un nuevo informe estadístico anual sobre el sistema de La Haya que contiene una gama más amplia de datos además de un análisis más pormenorizado en comparación con los cuadros estadísticos publicados con anterioridad.  </w:t>
      </w:r>
    </w:p>
    <w:p w:rsidR="00B070BF" w:rsidRPr="009577DE" w:rsidRDefault="00B070BF" w:rsidP="00B070BF">
      <w:pPr>
        <w:widowControl w:val="0"/>
        <w:autoSpaceDE w:val="0"/>
        <w:autoSpaceDN w:val="0"/>
        <w:adjustRightInd w:val="0"/>
        <w:jc w:val="both"/>
        <w:rPr>
          <w:bCs/>
          <w:sz w:val="20"/>
        </w:rPr>
      </w:pPr>
    </w:p>
    <w:p w:rsidR="00B070BF" w:rsidRPr="009577DE" w:rsidRDefault="00B070BF" w:rsidP="00B070BF">
      <w:pPr>
        <w:widowControl w:val="0"/>
        <w:numPr>
          <w:ilvl w:val="0"/>
          <w:numId w:val="34"/>
        </w:numPr>
        <w:autoSpaceDE w:val="0"/>
        <w:autoSpaceDN w:val="0"/>
        <w:adjustRightInd w:val="0"/>
        <w:jc w:val="both"/>
        <w:rPr>
          <w:bCs/>
          <w:sz w:val="20"/>
        </w:rPr>
      </w:pPr>
      <w:r w:rsidRPr="009577DE">
        <w:rPr>
          <w:bCs/>
          <w:sz w:val="20"/>
        </w:rPr>
        <w:t>En momentos de incertidumbre económica prolongada, el programa proporcionó los oportunos informes sobre rendimiento y previsiones al sector del PCT, al Departamento de Finanzas y Presupuesto y a los altos directivos de la OMPI, lo que facilitó una toma de decisiones bien fundada a nivel operativo y financiero.</w:t>
      </w:r>
    </w:p>
    <w:p w:rsidR="00B070BF" w:rsidRPr="009577DE" w:rsidRDefault="00B070BF" w:rsidP="00B070BF">
      <w:pPr>
        <w:widowControl w:val="0"/>
        <w:autoSpaceDE w:val="0"/>
        <w:autoSpaceDN w:val="0"/>
        <w:adjustRightInd w:val="0"/>
        <w:jc w:val="both"/>
        <w:rPr>
          <w:bCs/>
          <w:sz w:val="20"/>
        </w:rPr>
      </w:pPr>
    </w:p>
    <w:p w:rsidR="00B070BF" w:rsidRPr="009577DE" w:rsidRDefault="00B070BF" w:rsidP="00B070BF">
      <w:pPr>
        <w:widowControl w:val="0"/>
        <w:numPr>
          <w:ilvl w:val="0"/>
          <w:numId w:val="34"/>
        </w:numPr>
        <w:autoSpaceDE w:val="0"/>
        <w:autoSpaceDN w:val="0"/>
        <w:adjustRightInd w:val="0"/>
        <w:jc w:val="both"/>
        <w:rPr>
          <w:bCs/>
          <w:sz w:val="20"/>
        </w:rPr>
      </w:pPr>
      <w:r w:rsidRPr="009577DE">
        <w:rPr>
          <w:bCs/>
          <w:sz w:val="20"/>
        </w:rPr>
        <w:t xml:space="preserve">En materia de análisis económico, de las aportaciones realizadas por el programa a los comités de la OMPI destaca un suplemento al estudio sobre el aumento de solicitudes de patente elaborado en 2011 y un nuevo análisis de los efectos de la simplificación y armonización de los trámites requeridos para el registro de diseños industriales (en cooperación con el programa 2).  En el marco de los proyectos del CDIP iniciados en 2012, se puso en marcha otro estudio sobre el vínculo existente entre la P.I. y la economía informal y la conexión entre la P.I. y la fuga de cerebros.  Además, el proyecto plurianual del CDIP sobre la propiedad intelectual y el desarrollo socioeconómico registró avances sustanciales en 2012 con la puesta en marcha de estudios de país en Brasil, Chile, China, Egipto, Tailandia y Uruguay.  Con este proyecto se espera obtener más pruebas que demuestren los vínculos existentes entre las políticas de propiedad intelectual y el desarrollo. </w:t>
      </w:r>
    </w:p>
    <w:p w:rsidR="00B070BF" w:rsidRPr="009577DE" w:rsidRDefault="00B070BF" w:rsidP="00B070BF">
      <w:pPr>
        <w:widowControl w:val="0"/>
        <w:autoSpaceDE w:val="0"/>
        <w:autoSpaceDN w:val="0"/>
        <w:adjustRightInd w:val="0"/>
        <w:jc w:val="both"/>
        <w:rPr>
          <w:bCs/>
          <w:sz w:val="20"/>
        </w:rPr>
      </w:pPr>
    </w:p>
    <w:p w:rsidR="00B070BF" w:rsidRPr="009577DE" w:rsidRDefault="00B070BF" w:rsidP="00B070BF">
      <w:pPr>
        <w:widowControl w:val="0"/>
        <w:numPr>
          <w:ilvl w:val="0"/>
          <w:numId w:val="34"/>
        </w:numPr>
        <w:autoSpaceDE w:val="0"/>
        <w:autoSpaceDN w:val="0"/>
        <w:adjustRightInd w:val="0"/>
        <w:jc w:val="both"/>
        <w:rPr>
          <w:bCs/>
          <w:sz w:val="20"/>
        </w:rPr>
      </w:pPr>
      <w:r w:rsidRPr="009577DE">
        <w:rPr>
          <w:bCs/>
          <w:sz w:val="20"/>
        </w:rPr>
        <w:t>En 2012, la OMPI se comprometió a participar en la publicación del Índice mundial de innovación (GII), aumentando de este modo su contribución al desarrollo y difusión del mismo con respecto al año 2011, cuando participaba en calidad de colaborador especializado.  El programa colaboró de forma activa para mejorar la metodología empleada, en particular para medir las actividades creativas en el Índice.  La publicación del Índice mundial de innovación en el verano de 2012 recibió una atención considerable a nivel mundial por parte de políticos y medios de comunicación.  Desde entonces, varios ministros han hecho mención del Índice mundial de innovación en sus discursos y debates sobre políticas.</w:t>
      </w:r>
    </w:p>
    <w:p w:rsidR="00B070BF" w:rsidRPr="009577DE" w:rsidRDefault="00B070BF" w:rsidP="00B070BF">
      <w:pPr>
        <w:widowControl w:val="0"/>
        <w:autoSpaceDE w:val="0"/>
        <w:autoSpaceDN w:val="0"/>
        <w:adjustRightInd w:val="0"/>
        <w:jc w:val="both"/>
        <w:rPr>
          <w:bCs/>
          <w:sz w:val="20"/>
        </w:rPr>
      </w:pPr>
    </w:p>
    <w:p w:rsidR="00B070BF" w:rsidRPr="009577DE" w:rsidRDefault="00B070BF" w:rsidP="00B070BF">
      <w:pPr>
        <w:widowControl w:val="0"/>
        <w:numPr>
          <w:ilvl w:val="0"/>
          <w:numId w:val="34"/>
        </w:numPr>
        <w:autoSpaceDE w:val="0"/>
        <w:autoSpaceDN w:val="0"/>
        <w:adjustRightInd w:val="0"/>
        <w:jc w:val="both"/>
        <w:rPr>
          <w:bCs/>
          <w:szCs w:val="22"/>
          <w:lang w:val="pt-BR"/>
        </w:rPr>
      </w:pPr>
      <w:r w:rsidRPr="009577DE">
        <w:rPr>
          <w:bCs/>
          <w:sz w:val="20"/>
        </w:rPr>
        <w:t xml:space="preserve">Por último, el programa ha seguido defendiendo la importancia del análisis económico en el discurso político sobre la propiedad intelectual, principalmente a través de la organización de una serie de seminarios sobre “Los aspectos económicos de la propiedad intelectual”, la publicación de nuevos documentos de trabajo sobre investigaciones y de distintas traducciones del Informe mundial de propiedad intelectual, y la coordinación de la red de economistas de las oficinas de propiedad intelectual.  Numerosos informes de política y artículos académicos mencionan los resultados económicos del </w:t>
      </w:r>
      <w:r w:rsidRPr="009577DE">
        <w:rPr>
          <w:bCs/>
          <w:sz w:val="20"/>
        </w:rPr>
        <w:lastRenderedPageBreak/>
        <w:t>programa (especialmente el Informe mundial de propiedad intelectual); a pesar de su breve existencia, este programa se ha convertido en una fuente fiable de análisis en materia de economía de la propiedad intelectual.</w:t>
      </w:r>
    </w:p>
    <w:p w:rsidR="00B070BF" w:rsidRPr="009577DE" w:rsidRDefault="00B070BF" w:rsidP="00B070BF">
      <w:pPr>
        <w:widowControl w:val="0"/>
        <w:autoSpaceDE w:val="0"/>
        <w:autoSpaceDN w:val="0"/>
        <w:adjustRightInd w:val="0"/>
        <w:jc w:val="both"/>
        <w:rPr>
          <w:bCs/>
          <w:sz w:val="20"/>
          <w:lang w:val="pt-BR"/>
        </w:rPr>
      </w:pPr>
    </w:p>
    <w:p w:rsidR="00B070BF" w:rsidRPr="009577DE" w:rsidRDefault="00B070BF" w:rsidP="00B070BF">
      <w:pPr>
        <w:widowControl w:val="0"/>
        <w:autoSpaceDE w:val="0"/>
        <w:autoSpaceDN w:val="0"/>
        <w:adjustRightInd w:val="0"/>
        <w:jc w:val="both"/>
        <w:rPr>
          <w:bCs/>
          <w:szCs w:val="22"/>
          <w:lang w:val="pt-BR"/>
        </w:rPr>
      </w:pPr>
    </w:p>
    <w:p w:rsidR="00B070BF" w:rsidRPr="009577DE" w:rsidRDefault="00B070BF" w:rsidP="00B070BF">
      <w:pPr>
        <w:widowControl w:val="0"/>
        <w:autoSpaceDE w:val="0"/>
        <w:autoSpaceDN w:val="0"/>
        <w:adjustRightInd w:val="0"/>
        <w:jc w:val="both"/>
        <w:rPr>
          <w:bCs/>
          <w:sz w:val="20"/>
          <w:lang w:val="es-ES_tradnl"/>
        </w:rPr>
      </w:pPr>
      <w:r w:rsidRPr="009577DE">
        <w:rPr>
          <w:bCs/>
          <w:sz w:val="20"/>
          <w:lang w:val="es-ES_tradnl"/>
        </w:rPr>
        <w:t xml:space="preserve">APLICACIÓN DE LA AGENDA PARA EL DESARROLLO </w:t>
      </w:r>
    </w:p>
    <w:p w:rsidR="00B070BF" w:rsidRPr="009577DE" w:rsidRDefault="00B070BF" w:rsidP="00B070BF">
      <w:pPr>
        <w:widowControl w:val="0"/>
        <w:jc w:val="both"/>
        <w:rPr>
          <w:bCs/>
          <w:szCs w:val="22"/>
          <w:lang w:val="es-ES_tradnl"/>
        </w:rPr>
      </w:pPr>
    </w:p>
    <w:p w:rsidR="00B070BF" w:rsidRPr="009577DE" w:rsidRDefault="00B070BF" w:rsidP="00B070BF">
      <w:pPr>
        <w:widowControl w:val="0"/>
        <w:numPr>
          <w:ilvl w:val="0"/>
          <w:numId w:val="34"/>
        </w:numPr>
        <w:jc w:val="both"/>
        <w:rPr>
          <w:bCs/>
          <w:sz w:val="20"/>
          <w:lang w:val="es-ES_tradnl"/>
        </w:rPr>
      </w:pPr>
      <w:r w:rsidRPr="009577DE">
        <w:rPr>
          <w:sz w:val="20"/>
          <w:lang w:val="es-ES_tradnl"/>
        </w:rPr>
        <w:t>El diseño, la planificación y la ejecución de las actividades del programa 16 se basaron en las recomendaciones pertinentes de la Agenda para el Desarrollo</w:t>
      </w:r>
      <w:r w:rsidRPr="009577DE">
        <w:rPr>
          <w:bCs/>
          <w:sz w:val="20"/>
          <w:lang w:val="es-ES_tradnl"/>
        </w:rPr>
        <w:t>, en particu</w:t>
      </w:r>
      <w:r>
        <w:rPr>
          <w:bCs/>
          <w:sz w:val="20"/>
          <w:lang w:val="es-ES_tradnl"/>
        </w:rPr>
        <w:t>lar las recomendaciones 1, 35 y </w:t>
      </w:r>
      <w:r w:rsidRPr="009577DE">
        <w:rPr>
          <w:bCs/>
          <w:sz w:val="20"/>
          <w:lang w:val="es-ES_tradnl"/>
        </w:rPr>
        <w:t>37.  Además, el programa tomó parte en la ejecución de tres proyectos de la Agenda para el Desarrollo:  la P.I. y el desarrollo socioeconómico, la P.I. y la fuga de cerebros, y la P.I. y la economía informal:</w:t>
      </w:r>
    </w:p>
    <w:p w:rsidR="00B070BF" w:rsidRPr="009577DE" w:rsidRDefault="00B070BF" w:rsidP="00B070BF">
      <w:pPr>
        <w:widowControl w:val="0"/>
        <w:jc w:val="both"/>
        <w:rPr>
          <w:bCs/>
          <w:sz w:val="20"/>
          <w:lang w:val="es-ES_tradnl"/>
        </w:rPr>
      </w:pPr>
    </w:p>
    <w:p w:rsidR="00B070BF" w:rsidRPr="009577DE" w:rsidRDefault="00B070BF" w:rsidP="00B070BF">
      <w:pPr>
        <w:widowControl w:val="0"/>
        <w:numPr>
          <w:ilvl w:val="0"/>
          <w:numId w:val="33"/>
        </w:numPr>
        <w:tabs>
          <w:tab w:val="clear" w:pos="794"/>
        </w:tabs>
        <w:spacing w:after="120"/>
        <w:ind w:left="1134" w:hanging="567"/>
        <w:jc w:val="both"/>
        <w:rPr>
          <w:bCs/>
          <w:sz w:val="20"/>
          <w:lang w:val="es-ES_tradnl"/>
        </w:rPr>
      </w:pPr>
      <w:r w:rsidRPr="009577DE">
        <w:rPr>
          <w:bCs/>
          <w:sz w:val="20"/>
          <w:lang w:val="es-ES_tradnl"/>
        </w:rPr>
        <w:t xml:space="preserve">El Proyecto sobre mejora del marco de la OMPI de gestión por resultados para respaldar la supervisión y evaluación de las actividades de desarrollo se dotó de un marco de medición más robusto y orientado a los resultados para el bienio 2012-2013, pudiendo así centrar sus esfuerzos en la mejora de los mecanismos de seguimiento. </w:t>
      </w:r>
    </w:p>
    <w:p w:rsidR="00B070BF" w:rsidRPr="009577DE" w:rsidRDefault="00B070BF" w:rsidP="00B070BF">
      <w:pPr>
        <w:widowControl w:val="0"/>
        <w:numPr>
          <w:ilvl w:val="0"/>
          <w:numId w:val="33"/>
        </w:numPr>
        <w:tabs>
          <w:tab w:val="clear" w:pos="794"/>
        </w:tabs>
        <w:spacing w:after="120"/>
        <w:ind w:left="1134" w:hanging="567"/>
        <w:jc w:val="both"/>
        <w:rPr>
          <w:bCs/>
          <w:sz w:val="20"/>
          <w:lang w:val="es-ES_tradnl"/>
        </w:rPr>
      </w:pPr>
      <w:r w:rsidRPr="009577DE">
        <w:rPr>
          <w:bCs/>
          <w:sz w:val="20"/>
          <w:lang w:val="es-ES_tradnl"/>
        </w:rPr>
        <w:t>En el marco del proyecto sobre la propiedad intelectual y la fuga de cerebros (código DA_39_40_01), se elaboró una cartografía de las corrientes migratorias de los científicos y una base de datos con información sobre la migración de inventores.</w:t>
      </w:r>
    </w:p>
    <w:p w:rsidR="00B070BF" w:rsidRPr="009577DE" w:rsidRDefault="00B070BF" w:rsidP="00B070BF">
      <w:pPr>
        <w:widowControl w:val="0"/>
        <w:numPr>
          <w:ilvl w:val="0"/>
          <w:numId w:val="33"/>
        </w:numPr>
        <w:tabs>
          <w:tab w:val="clear" w:pos="794"/>
        </w:tabs>
        <w:spacing w:after="120"/>
        <w:ind w:left="1134" w:hanging="567"/>
        <w:jc w:val="both"/>
        <w:rPr>
          <w:bCs/>
          <w:sz w:val="20"/>
          <w:lang w:val="pt-BR"/>
        </w:rPr>
      </w:pPr>
      <w:r w:rsidRPr="009577DE">
        <w:rPr>
          <w:bCs/>
          <w:sz w:val="20"/>
          <w:lang w:val="es-ES_tradnl"/>
        </w:rPr>
        <w:t xml:space="preserve">En el marco del proyecto sobre la propiedad intelectual y la economía informal (código DA_34_01), concluyó el primer proyecto interno de estudio conceptual acerca de la innovación, la propiedad intelectual y la economía informal; la OMPI y el </w:t>
      </w:r>
      <w:proofErr w:type="spellStart"/>
      <w:r w:rsidRPr="009577DE">
        <w:rPr>
          <w:bCs/>
          <w:sz w:val="20"/>
          <w:lang w:val="es-ES_tradnl"/>
        </w:rPr>
        <w:t>Institute</w:t>
      </w:r>
      <w:proofErr w:type="spellEnd"/>
      <w:r w:rsidRPr="009577DE">
        <w:rPr>
          <w:bCs/>
          <w:sz w:val="20"/>
          <w:lang w:val="es-ES_tradnl"/>
        </w:rPr>
        <w:t xml:space="preserve"> </w:t>
      </w:r>
      <w:proofErr w:type="spellStart"/>
      <w:r w:rsidRPr="009577DE">
        <w:rPr>
          <w:bCs/>
          <w:sz w:val="20"/>
          <w:lang w:val="es-ES_tradnl"/>
        </w:rPr>
        <w:t>for</w:t>
      </w:r>
      <w:proofErr w:type="spellEnd"/>
      <w:r w:rsidRPr="009577DE">
        <w:rPr>
          <w:bCs/>
          <w:sz w:val="20"/>
          <w:lang w:val="es-ES_tradnl"/>
        </w:rPr>
        <w:t xml:space="preserve"> </w:t>
      </w:r>
      <w:proofErr w:type="spellStart"/>
      <w:r w:rsidRPr="009577DE">
        <w:rPr>
          <w:bCs/>
          <w:sz w:val="20"/>
          <w:lang w:val="es-ES_tradnl"/>
        </w:rPr>
        <w:t>Economic</w:t>
      </w:r>
      <w:proofErr w:type="spellEnd"/>
      <w:r w:rsidRPr="009577DE">
        <w:rPr>
          <w:bCs/>
          <w:sz w:val="20"/>
          <w:lang w:val="es-ES_tradnl"/>
        </w:rPr>
        <w:t xml:space="preserve"> </w:t>
      </w:r>
      <w:proofErr w:type="spellStart"/>
      <w:r w:rsidRPr="009577DE">
        <w:rPr>
          <w:bCs/>
          <w:sz w:val="20"/>
          <w:lang w:val="es-ES_tradnl"/>
        </w:rPr>
        <w:t>Research</w:t>
      </w:r>
      <w:proofErr w:type="spellEnd"/>
      <w:r w:rsidRPr="009577DE">
        <w:rPr>
          <w:bCs/>
          <w:sz w:val="20"/>
          <w:lang w:val="es-ES_tradnl"/>
        </w:rPr>
        <w:t xml:space="preserve"> </w:t>
      </w:r>
      <w:proofErr w:type="spellStart"/>
      <w:r w:rsidRPr="009577DE">
        <w:rPr>
          <w:bCs/>
          <w:sz w:val="20"/>
          <w:lang w:val="es-ES_tradnl"/>
        </w:rPr>
        <w:t>on</w:t>
      </w:r>
      <w:proofErr w:type="spellEnd"/>
      <w:r w:rsidRPr="009577DE">
        <w:rPr>
          <w:bCs/>
          <w:sz w:val="20"/>
          <w:lang w:val="es-ES_tradnl"/>
        </w:rPr>
        <w:t xml:space="preserve"> </w:t>
      </w:r>
      <w:proofErr w:type="spellStart"/>
      <w:r w:rsidRPr="009577DE">
        <w:rPr>
          <w:bCs/>
          <w:sz w:val="20"/>
          <w:lang w:val="es-ES_tradnl"/>
        </w:rPr>
        <w:t>Innovation</w:t>
      </w:r>
      <w:proofErr w:type="spellEnd"/>
      <w:r w:rsidRPr="009577DE">
        <w:rPr>
          <w:bCs/>
          <w:sz w:val="20"/>
          <w:lang w:val="es-ES_tradnl"/>
        </w:rPr>
        <w:t xml:space="preserve"> organizaron el taller internacional sobre innovación, propiedad intelectual y economía informal en Pretoria (Sudáfrica) los días 19-21 de noviembre de 2012.</w:t>
      </w:r>
    </w:p>
    <w:p w:rsidR="00B070BF" w:rsidRPr="009577DE" w:rsidRDefault="00B070BF" w:rsidP="00B070BF">
      <w:pPr>
        <w:widowControl w:val="0"/>
        <w:rPr>
          <w:szCs w:val="22"/>
          <w:lang w:val="pt-BR"/>
        </w:rPr>
      </w:pPr>
    </w:p>
    <w:p w:rsidR="00B070BF" w:rsidRPr="00CB3668" w:rsidRDefault="00B070BF" w:rsidP="00B070BF">
      <w:pPr>
        <w:widowControl w:val="0"/>
        <w:jc w:val="both"/>
        <w:rPr>
          <w:sz w:val="20"/>
          <w:lang w:val="es-ES_tradnl"/>
        </w:rPr>
      </w:pPr>
      <w:r w:rsidRPr="00CB3668">
        <w:rPr>
          <w:sz w:val="20"/>
          <w:lang w:val="es-ES_tradnl"/>
        </w:rPr>
        <w:t>DATOS SOBRE EL RENDIMIENTO</w:t>
      </w:r>
    </w:p>
    <w:p w:rsidR="00B070BF" w:rsidRPr="00CB3668" w:rsidRDefault="00B070BF" w:rsidP="00B070BF">
      <w:pPr>
        <w:widowControl w:val="0"/>
        <w:rPr>
          <w:b/>
          <w:sz w:val="20"/>
          <w:lang w:val="es-ES_tradnl"/>
        </w:rPr>
      </w:pPr>
    </w:p>
    <w:tbl>
      <w:tblPr>
        <w:tblW w:w="5000" w:type="pct"/>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670"/>
        <w:gridCol w:w="1538"/>
        <w:gridCol w:w="1750"/>
        <w:gridCol w:w="3534"/>
        <w:gridCol w:w="1079"/>
      </w:tblGrid>
      <w:tr w:rsidR="00B070BF" w:rsidRPr="009577DE" w:rsidTr="00C33D4A">
        <w:trPr>
          <w:cantSplit/>
        </w:trPr>
        <w:tc>
          <w:tcPr>
            <w:tcW w:w="5000" w:type="pct"/>
            <w:gridSpan w:val="5"/>
            <w:tcBorders>
              <w:top w:val="single" w:sz="4" w:space="0" w:color="auto"/>
              <w:bottom w:val="single" w:sz="4" w:space="0" w:color="auto"/>
            </w:tcBorders>
            <w:shd w:val="clear" w:color="auto" w:fill="CCFFFF"/>
            <w:vAlign w:val="center"/>
          </w:tcPr>
          <w:p w:rsidR="00B070BF" w:rsidRPr="009577DE" w:rsidRDefault="00B070BF" w:rsidP="00C33D4A">
            <w:pPr>
              <w:widowControl w:val="0"/>
              <w:tabs>
                <w:tab w:val="left" w:pos="1452"/>
              </w:tabs>
              <w:spacing w:before="120" w:after="120"/>
              <w:ind w:left="1452" w:hanging="1452"/>
              <w:rPr>
                <w:b/>
                <w:bCs/>
                <w:sz w:val="16"/>
                <w:szCs w:val="16"/>
                <w:lang w:val="es-ES_tradnl"/>
              </w:rPr>
            </w:pPr>
            <w:r w:rsidRPr="00CB3668">
              <w:rPr>
                <w:b/>
                <w:bCs/>
                <w:sz w:val="16"/>
                <w:szCs w:val="16"/>
                <w:lang w:val="es-ES_tradnl"/>
              </w:rPr>
              <w:t>Resultado previsto:</w:t>
            </w:r>
            <w:r w:rsidRPr="00CB3668">
              <w:rPr>
                <w:b/>
                <w:bCs/>
                <w:sz w:val="16"/>
                <w:szCs w:val="16"/>
                <w:lang w:val="es-ES_tradnl"/>
              </w:rPr>
              <w:tab/>
            </w:r>
            <w:r w:rsidRPr="00CB3668">
              <w:rPr>
                <w:bCs/>
                <w:sz w:val="16"/>
                <w:szCs w:val="16"/>
                <w:lang w:val="es-ES_tradnl"/>
              </w:rPr>
              <w:t xml:space="preserve"> Mayor uso de la información estadística de la OMPI sobre los resultados del sistema internacional de P.I.</w:t>
            </w:r>
          </w:p>
        </w:tc>
      </w:tr>
      <w:tr w:rsidR="00B070BF" w:rsidRPr="009577DE" w:rsidTr="00C33D4A">
        <w:trPr>
          <w:cantSplit/>
        </w:trPr>
        <w:tc>
          <w:tcPr>
            <w:tcW w:w="874" w:type="pct"/>
            <w:tcBorders>
              <w:top w:val="single" w:sz="4" w:space="0" w:color="auto"/>
            </w:tcBorders>
            <w:shd w:val="clear" w:color="auto" w:fill="auto"/>
            <w:vAlign w:val="center"/>
          </w:tcPr>
          <w:p w:rsidR="00B070BF" w:rsidRPr="009577DE" w:rsidRDefault="00B070BF" w:rsidP="00C33D4A">
            <w:pPr>
              <w:widowControl w:val="0"/>
              <w:spacing w:after="120"/>
              <w:rPr>
                <w:sz w:val="16"/>
                <w:szCs w:val="16"/>
                <w:lang w:val="es-ES_tradnl"/>
              </w:rPr>
            </w:pPr>
            <w:r w:rsidRPr="009577DE">
              <w:rPr>
                <w:b/>
                <w:bCs/>
                <w:sz w:val="16"/>
                <w:szCs w:val="16"/>
                <w:lang w:val="es-ES_tradnl"/>
              </w:rPr>
              <w:t>Indicadores de rendimiento</w:t>
            </w:r>
          </w:p>
        </w:tc>
        <w:tc>
          <w:tcPr>
            <w:tcW w:w="805" w:type="pct"/>
            <w:tcBorders>
              <w:top w:val="single" w:sz="4" w:space="0" w:color="auto"/>
            </w:tcBorders>
            <w:shd w:val="clear" w:color="auto" w:fill="C0C0C0"/>
          </w:tcPr>
          <w:p w:rsidR="00B070BF" w:rsidRPr="009577DE" w:rsidRDefault="00B070BF" w:rsidP="00C33D4A">
            <w:pPr>
              <w:widowControl w:val="0"/>
              <w:spacing w:after="120"/>
              <w:rPr>
                <w:b/>
                <w:bCs/>
                <w:sz w:val="16"/>
                <w:szCs w:val="16"/>
                <w:lang w:val="es-ES_tradnl"/>
              </w:rPr>
            </w:pPr>
            <w:r w:rsidRPr="009577DE">
              <w:rPr>
                <w:b/>
                <w:bCs/>
                <w:sz w:val="16"/>
                <w:szCs w:val="16"/>
                <w:lang w:val="es-ES_tradnl"/>
              </w:rPr>
              <w:t>Referencia (</w:t>
            </w:r>
            <w:proofErr w:type="spellStart"/>
            <w:r w:rsidRPr="009577DE">
              <w:rPr>
                <w:b/>
                <w:bCs/>
                <w:sz w:val="16"/>
                <w:szCs w:val="16"/>
                <w:lang w:val="es-ES_tradnl"/>
              </w:rPr>
              <w:t>Presup</w:t>
            </w:r>
            <w:proofErr w:type="spellEnd"/>
            <w:r w:rsidRPr="009577DE">
              <w:rPr>
                <w:b/>
                <w:bCs/>
                <w:sz w:val="16"/>
                <w:szCs w:val="16"/>
                <w:lang w:val="es-ES_tradnl"/>
              </w:rPr>
              <w:t xml:space="preserve">. por </w:t>
            </w:r>
            <w:proofErr w:type="spellStart"/>
            <w:r w:rsidRPr="009577DE">
              <w:rPr>
                <w:b/>
                <w:bCs/>
                <w:sz w:val="16"/>
                <w:szCs w:val="16"/>
                <w:lang w:val="es-ES_tradnl"/>
              </w:rPr>
              <w:t>prog</w:t>
            </w:r>
            <w:proofErr w:type="spellEnd"/>
            <w:r w:rsidRPr="009577DE">
              <w:rPr>
                <w:b/>
                <w:bCs/>
                <w:sz w:val="16"/>
                <w:szCs w:val="16"/>
                <w:lang w:val="es-ES_tradnl"/>
              </w:rPr>
              <w:t>. 2012/13)</w:t>
            </w:r>
          </w:p>
        </w:tc>
        <w:tc>
          <w:tcPr>
            <w:tcW w:w="916" w:type="pct"/>
            <w:tcBorders>
              <w:top w:val="single" w:sz="4" w:space="0" w:color="auto"/>
            </w:tcBorders>
            <w:shd w:val="clear" w:color="auto" w:fill="auto"/>
            <w:tcMar>
              <w:top w:w="110" w:type="dxa"/>
            </w:tcMar>
            <w:vAlign w:val="center"/>
          </w:tcPr>
          <w:p w:rsidR="00B070BF" w:rsidRPr="009577DE" w:rsidRDefault="00B070BF" w:rsidP="00C33D4A">
            <w:pPr>
              <w:widowControl w:val="0"/>
              <w:spacing w:after="120"/>
              <w:rPr>
                <w:b/>
                <w:sz w:val="16"/>
                <w:szCs w:val="16"/>
                <w:lang w:val="es-ES_tradnl"/>
              </w:rPr>
            </w:pPr>
            <w:r w:rsidRPr="00BF138D">
              <w:rPr>
                <w:b/>
                <w:color w:val="993300"/>
                <w:sz w:val="16"/>
                <w:szCs w:val="16"/>
                <w:lang w:val="es-ES_tradnl"/>
              </w:rPr>
              <w:t>Referencia actualizada a finales de 2011</w:t>
            </w:r>
            <w:r w:rsidRPr="009577DE">
              <w:rPr>
                <w:b/>
                <w:sz w:val="16"/>
                <w:szCs w:val="16"/>
                <w:lang w:val="es-ES_tradnl"/>
              </w:rPr>
              <w:t xml:space="preserve"> </w:t>
            </w:r>
          </w:p>
        </w:tc>
        <w:tc>
          <w:tcPr>
            <w:tcW w:w="1848" w:type="pct"/>
            <w:tcBorders>
              <w:top w:val="single" w:sz="4" w:space="0" w:color="auto"/>
            </w:tcBorders>
            <w:shd w:val="clear" w:color="auto" w:fill="FFFFFF"/>
            <w:tcMar>
              <w:top w:w="110" w:type="dxa"/>
            </w:tcMar>
            <w:vAlign w:val="center"/>
          </w:tcPr>
          <w:p w:rsidR="00B070BF" w:rsidRPr="009577DE" w:rsidRDefault="00B070BF" w:rsidP="00C33D4A">
            <w:pPr>
              <w:widowControl w:val="0"/>
              <w:spacing w:after="120"/>
              <w:rPr>
                <w:sz w:val="16"/>
                <w:szCs w:val="16"/>
                <w:lang w:val="es-ES_tradnl"/>
              </w:rPr>
            </w:pPr>
            <w:r w:rsidRPr="009577DE">
              <w:rPr>
                <w:b/>
                <w:bCs/>
                <w:sz w:val="16"/>
                <w:szCs w:val="16"/>
                <w:lang w:val="es-ES_tradnl"/>
              </w:rPr>
              <w:t>Datos sobre el rendimiento</w:t>
            </w:r>
          </w:p>
        </w:tc>
        <w:tc>
          <w:tcPr>
            <w:tcW w:w="557" w:type="pct"/>
            <w:tcBorders>
              <w:top w:val="single" w:sz="4" w:space="0" w:color="auto"/>
            </w:tcBorders>
            <w:shd w:val="clear" w:color="auto" w:fill="auto"/>
            <w:tcMar>
              <w:top w:w="110" w:type="dxa"/>
            </w:tcMar>
            <w:vAlign w:val="center"/>
          </w:tcPr>
          <w:p w:rsidR="00B070BF" w:rsidRPr="009577DE" w:rsidRDefault="00B070BF" w:rsidP="00C33D4A">
            <w:pPr>
              <w:widowControl w:val="0"/>
              <w:spacing w:after="120"/>
              <w:jc w:val="center"/>
              <w:rPr>
                <w:b/>
                <w:bCs/>
                <w:sz w:val="16"/>
                <w:szCs w:val="16"/>
                <w:lang w:val="es-ES_tradnl"/>
              </w:rPr>
            </w:pPr>
            <w:r w:rsidRPr="009577DE">
              <w:rPr>
                <w:b/>
                <w:bCs/>
                <w:sz w:val="16"/>
                <w:szCs w:val="16"/>
                <w:lang w:val="es-ES_tradnl"/>
              </w:rPr>
              <w:t>Clave de colores</w:t>
            </w:r>
          </w:p>
        </w:tc>
      </w:tr>
      <w:tr w:rsidR="00B070BF" w:rsidRPr="009577DE" w:rsidTr="00C33D4A">
        <w:trPr>
          <w:cantSplit/>
          <w:trHeight w:val="832"/>
        </w:trPr>
        <w:tc>
          <w:tcPr>
            <w:tcW w:w="874" w:type="pct"/>
            <w:shd w:val="clear" w:color="auto" w:fill="auto"/>
          </w:tcPr>
          <w:p w:rsidR="00B070BF" w:rsidRPr="009577DE" w:rsidRDefault="00B070BF" w:rsidP="00C33D4A">
            <w:pPr>
              <w:widowControl w:val="0"/>
              <w:spacing w:before="120"/>
              <w:rPr>
                <w:sz w:val="16"/>
                <w:szCs w:val="16"/>
                <w:lang w:val="es-ES_tradnl"/>
              </w:rPr>
            </w:pPr>
            <w:r w:rsidRPr="009577DE">
              <w:rPr>
                <w:sz w:val="16"/>
                <w:szCs w:val="16"/>
                <w:highlight w:val="yellow"/>
                <w:lang w:val="es-ES_tradnl"/>
              </w:rPr>
              <w:br/>
            </w:r>
            <w:r w:rsidRPr="009577DE">
              <w:rPr>
                <w:sz w:val="16"/>
                <w:szCs w:val="16"/>
                <w:lang w:val="es-ES_tradnl"/>
              </w:rPr>
              <w:t>Número de descargas de los dos principales informes estadísticos.</w:t>
            </w:r>
          </w:p>
        </w:tc>
        <w:tc>
          <w:tcPr>
            <w:tcW w:w="805" w:type="pct"/>
            <w:shd w:val="clear" w:color="auto" w:fill="C0C0C0"/>
          </w:tcPr>
          <w:p w:rsidR="00B070BF" w:rsidRPr="009577DE" w:rsidRDefault="00B070BF" w:rsidP="00C33D4A">
            <w:pPr>
              <w:widowControl w:val="0"/>
              <w:spacing w:before="120"/>
              <w:rPr>
                <w:sz w:val="16"/>
                <w:szCs w:val="16"/>
                <w:lang w:val="es-ES_tradnl"/>
              </w:rPr>
            </w:pPr>
            <w:r w:rsidRPr="009577DE">
              <w:rPr>
                <w:sz w:val="16"/>
                <w:szCs w:val="16"/>
                <w:lang w:val="es-ES_tradnl"/>
              </w:rPr>
              <w:t>Por determinar.</w:t>
            </w:r>
          </w:p>
        </w:tc>
        <w:tc>
          <w:tcPr>
            <w:tcW w:w="916" w:type="pct"/>
            <w:shd w:val="clear" w:color="auto" w:fill="auto"/>
            <w:tcMar>
              <w:top w:w="110" w:type="dxa"/>
            </w:tcMar>
          </w:tcPr>
          <w:p w:rsidR="00B070BF" w:rsidRPr="009577DE" w:rsidRDefault="00B070BF" w:rsidP="00C33D4A">
            <w:pPr>
              <w:widowControl w:val="0"/>
              <w:rPr>
                <w:i/>
                <w:sz w:val="16"/>
                <w:szCs w:val="16"/>
                <w:lang w:val="es-ES_tradnl"/>
              </w:rPr>
            </w:pPr>
          </w:p>
        </w:tc>
        <w:tc>
          <w:tcPr>
            <w:tcW w:w="1848" w:type="pct"/>
            <w:shd w:val="clear" w:color="auto" w:fill="FFFFFF"/>
            <w:tcMar>
              <w:top w:w="110" w:type="dxa"/>
            </w:tcMar>
          </w:tcPr>
          <w:p w:rsidR="00B070BF" w:rsidRPr="009577DE" w:rsidRDefault="00B070BF" w:rsidP="00C33D4A">
            <w:pPr>
              <w:widowControl w:val="0"/>
              <w:rPr>
                <w:sz w:val="16"/>
                <w:szCs w:val="16"/>
                <w:lang w:val="es-ES_tradnl" w:bidi="th-TH"/>
              </w:rPr>
            </w:pPr>
            <w:r w:rsidRPr="009577DE">
              <w:rPr>
                <w:sz w:val="16"/>
                <w:szCs w:val="16"/>
                <w:lang w:val="es-ES_tradnl" w:bidi="th-TH"/>
              </w:rPr>
              <w:t xml:space="preserve">En 2012, las ediciones más recientes disponibles (las ediciones de 2011 y 2012) de </w:t>
            </w:r>
            <w:r w:rsidRPr="009577DE">
              <w:rPr>
                <w:i/>
                <w:sz w:val="16"/>
                <w:szCs w:val="16"/>
                <w:lang w:val="es-ES_tradnl" w:bidi="th-TH"/>
              </w:rPr>
              <w:t>Indicadores Mundiales de Propiedad Intelectual</w:t>
            </w:r>
            <w:r w:rsidRPr="009577DE">
              <w:rPr>
                <w:sz w:val="16"/>
                <w:szCs w:val="16"/>
                <w:lang w:val="es-ES_tradnl" w:bidi="th-TH"/>
              </w:rPr>
              <w:t xml:space="preserve"> (publicación nº. 941) y </w:t>
            </w:r>
          </w:p>
          <w:p w:rsidR="00B070BF" w:rsidRPr="009577DE" w:rsidRDefault="00B070BF" w:rsidP="00C33D4A">
            <w:pPr>
              <w:widowControl w:val="0"/>
              <w:rPr>
                <w:i/>
                <w:sz w:val="16"/>
                <w:szCs w:val="16"/>
                <w:lang w:val="es-ES_tradnl" w:bidi="th-TH"/>
              </w:rPr>
            </w:pPr>
            <w:r w:rsidRPr="009577DE">
              <w:rPr>
                <w:i/>
                <w:sz w:val="16"/>
                <w:szCs w:val="16"/>
                <w:lang w:val="es-ES_tradnl" w:bidi="th-TH"/>
              </w:rPr>
              <w:t xml:space="preserve">Datos y cifras de la OMPI </w:t>
            </w:r>
          </w:p>
          <w:p w:rsidR="00B070BF" w:rsidRPr="009577DE" w:rsidRDefault="00B070BF" w:rsidP="00C33D4A">
            <w:pPr>
              <w:widowControl w:val="0"/>
              <w:rPr>
                <w:sz w:val="16"/>
                <w:szCs w:val="16"/>
                <w:lang w:val="es-ES_tradnl" w:bidi="th-TH"/>
              </w:rPr>
            </w:pPr>
            <w:r w:rsidRPr="009577DE">
              <w:rPr>
                <w:i/>
                <w:sz w:val="16"/>
                <w:szCs w:val="16"/>
                <w:lang w:val="es-ES_tradnl" w:bidi="th-TH"/>
              </w:rPr>
              <w:t>sobre P.I</w:t>
            </w:r>
            <w:r w:rsidRPr="009577DE">
              <w:rPr>
                <w:sz w:val="16"/>
                <w:szCs w:val="16"/>
                <w:lang w:val="es-ES_tradnl" w:bidi="th-TH"/>
              </w:rPr>
              <w:t>. (publicación nº. 943) se descargaron, en conjunto, 48.321 veces.</w:t>
            </w:r>
          </w:p>
          <w:p w:rsidR="00B070BF" w:rsidRPr="009577DE" w:rsidRDefault="00B070BF" w:rsidP="00C33D4A">
            <w:pPr>
              <w:widowControl w:val="0"/>
              <w:rPr>
                <w:sz w:val="16"/>
                <w:szCs w:val="16"/>
                <w:lang w:val="es-ES_tradnl"/>
              </w:rPr>
            </w:pPr>
          </w:p>
        </w:tc>
        <w:tc>
          <w:tcPr>
            <w:tcW w:w="557" w:type="pct"/>
            <w:shd w:val="clear" w:color="auto" w:fill="auto"/>
            <w:tcMar>
              <w:top w:w="110" w:type="dxa"/>
            </w:tcMar>
          </w:tcPr>
          <w:p w:rsidR="00B070BF" w:rsidRPr="009577DE" w:rsidRDefault="00B070BF" w:rsidP="00C33D4A">
            <w:pPr>
              <w:widowControl w:val="0"/>
              <w:jc w:val="center"/>
              <w:rPr>
                <w:bCs/>
                <w:sz w:val="16"/>
                <w:szCs w:val="16"/>
                <w:lang w:val="es-ES_tradnl"/>
              </w:rPr>
            </w:pPr>
            <w:r w:rsidRPr="009577DE">
              <w:rPr>
                <w:b/>
                <w:color w:val="008000"/>
                <w:sz w:val="16"/>
                <w:szCs w:val="16"/>
                <w:lang w:val="es-ES_tradnl"/>
              </w:rPr>
              <w:t>Progresa con normalidad</w:t>
            </w:r>
          </w:p>
          <w:p w:rsidR="00B070BF" w:rsidRPr="009577DE" w:rsidRDefault="00B070BF" w:rsidP="00C33D4A">
            <w:pPr>
              <w:widowControl w:val="0"/>
              <w:jc w:val="center"/>
              <w:rPr>
                <w:bCs/>
                <w:sz w:val="16"/>
                <w:szCs w:val="16"/>
                <w:lang w:val="es-ES_tradnl"/>
              </w:rPr>
            </w:pPr>
          </w:p>
          <w:p w:rsidR="00B070BF" w:rsidRPr="009577DE" w:rsidRDefault="00B070BF" w:rsidP="00C33D4A">
            <w:pPr>
              <w:widowControl w:val="0"/>
              <w:jc w:val="center"/>
              <w:rPr>
                <w:bCs/>
                <w:sz w:val="16"/>
                <w:szCs w:val="16"/>
                <w:lang w:val="es-ES_tradnl"/>
              </w:rPr>
            </w:pPr>
          </w:p>
        </w:tc>
      </w:tr>
      <w:tr w:rsidR="00B070BF" w:rsidRPr="009577DE" w:rsidTr="00C33D4A">
        <w:trPr>
          <w:cantSplit/>
        </w:trPr>
        <w:tc>
          <w:tcPr>
            <w:tcW w:w="874" w:type="pct"/>
            <w:tcBorders>
              <w:bottom w:val="single" w:sz="4" w:space="0" w:color="auto"/>
            </w:tcBorders>
            <w:shd w:val="clear" w:color="auto" w:fill="auto"/>
          </w:tcPr>
          <w:p w:rsidR="00B070BF" w:rsidRPr="009577DE" w:rsidRDefault="00B070BF" w:rsidP="00C33D4A">
            <w:pPr>
              <w:widowControl w:val="0"/>
              <w:spacing w:before="120"/>
              <w:rPr>
                <w:sz w:val="16"/>
                <w:szCs w:val="16"/>
                <w:highlight w:val="yellow"/>
                <w:lang w:val="es-ES_tradnl"/>
              </w:rPr>
            </w:pPr>
            <w:r w:rsidRPr="009577DE">
              <w:rPr>
                <w:sz w:val="16"/>
                <w:szCs w:val="16"/>
                <w:lang w:val="es-ES_tradnl"/>
              </w:rPr>
              <w:t>Número de descargas de datos.</w:t>
            </w:r>
          </w:p>
        </w:tc>
        <w:tc>
          <w:tcPr>
            <w:tcW w:w="805" w:type="pct"/>
            <w:tcBorders>
              <w:bottom w:val="single" w:sz="4" w:space="0" w:color="auto"/>
            </w:tcBorders>
            <w:shd w:val="clear" w:color="auto" w:fill="C0C0C0"/>
          </w:tcPr>
          <w:p w:rsidR="00B070BF" w:rsidRPr="009577DE" w:rsidRDefault="00B070BF" w:rsidP="00C33D4A">
            <w:pPr>
              <w:widowControl w:val="0"/>
              <w:spacing w:before="120"/>
              <w:rPr>
                <w:sz w:val="16"/>
                <w:szCs w:val="16"/>
                <w:lang w:val="es-ES_tradnl"/>
              </w:rPr>
            </w:pPr>
            <w:r w:rsidRPr="009577DE">
              <w:rPr>
                <w:sz w:val="16"/>
                <w:szCs w:val="16"/>
                <w:lang w:val="es-ES_tradnl"/>
              </w:rPr>
              <w:t>Por determinar.</w:t>
            </w:r>
          </w:p>
        </w:tc>
        <w:tc>
          <w:tcPr>
            <w:tcW w:w="916" w:type="pct"/>
            <w:tcBorders>
              <w:bottom w:val="single" w:sz="4" w:space="0" w:color="auto"/>
            </w:tcBorders>
            <w:shd w:val="clear" w:color="auto" w:fill="auto"/>
            <w:tcMar>
              <w:top w:w="110" w:type="dxa"/>
            </w:tcMar>
          </w:tcPr>
          <w:p w:rsidR="00B070BF" w:rsidRPr="009577DE" w:rsidRDefault="00B070BF" w:rsidP="00C33D4A">
            <w:pPr>
              <w:widowControl w:val="0"/>
              <w:rPr>
                <w:i/>
                <w:sz w:val="16"/>
                <w:szCs w:val="16"/>
                <w:highlight w:val="cyan"/>
                <w:lang w:val="es-ES_tradnl"/>
              </w:rPr>
            </w:pPr>
          </w:p>
        </w:tc>
        <w:tc>
          <w:tcPr>
            <w:tcW w:w="1848" w:type="pct"/>
            <w:tcBorders>
              <w:bottom w:val="single" w:sz="4" w:space="0" w:color="auto"/>
            </w:tcBorders>
            <w:shd w:val="clear" w:color="auto" w:fill="FFFFFF"/>
            <w:tcMar>
              <w:top w:w="110" w:type="dxa"/>
            </w:tcMar>
          </w:tcPr>
          <w:p w:rsidR="00B070BF" w:rsidRPr="009577DE" w:rsidRDefault="00B070BF" w:rsidP="00C33D4A">
            <w:pPr>
              <w:widowControl w:val="0"/>
              <w:rPr>
                <w:sz w:val="16"/>
                <w:szCs w:val="16"/>
                <w:lang w:val="es-ES_tradnl" w:bidi="th-TH"/>
              </w:rPr>
            </w:pPr>
            <w:r w:rsidRPr="009577DE">
              <w:rPr>
                <w:sz w:val="16"/>
                <w:szCs w:val="16"/>
                <w:lang w:val="es-ES_tradnl" w:bidi="th-TH"/>
              </w:rPr>
              <w:t>En 2012, el Centro de datos de estadísticas de la OMPI, que se estableció en septiembre de 2012 y sustituye al conjunto de archivos de Excel descargables, fue utilizado por 6.253 visitantes distintos que vieron 89.189 páginas.</w:t>
            </w:r>
          </w:p>
          <w:p w:rsidR="00B070BF" w:rsidRPr="009577DE" w:rsidRDefault="00B070BF" w:rsidP="00C33D4A">
            <w:pPr>
              <w:widowControl w:val="0"/>
              <w:rPr>
                <w:sz w:val="16"/>
                <w:szCs w:val="16"/>
                <w:lang w:val="es-ES_tradnl"/>
              </w:rPr>
            </w:pPr>
          </w:p>
          <w:p w:rsidR="00B070BF" w:rsidRPr="009577DE" w:rsidRDefault="00B070BF" w:rsidP="00C33D4A">
            <w:pPr>
              <w:widowControl w:val="0"/>
              <w:rPr>
                <w:sz w:val="16"/>
                <w:szCs w:val="16"/>
                <w:lang w:val="es-ES_tradnl"/>
              </w:rPr>
            </w:pPr>
          </w:p>
        </w:tc>
        <w:tc>
          <w:tcPr>
            <w:tcW w:w="557" w:type="pct"/>
            <w:tcBorders>
              <w:bottom w:val="single" w:sz="4" w:space="0" w:color="auto"/>
            </w:tcBorders>
            <w:shd w:val="clear" w:color="auto" w:fill="auto"/>
            <w:tcMar>
              <w:top w:w="110" w:type="dxa"/>
            </w:tcMar>
          </w:tcPr>
          <w:p w:rsidR="00B070BF" w:rsidRPr="009577DE" w:rsidRDefault="00B070BF" w:rsidP="00C33D4A">
            <w:pPr>
              <w:widowControl w:val="0"/>
              <w:jc w:val="center"/>
              <w:rPr>
                <w:bCs/>
                <w:sz w:val="16"/>
                <w:szCs w:val="16"/>
                <w:lang w:val="es-ES_tradnl"/>
              </w:rPr>
            </w:pPr>
            <w:r w:rsidRPr="009577DE">
              <w:rPr>
                <w:b/>
                <w:color w:val="008000"/>
                <w:sz w:val="16"/>
                <w:szCs w:val="16"/>
                <w:lang w:val="es-ES_tradnl"/>
              </w:rPr>
              <w:t>Progresa con normalidad</w:t>
            </w:r>
          </w:p>
          <w:p w:rsidR="00B070BF" w:rsidRPr="009577DE" w:rsidRDefault="00B070BF" w:rsidP="00C33D4A">
            <w:pPr>
              <w:widowControl w:val="0"/>
              <w:jc w:val="center"/>
              <w:rPr>
                <w:bCs/>
                <w:sz w:val="16"/>
                <w:szCs w:val="16"/>
                <w:lang w:val="es-ES_tradnl"/>
              </w:rPr>
            </w:pPr>
          </w:p>
          <w:p w:rsidR="00B070BF" w:rsidRPr="009577DE" w:rsidRDefault="00B070BF" w:rsidP="00C33D4A">
            <w:pPr>
              <w:widowControl w:val="0"/>
              <w:jc w:val="center"/>
              <w:rPr>
                <w:bCs/>
                <w:sz w:val="16"/>
                <w:szCs w:val="16"/>
                <w:lang w:val="es-ES_tradnl"/>
              </w:rPr>
            </w:pPr>
          </w:p>
        </w:tc>
      </w:tr>
      <w:tr w:rsidR="00B070BF" w:rsidRPr="009577DE" w:rsidTr="00C33D4A">
        <w:trPr>
          <w:cantSplit/>
        </w:trPr>
        <w:tc>
          <w:tcPr>
            <w:tcW w:w="5000" w:type="pct"/>
            <w:gridSpan w:val="5"/>
            <w:tcBorders>
              <w:top w:val="single" w:sz="4" w:space="0" w:color="auto"/>
              <w:bottom w:val="single" w:sz="4" w:space="0" w:color="auto"/>
            </w:tcBorders>
            <w:shd w:val="clear" w:color="auto" w:fill="CCFFFF"/>
            <w:vAlign w:val="center"/>
          </w:tcPr>
          <w:p w:rsidR="00B070BF" w:rsidRPr="009577DE" w:rsidRDefault="00B070BF" w:rsidP="00C33D4A">
            <w:pPr>
              <w:keepNext/>
              <w:widowControl w:val="0"/>
              <w:tabs>
                <w:tab w:val="left" w:pos="1452"/>
              </w:tabs>
              <w:spacing w:before="120" w:after="120"/>
              <w:ind w:left="1452" w:hanging="1452"/>
              <w:rPr>
                <w:b/>
                <w:bCs/>
                <w:sz w:val="16"/>
                <w:szCs w:val="16"/>
                <w:lang w:val="es-ES_tradnl"/>
              </w:rPr>
            </w:pPr>
            <w:r w:rsidRPr="009577DE">
              <w:rPr>
                <w:b/>
                <w:bCs/>
                <w:sz w:val="16"/>
                <w:szCs w:val="16"/>
                <w:lang w:val="es-ES_tradnl"/>
              </w:rPr>
              <w:lastRenderedPageBreak/>
              <w:t>Resultado previsto:</w:t>
            </w:r>
            <w:r w:rsidRPr="009577DE">
              <w:rPr>
                <w:b/>
                <w:bCs/>
                <w:sz w:val="16"/>
                <w:szCs w:val="16"/>
                <w:lang w:val="es-ES_tradnl"/>
              </w:rPr>
              <w:tab/>
            </w:r>
            <w:r w:rsidRPr="009577DE">
              <w:rPr>
                <w:bCs/>
                <w:sz w:val="16"/>
                <w:szCs w:val="16"/>
                <w:lang w:val="es-ES_tradnl"/>
              </w:rPr>
              <w:t xml:space="preserve"> Adopción de análisis económicos de la OMPI para la formulación de políticas de P.I.</w:t>
            </w:r>
          </w:p>
        </w:tc>
      </w:tr>
      <w:tr w:rsidR="00B070BF" w:rsidRPr="009577DE" w:rsidTr="00C33D4A">
        <w:trPr>
          <w:cantSplit/>
        </w:trPr>
        <w:tc>
          <w:tcPr>
            <w:tcW w:w="874" w:type="pct"/>
            <w:tcBorders>
              <w:top w:val="single" w:sz="4" w:space="0" w:color="auto"/>
            </w:tcBorders>
            <w:shd w:val="clear" w:color="auto" w:fill="auto"/>
            <w:vAlign w:val="center"/>
          </w:tcPr>
          <w:p w:rsidR="00B070BF" w:rsidRPr="009577DE" w:rsidRDefault="00B070BF" w:rsidP="00C33D4A">
            <w:pPr>
              <w:keepNext/>
              <w:widowControl w:val="0"/>
              <w:spacing w:after="120"/>
              <w:rPr>
                <w:sz w:val="16"/>
                <w:szCs w:val="16"/>
                <w:lang w:val="es-ES_tradnl"/>
              </w:rPr>
            </w:pPr>
            <w:r w:rsidRPr="009577DE">
              <w:rPr>
                <w:b/>
                <w:bCs/>
                <w:sz w:val="16"/>
                <w:szCs w:val="16"/>
                <w:lang w:val="es-ES_tradnl"/>
              </w:rPr>
              <w:t>Indicadores de rendimiento</w:t>
            </w:r>
          </w:p>
        </w:tc>
        <w:tc>
          <w:tcPr>
            <w:tcW w:w="805" w:type="pct"/>
            <w:tcBorders>
              <w:top w:val="single" w:sz="4" w:space="0" w:color="auto"/>
            </w:tcBorders>
            <w:shd w:val="clear" w:color="auto" w:fill="C0C0C0"/>
          </w:tcPr>
          <w:p w:rsidR="00B070BF" w:rsidRPr="009577DE" w:rsidRDefault="00B070BF" w:rsidP="00C33D4A">
            <w:pPr>
              <w:keepNext/>
              <w:widowControl w:val="0"/>
              <w:spacing w:after="120"/>
              <w:rPr>
                <w:b/>
                <w:bCs/>
                <w:sz w:val="16"/>
                <w:szCs w:val="16"/>
                <w:lang w:val="es-ES_tradnl"/>
              </w:rPr>
            </w:pPr>
            <w:r w:rsidRPr="009577DE">
              <w:rPr>
                <w:b/>
                <w:bCs/>
                <w:sz w:val="16"/>
                <w:szCs w:val="16"/>
                <w:lang w:val="es-ES_tradnl"/>
              </w:rPr>
              <w:t>Referencia (</w:t>
            </w:r>
            <w:proofErr w:type="spellStart"/>
            <w:r w:rsidRPr="009577DE">
              <w:rPr>
                <w:b/>
                <w:bCs/>
                <w:sz w:val="16"/>
                <w:szCs w:val="16"/>
                <w:lang w:val="es-ES_tradnl"/>
              </w:rPr>
              <w:t>Presup</w:t>
            </w:r>
            <w:proofErr w:type="spellEnd"/>
            <w:r w:rsidRPr="009577DE">
              <w:rPr>
                <w:b/>
                <w:bCs/>
                <w:sz w:val="16"/>
                <w:szCs w:val="16"/>
                <w:lang w:val="es-ES_tradnl"/>
              </w:rPr>
              <w:t xml:space="preserve">. por </w:t>
            </w:r>
            <w:proofErr w:type="spellStart"/>
            <w:r w:rsidRPr="009577DE">
              <w:rPr>
                <w:b/>
                <w:bCs/>
                <w:sz w:val="16"/>
                <w:szCs w:val="16"/>
                <w:lang w:val="es-ES_tradnl"/>
              </w:rPr>
              <w:t>prog</w:t>
            </w:r>
            <w:proofErr w:type="spellEnd"/>
            <w:r w:rsidRPr="009577DE">
              <w:rPr>
                <w:b/>
                <w:bCs/>
                <w:sz w:val="16"/>
                <w:szCs w:val="16"/>
                <w:lang w:val="es-ES_tradnl"/>
              </w:rPr>
              <w:t>. 2012/13)</w:t>
            </w:r>
          </w:p>
        </w:tc>
        <w:tc>
          <w:tcPr>
            <w:tcW w:w="916" w:type="pct"/>
            <w:tcBorders>
              <w:top w:val="single" w:sz="4" w:space="0" w:color="auto"/>
            </w:tcBorders>
            <w:shd w:val="clear" w:color="auto" w:fill="auto"/>
            <w:tcMar>
              <w:top w:w="110" w:type="dxa"/>
            </w:tcMar>
            <w:vAlign w:val="center"/>
          </w:tcPr>
          <w:p w:rsidR="00B070BF" w:rsidRPr="009577DE" w:rsidRDefault="00B070BF" w:rsidP="00C33D4A">
            <w:pPr>
              <w:keepNext/>
              <w:widowControl w:val="0"/>
              <w:spacing w:after="120"/>
              <w:rPr>
                <w:b/>
                <w:sz w:val="16"/>
                <w:szCs w:val="16"/>
                <w:lang w:val="es-ES_tradnl"/>
              </w:rPr>
            </w:pPr>
            <w:r w:rsidRPr="00BF138D">
              <w:rPr>
                <w:b/>
                <w:color w:val="993300"/>
                <w:sz w:val="16"/>
                <w:szCs w:val="16"/>
                <w:lang w:val="es-ES_tradnl"/>
              </w:rPr>
              <w:t>Referencia actualizada a finales de 2011</w:t>
            </w:r>
          </w:p>
        </w:tc>
        <w:tc>
          <w:tcPr>
            <w:tcW w:w="1848" w:type="pct"/>
            <w:tcBorders>
              <w:top w:val="single" w:sz="4" w:space="0" w:color="auto"/>
            </w:tcBorders>
            <w:shd w:val="clear" w:color="auto" w:fill="FFFFFF"/>
            <w:tcMar>
              <w:top w:w="110" w:type="dxa"/>
            </w:tcMar>
            <w:vAlign w:val="center"/>
          </w:tcPr>
          <w:p w:rsidR="00B070BF" w:rsidRPr="009577DE" w:rsidRDefault="00B070BF" w:rsidP="00C33D4A">
            <w:pPr>
              <w:keepNext/>
              <w:widowControl w:val="0"/>
              <w:spacing w:after="120"/>
              <w:rPr>
                <w:sz w:val="16"/>
                <w:szCs w:val="16"/>
                <w:lang w:val="es-ES_tradnl"/>
              </w:rPr>
            </w:pPr>
            <w:r w:rsidRPr="009577DE">
              <w:rPr>
                <w:b/>
                <w:bCs/>
                <w:sz w:val="16"/>
                <w:szCs w:val="16"/>
                <w:lang w:val="es-ES_tradnl"/>
              </w:rPr>
              <w:t>Datos sobre el rendimiento</w:t>
            </w:r>
          </w:p>
        </w:tc>
        <w:tc>
          <w:tcPr>
            <w:tcW w:w="557" w:type="pct"/>
            <w:tcBorders>
              <w:top w:val="single" w:sz="4" w:space="0" w:color="auto"/>
            </w:tcBorders>
            <w:shd w:val="clear" w:color="auto" w:fill="auto"/>
            <w:tcMar>
              <w:top w:w="110" w:type="dxa"/>
            </w:tcMar>
            <w:vAlign w:val="center"/>
          </w:tcPr>
          <w:p w:rsidR="00B070BF" w:rsidRPr="009577DE" w:rsidRDefault="00B070BF" w:rsidP="00C33D4A">
            <w:pPr>
              <w:keepNext/>
              <w:widowControl w:val="0"/>
              <w:spacing w:after="120"/>
              <w:jc w:val="center"/>
              <w:rPr>
                <w:b/>
                <w:bCs/>
                <w:sz w:val="16"/>
                <w:szCs w:val="16"/>
                <w:lang w:val="es-ES_tradnl"/>
              </w:rPr>
            </w:pPr>
            <w:r w:rsidRPr="009577DE">
              <w:rPr>
                <w:b/>
                <w:bCs/>
                <w:sz w:val="16"/>
                <w:szCs w:val="16"/>
                <w:lang w:val="es-ES_tradnl"/>
              </w:rPr>
              <w:t>Clave de colores</w:t>
            </w:r>
          </w:p>
        </w:tc>
      </w:tr>
      <w:tr w:rsidR="00B070BF" w:rsidRPr="009577DE" w:rsidTr="00C33D4A">
        <w:trPr>
          <w:cantSplit/>
        </w:trPr>
        <w:tc>
          <w:tcPr>
            <w:tcW w:w="874" w:type="pct"/>
            <w:shd w:val="clear" w:color="auto" w:fill="auto"/>
          </w:tcPr>
          <w:p w:rsidR="00B070BF" w:rsidRPr="009577DE" w:rsidRDefault="00B070BF" w:rsidP="00C33D4A">
            <w:pPr>
              <w:widowControl w:val="0"/>
              <w:spacing w:before="120"/>
              <w:rPr>
                <w:sz w:val="16"/>
                <w:szCs w:val="16"/>
                <w:lang w:val="es-ES_tradnl"/>
              </w:rPr>
            </w:pPr>
            <w:r w:rsidRPr="009577DE">
              <w:rPr>
                <w:sz w:val="16"/>
                <w:szCs w:val="16"/>
                <w:lang w:val="es-ES_tradnl"/>
              </w:rPr>
              <w:t>Número de citas en publicaciones económicas e informes de política gubernamental.</w:t>
            </w:r>
          </w:p>
        </w:tc>
        <w:tc>
          <w:tcPr>
            <w:tcW w:w="805" w:type="pct"/>
            <w:shd w:val="clear" w:color="auto" w:fill="C0C0C0"/>
          </w:tcPr>
          <w:p w:rsidR="00B070BF" w:rsidRPr="009577DE" w:rsidRDefault="00B070BF" w:rsidP="00C33D4A">
            <w:pPr>
              <w:widowControl w:val="0"/>
              <w:spacing w:before="120"/>
              <w:rPr>
                <w:sz w:val="16"/>
                <w:szCs w:val="16"/>
                <w:lang w:val="es-ES_tradnl"/>
              </w:rPr>
            </w:pPr>
            <w:r w:rsidRPr="009577DE">
              <w:rPr>
                <w:sz w:val="16"/>
                <w:szCs w:val="16"/>
                <w:lang w:val="es-ES_tradnl"/>
              </w:rPr>
              <w:t>Dada la novedad del programa, no existen referencias de base.</w:t>
            </w:r>
          </w:p>
        </w:tc>
        <w:tc>
          <w:tcPr>
            <w:tcW w:w="916" w:type="pct"/>
            <w:shd w:val="clear" w:color="auto" w:fill="auto"/>
            <w:tcMar>
              <w:top w:w="110" w:type="dxa"/>
            </w:tcMar>
          </w:tcPr>
          <w:p w:rsidR="00B070BF" w:rsidRPr="00F2661C" w:rsidRDefault="00B070BF" w:rsidP="00C33D4A">
            <w:pPr>
              <w:widowControl w:val="0"/>
              <w:rPr>
                <w:color w:val="993300"/>
                <w:sz w:val="16"/>
                <w:szCs w:val="16"/>
                <w:lang w:val="es-ES_tradnl" w:bidi="th-TH"/>
              </w:rPr>
            </w:pPr>
            <w:r w:rsidRPr="00F2661C">
              <w:rPr>
                <w:color w:val="993300"/>
                <w:sz w:val="16"/>
                <w:szCs w:val="16"/>
                <w:lang w:val="es-ES_tradnl" w:bidi="th-TH"/>
              </w:rPr>
              <w:t xml:space="preserve">El primer </w:t>
            </w:r>
            <w:r w:rsidRPr="00F2661C">
              <w:rPr>
                <w:i/>
                <w:color w:val="993300"/>
                <w:sz w:val="16"/>
                <w:szCs w:val="16"/>
                <w:lang w:val="es-ES_tradnl" w:bidi="th-TH"/>
              </w:rPr>
              <w:t>Informe Mundial sobre la P.I.</w:t>
            </w:r>
            <w:r w:rsidRPr="00F2661C">
              <w:rPr>
                <w:color w:val="993300"/>
                <w:sz w:val="16"/>
                <w:szCs w:val="16"/>
                <w:lang w:val="es-ES_tradnl" w:bidi="th-TH"/>
              </w:rPr>
              <w:t xml:space="preserve"> se publicó en noviembre de 2011, por lo que todavía es pronto para un recuento de las citas a finales de 2011.</w:t>
            </w:r>
          </w:p>
          <w:p w:rsidR="00B070BF" w:rsidRPr="009577DE" w:rsidRDefault="00B070BF" w:rsidP="00C33D4A">
            <w:pPr>
              <w:widowControl w:val="0"/>
              <w:rPr>
                <w:sz w:val="16"/>
                <w:szCs w:val="16"/>
                <w:lang w:val="es-ES_tradnl" w:bidi="th-TH"/>
              </w:rPr>
            </w:pPr>
          </w:p>
          <w:p w:rsidR="00B070BF" w:rsidRPr="009577DE" w:rsidRDefault="00B070BF" w:rsidP="00C33D4A">
            <w:pPr>
              <w:widowControl w:val="0"/>
              <w:rPr>
                <w:sz w:val="16"/>
                <w:szCs w:val="16"/>
                <w:lang w:val="es-ES_tradnl" w:bidi="th-TH"/>
              </w:rPr>
            </w:pPr>
          </w:p>
          <w:p w:rsidR="00B070BF" w:rsidRPr="009577DE" w:rsidRDefault="00B070BF" w:rsidP="00C33D4A">
            <w:pPr>
              <w:widowControl w:val="0"/>
              <w:rPr>
                <w:sz w:val="16"/>
                <w:szCs w:val="16"/>
                <w:lang w:val="es-ES_tradnl" w:bidi="th-TH"/>
              </w:rPr>
            </w:pPr>
            <w:r w:rsidRPr="009577DE">
              <w:rPr>
                <w:sz w:val="16"/>
                <w:szCs w:val="16"/>
                <w:lang w:val="es-ES_tradnl" w:bidi="th-TH"/>
              </w:rPr>
              <w:t xml:space="preserve"> </w:t>
            </w:r>
          </w:p>
          <w:p w:rsidR="00B070BF" w:rsidRPr="009577DE" w:rsidRDefault="00B070BF" w:rsidP="00C33D4A">
            <w:pPr>
              <w:widowControl w:val="0"/>
              <w:rPr>
                <w:i/>
                <w:sz w:val="16"/>
                <w:szCs w:val="16"/>
                <w:lang w:val="es-ES_tradnl"/>
              </w:rPr>
            </w:pPr>
          </w:p>
        </w:tc>
        <w:tc>
          <w:tcPr>
            <w:tcW w:w="1848" w:type="pct"/>
            <w:shd w:val="clear" w:color="auto" w:fill="FFFFFF"/>
            <w:tcMar>
              <w:top w:w="110" w:type="dxa"/>
            </w:tcMar>
          </w:tcPr>
          <w:p w:rsidR="00B070BF" w:rsidRPr="009577DE" w:rsidRDefault="00B070BF" w:rsidP="00C33D4A">
            <w:pPr>
              <w:widowControl w:val="0"/>
              <w:autoSpaceDE w:val="0"/>
              <w:autoSpaceDN w:val="0"/>
              <w:adjustRightInd w:val="0"/>
              <w:rPr>
                <w:sz w:val="16"/>
                <w:szCs w:val="16"/>
                <w:lang w:val="es-ES_tradnl" w:eastAsia="de-DE"/>
              </w:rPr>
            </w:pPr>
            <w:r w:rsidRPr="009577DE">
              <w:rPr>
                <w:sz w:val="16"/>
                <w:szCs w:val="16"/>
                <w:lang w:val="es-ES_tradnl" w:eastAsia="de-DE"/>
              </w:rPr>
              <w:t>El</w:t>
            </w:r>
            <w:r w:rsidRPr="009577DE">
              <w:rPr>
                <w:i/>
                <w:sz w:val="16"/>
                <w:szCs w:val="16"/>
                <w:lang w:val="es-ES_tradnl" w:eastAsia="de-DE"/>
              </w:rPr>
              <w:t xml:space="preserve"> Informe Mundial sobre la P.I.</w:t>
            </w:r>
            <w:r w:rsidRPr="009577DE">
              <w:rPr>
                <w:sz w:val="16"/>
                <w:szCs w:val="16"/>
                <w:lang w:val="es-ES_tradnl" w:eastAsia="de-DE"/>
              </w:rPr>
              <w:t xml:space="preserve"> se ha citado en informes de política y artículos académicos, aunque es difícil efectuar un seguimiento del uso de esta destacada publicación analítica en los distintos idiomas en que se edita.</w:t>
            </w:r>
          </w:p>
          <w:p w:rsidR="00B070BF" w:rsidRPr="009577DE" w:rsidRDefault="00B070BF" w:rsidP="00C33D4A">
            <w:pPr>
              <w:widowControl w:val="0"/>
              <w:autoSpaceDE w:val="0"/>
              <w:autoSpaceDN w:val="0"/>
              <w:adjustRightInd w:val="0"/>
              <w:rPr>
                <w:sz w:val="16"/>
                <w:szCs w:val="16"/>
                <w:lang w:val="es-ES_tradnl" w:eastAsia="de-DE"/>
              </w:rPr>
            </w:pPr>
          </w:p>
          <w:p w:rsidR="00B070BF" w:rsidRPr="009577DE" w:rsidRDefault="00B070BF" w:rsidP="00C33D4A">
            <w:pPr>
              <w:widowControl w:val="0"/>
              <w:autoSpaceDE w:val="0"/>
              <w:autoSpaceDN w:val="0"/>
              <w:adjustRightInd w:val="0"/>
              <w:rPr>
                <w:sz w:val="16"/>
                <w:szCs w:val="16"/>
                <w:lang w:val="es-ES_tradnl" w:eastAsia="de-DE"/>
              </w:rPr>
            </w:pPr>
            <w:r w:rsidRPr="009577DE">
              <w:rPr>
                <w:sz w:val="16"/>
                <w:szCs w:val="16"/>
                <w:lang w:val="es-ES_tradnl" w:eastAsia="de-DE"/>
              </w:rPr>
              <w:t xml:space="preserve">El </w:t>
            </w:r>
            <w:r w:rsidRPr="009577DE">
              <w:rPr>
                <w:i/>
                <w:sz w:val="16"/>
                <w:szCs w:val="16"/>
                <w:lang w:val="es-ES_tradnl" w:eastAsia="de-DE"/>
              </w:rPr>
              <w:t>Informe sobre el Índice Mundial de Innovación</w:t>
            </w:r>
            <w:r w:rsidRPr="009577DE">
              <w:rPr>
                <w:sz w:val="16"/>
                <w:szCs w:val="16"/>
                <w:lang w:val="es-ES_tradnl" w:eastAsia="de-DE"/>
              </w:rPr>
              <w:t xml:space="preserve"> ha sido mencionado en numerosas ocasiones por ministros y en debates parlamentarios. </w:t>
            </w:r>
          </w:p>
          <w:p w:rsidR="00B070BF" w:rsidRPr="009577DE" w:rsidRDefault="00B070BF" w:rsidP="00C33D4A">
            <w:pPr>
              <w:widowControl w:val="0"/>
              <w:autoSpaceDE w:val="0"/>
              <w:autoSpaceDN w:val="0"/>
              <w:adjustRightInd w:val="0"/>
              <w:rPr>
                <w:sz w:val="16"/>
                <w:szCs w:val="16"/>
                <w:lang w:val="es-ES_tradnl" w:eastAsia="de-DE"/>
              </w:rPr>
            </w:pPr>
          </w:p>
          <w:p w:rsidR="00B070BF" w:rsidRPr="009577DE" w:rsidRDefault="00B070BF" w:rsidP="00C33D4A">
            <w:pPr>
              <w:widowControl w:val="0"/>
              <w:autoSpaceDE w:val="0"/>
              <w:autoSpaceDN w:val="0"/>
              <w:adjustRightInd w:val="0"/>
              <w:rPr>
                <w:sz w:val="16"/>
                <w:szCs w:val="16"/>
                <w:lang w:val="es-ES_tradnl" w:eastAsia="de-DE"/>
              </w:rPr>
            </w:pPr>
            <w:r w:rsidRPr="009577DE">
              <w:rPr>
                <w:sz w:val="16"/>
                <w:szCs w:val="16"/>
                <w:lang w:val="es-ES_tradnl" w:eastAsia="de-DE"/>
              </w:rPr>
              <w:t xml:space="preserve">Se publicaron artículos de prensa en los que se menciona el </w:t>
            </w:r>
            <w:r w:rsidRPr="009577DE">
              <w:rPr>
                <w:i/>
                <w:sz w:val="16"/>
                <w:szCs w:val="16"/>
                <w:lang w:val="es-ES_tradnl" w:eastAsia="de-DE"/>
              </w:rPr>
              <w:t>Informe sobre el Índice Mundial de Innovación</w:t>
            </w:r>
            <w:r w:rsidRPr="009577DE">
              <w:rPr>
                <w:sz w:val="16"/>
                <w:szCs w:val="16"/>
                <w:lang w:val="es-ES_tradnl" w:eastAsia="de-DE"/>
              </w:rPr>
              <w:t xml:space="preserve"> en las publicaciones siguientes:  </w:t>
            </w:r>
            <w:proofErr w:type="spellStart"/>
            <w:r w:rsidRPr="009577DE">
              <w:rPr>
                <w:i/>
                <w:sz w:val="16"/>
                <w:szCs w:val="16"/>
                <w:lang w:val="es-ES_tradnl" w:eastAsia="de-DE"/>
              </w:rPr>
              <w:t>The</w:t>
            </w:r>
            <w:proofErr w:type="spellEnd"/>
            <w:r w:rsidRPr="009577DE">
              <w:rPr>
                <w:i/>
                <w:sz w:val="16"/>
                <w:szCs w:val="16"/>
                <w:lang w:val="es-ES_tradnl" w:eastAsia="de-DE"/>
              </w:rPr>
              <w:t xml:space="preserve"> </w:t>
            </w:r>
            <w:proofErr w:type="spellStart"/>
            <w:r w:rsidRPr="009577DE">
              <w:rPr>
                <w:i/>
                <w:sz w:val="16"/>
                <w:szCs w:val="16"/>
                <w:lang w:val="es-ES_tradnl" w:eastAsia="de-DE"/>
              </w:rPr>
              <w:t>Economist</w:t>
            </w:r>
            <w:proofErr w:type="spellEnd"/>
            <w:r w:rsidRPr="009577DE">
              <w:rPr>
                <w:i/>
                <w:sz w:val="16"/>
                <w:szCs w:val="16"/>
                <w:lang w:val="es-ES_tradnl" w:eastAsia="de-DE"/>
              </w:rPr>
              <w:t xml:space="preserve">, Forbes, Business </w:t>
            </w:r>
            <w:proofErr w:type="spellStart"/>
            <w:r w:rsidRPr="009577DE">
              <w:rPr>
                <w:i/>
                <w:sz w:val="16"/>
                <w:szCs w:val="16"/>
                <w:lang w:val="es-ES_tradnl" w:eastAsia="de-DE"/>
              </w:rPr>
              <w:t>Week</w:t>
            </w:r>
            <w:proofErr w:type="spellEnd"/>
            <w:r w:rsidRPr="009577DE">
              <w:rPr>
                <w:i/>
                <w:sz w:val="16"/>
                <w:szCs w:val="16"/>
                <w:lang w:val="es-ES_tradnl" w:eastAsia="de-DE"/>
              </w:rPr>
              <w:t xml:space="preserve">, </w:t>
            </w:r>
            <w:proofErr w:type="spellStart"/>
            <w:r w:rsidRPr="009577DE">
              <w:rPr>
                <w:i/>
                <w:sz w:val="16"/>
                <w:szCs w:val="16"/>
                <w:lang w:val="es-ES_tradnl" w:eastAsia="de-DE"/>
              </w:rPr>
              <w:t>Science</w:t>
            </w:r>
            <w:proofErr w:type="spellEnd"/>
            <w:r w:rsidRPr="009577DE">
              <w:rPr>
                <w:i/>
                <w:sz w:val="16"/>
                <w:szCs w:val="16"/>
                <w:lang w:val="es-ES_tradnl" w:eastAsia="de-DE"/>
              </w:rPr>
              <w:t xml:space="preserve"> Business, </w:t>
            </w:r>
            <w:proofErr w:type="spellStart"/>
            <w:r w:rsidRPr="009577DE">
              <w:rPr>
                <w:i/>
                <w:sz w:val="16"/>
                <w:szCs w:val="16"/>
                <w:lang w:val="es-ES_tradnl" w:eastAsia="de-DE"/>
              </w:rPr>
              <w:t>The</w:t>
            </w:r>
            <w:proofErr w:type="spellEnd"/>
            <w:r w:rsidRPr="009577DE">
              <w:rPr>
                <w:i/>
                <w:sz w:val="16"/>
                <w:szCs w:val="16"/>
                <w:lang w:val="es-ES_tradnl" w:eastAsia="de-DE"/>
              </w:rPr>
              <w:t xml:space="preserve"> </w:t>
            </w:r>
            <w:proofErr w:type="spellStart"/>
            <w:r w:rsidRPr="009577DE">
              <w:rPr>
                <w:i/>
                <w:sz w:val="16"/>
                <w:szCs w:val="16"/>
                <w:lang w:val="es-ES_tradnl" w:eastAsia="de-DE"/>
              </w:rPr>
              <w:t>Huffington</w:t>
            </w:r>
            <w:proofErr w:type="spellEnd"/>
            <w:r w:rsidRPr="009577DE">
              <w:rPr>
                <w:i/>
                <w:sz w:val="16"/>
                <w:szCs w:val="16"/>
                <w:lang w:val="es-ES_tradnl" w:eastAsia="de-DE"/>
              </w:rPr>
              <w:t xml:space="preserve"> Post, </w:t>
            </w:r>
            <w:proofErr w:type="spellStart"/>
            <w:r w:rsidRPr="009577DE">
              <w:rPr>
                <w:i/>
                <w:sz w:val="16"/>
                <w:szCs w:val="16"/>
                <w:lang w:val="es-ES_tradnl" w:eastAsia="de-DE"/>
              </w:rPr>
              <w:t>the</w:t>
            </w:r>
            <w:proofErr w:type="spellEnd"/>
            <w:r w:rsidRPr="009577DE">
              <w:rPr>
                <w:i/>
                <w:sz w:val="16"/>
                <w:szCs w:val="16"/>
                <w:lang w:val="es-ES_tradnl" w:eastAsia="de-DE"/>
              </w:rPr>
              <w:t xml:space="preserve"> </w:t>
            </w:r>
            <w:proofErr w:type="spellStart"/>
            <w:r w:rsidRPr="009577DE">
              <w:rPr>
                <w:i/>
                <w:sz w:val="16"/>
                <w:szCs w:val="16"/>
                <w:lang w:val="es-ES_tradnl" w:eastAsia="de-DE"/>
              </w:rPr>
              <w:t>IPKat</w:t>
            </w:r>
            <w:proofErr w:type="spellEnd"/>
            <w:r w:rsidRPr="009577DE">
              <w:rPr>
                <w:i/>
                <w:sz w:val="16"/>
                <w:szCs w:val="16"/>
                <w:lang w:val="es-ES_tradnl" w:eastAsia="de-DE"/>
              </w:rPr>
              <w:t xml:space="preserve">, El País, Le Monde, Le </w:t>
            </w:r>
            <w:proofErr w:type="spellStart"/>
            <w:r w:rsidRPr="009577DE">
              <w:rPr>
                <w:i/>
                <w:sz w:val="16"/>
                <w:szCs w:val="16"/>
                <w:lang w:val="es-ES_tradnl" w:eastAsia="de-DE"/>
              </w:rPr>
              <w:t>Figaro</w:t>
            </w:r>
            <w:proofErr w:type="spellEnd"/>
            <w:r w:rsidRPr="009577DE">
              <w:rPr>
                <w:i/>
                <w:sz w:val="16"/>
                <w:szCs w:val="16"/>
                <w:lang w:val="es-ES_tradnl" w:eastAsia="de-DE"/>
              </w:rPr>
              <w:t xml:space="preserve">, </w:t>
            </w:r>
            <w:proofErr w:type="spellStart"/>
            <w:r w:rsidRPr="009577DE">
              <w:rPr>
                <w:i/>
                <w:sz w:val="16"/>
                <w:szCs w:val="16"/>
                <w:lang w:val="es-ES_tradnl" w:eastAsia="de-DE"/>
              </w:rPr>
              <w:t>Vedomosti</w:t>
            </w:r>
            <w:proofErr w:type="spellEnd"/>
            <w:r w:rsidRPr="009577DE">
              <w:rPr>
                <w:i/>
                <w:sz w:val="16"/>
                <w:szCs w:val="16"/>
                <w:lang w:val="es-ES_tradnl" w:eastAsia="de-DE"/>
              </w:rPr>
              <w:t xml:space="preserve">, </w:t>
            </w:r>
            <w:proofErr w:type="spellStart"/>
            <w:r w:rsidRPr="009577DE">
              <w:rPr>
                <w:i/>
                <w:sz w:val="16"/>
                <w:szCs w:val="16"/>
                <w:lang w:val="es-ES_tradnl" w:eastAsia="de-DE"/>
              </w:rPr>
              <w:t>The</w:t>
            </w:r>
            <w:proofErr w:type="spellEnd"/>
            <w:r w:rsidRPr="009577DE">
              <w:rPr>
                <w:i/>
                <w:sz w:val="16"/>
                <w:szCs w:val="16"/>
                <w:lang w:val="es-ES_tradnl" w:eastAsia="de-DE"/>
              </w:rPr>
              <w:t xml:space="preserve"> </w:t>
            </w:r>
            <w:proofErr w:type="spellStart"/>
            <w:r w:rsidRPr="009577DE">
              <w:rPr>
                <w:i/>
                <w:sz w:val="16"/>
                <w:szCs w:val="16"/>
                <w:lang w:val="es-ES_tradnl" w:eastAsia="de-DE"/>
              </w:rPr>
              <w:t>Australian</w:t>
            </w:r>
            <w:proofErr w:type="spellEnd"/>
            <w:r w:rsidRPr="009577DE">
              <w:rPr>
                <w:i/>
                <w:sz w:val="16"/>
                <w:szCs w:val="16"/>
                <w:lang w:val="es-ES_tradnl" w:eastAsia="de-DE"/>
              </w:rPr>
              <w:t xml:space="preserve">, </w:t>
            </w:r>
            <w:proofErr w:type="spellStart"/>
            <w:r w:rsidRPr="009577DE">
              <w:rPr>
                <w:i/>
                <w:sz w:val="16"/>
                <w:szCs w:val="16"/>
                <w:lang w:val="es-ES_tradnl" w:eastAsia="de-DE"/>
              </w:rPr>
              <w:t>Nikkei</w:t>
            </w:r>
            <w:proofErr w:type="spellEnd"/>
            <w:r w:rsidRPr="009577DE">
              <w:rPr>
                <w:i/>
                <w:sz w:val="16"/>
                <w:szCs w:val="16"/>
                <w:lang w:val="es-ES_tradnl" w:eastAsia="de-DE"/>
              </w:rPr>
              <w:t xml:space="preserve"> Business, </w:t>
            </w:r>
            <w:proofErr w:type="spellStart"/>
            <w:r w:rsidRPr="009577DE">
              <w:rPr>
                <w:i/>
                <w:sz w:val="16"/>
                <w:szCs w:val="16"/>
                <w:lang w:val="es-ES_tradnl" w:eastAsia="de-DE"/>
              </w:rPr>
              <w:t>China’s</w:t>
            </w:r>
            <w:proofErr w:type="spellEnd"/>
            <w:r w:rsidRPr="009577DE">
              <w:rPr>
                <w:i/>
                <w:sz w:val="16"/>
                <w:szCs w:val="16"/>
                <w:lang w:val="es-ES_tradnl" w:eastAsia="de-DE"/>
              </w:rPr>
              <w:t xml:space="preserve"> </w:t>
            </w:r>
            <w:proofErr w:type="spellStart"/>
            <w:r w:rsidRPr="009577DE">
              <w:rPr>
                <w:i/>
                <w:sz w:val="16"/>
                <w:szCs w:val="16"/>
                <w:lang w:val="es-ES_tradnl" w:eastAsia="de-DE"/>
              </w:rPr>
              <w:t>People’s</w:t>
            </w:r>
            <w:proofErr w:type="spellEnd"/>
            <w:r w:rsidRPr="009577DE">
              <w:rPr>
                <w:i/>
                <w:sz w:val="16"/>
                <w:szCs w:val="16"/>
                <w:lang w:val="es-ES_tradnl" w:eastAsia="de-DE"/>
              </w:rPr>
              <w:t xml:space="preserve"> </w:t>
            </w:r>
            <w:proofErr w:type="spellStart"/>
            <w:r w:rsidRPr="009577DE">
              <w:rPr>
                <w:i/>
                <w:sz w:val="16"/>
                <w:szCs w:val="16"/>
                <w:lang w:val="es-ES_tradnl" w:eastAsia="de-DE"/>
              </w:rPr>
              <w:t>Daily</w:t>
            </w:r>
            <w:proofErr w:type="spellEnd"/>
            <w:r w:rsidRPr="009577DE">
              <w:rPr>
                <w:i/>
                <w:sz w:val="16"/>
                <w:szCs w:val="16"/>
                <w:lang w:val="es-ES_tradnl" w:eastAsia="de-DE"/>
              </w:rPr>
              <w:t xml:space="preserve">, </w:t>
            </w:r>
            <w:proofErr w:type="spellStart"/>
            <w:r w:rsidRPr="009577DE">
              <w:rPr>
                <w:i/>
                <w:sz w:val="16"/>
                <w:szCs w:val="16"/>
                <w:lang w:val="es-ES_tradnl" w:eastAsia="de-DE"/>
              </w:rPr>
              <w:t>The</w:t>
            </w:r>
            <w:proofErr w:type="spellEnd"/>
            <w:r w:rsidRPr="009577DE">
              <w:rPr>
                <w:i/>
                <w:sz w:val="16"/>
                <w:szCs w:val="16"/>
                <w:lang w:val="es-ES_tradnl" w:eastAsia="de-DE"/>
              </w:rPr>
              <w:t xml:space="preserve"> Times, Jornal do Brasil</w:t>
            </w:r>
            <w:r w:rsidRPr="009577DE">
              <w:rPr>
                <w:sz w:val="16"/>
                <w:szCs w:val="16"/>
                <w:lang w:val="es-ES_tradnl" w:eastAsia="de-DE"/>
              </w:rPr>
              <w:t xml:space="preserve">, así como en periódicos de gran difusión en el Oriente Medio y otros países árabes, y en agencias de noticias como </w:t>
            </w:r>
            <w:proofErr w:type="spellStart"/>
            <w:r w:rsidRPr="009577DE">
              <w:rPr>
                <w:sz w:val="16"/>
                <w:szCs w:val="16"/>
                <w:lang w:val="es-ES_tradnl" w:eastAsia="de-DE"/>
              </w:rPr>
              <w:t>Bloomberg</w:t>
            </w:r>
            <w:proofErr w:type="spellEnd"/>
            <w:r w:rsidRPr="009577DE">
              <w:rPr>
                <w:sz w:val="16"/>
                <w:szCs w:val="16"/>
                <w:lang w:val="es-ES_tradnl" w:eastAsia="de-DE"/>
              </w:rPr>
              <w:t xml:space="preserve">. </w:t>
            </w:r>
          </w:p>
          <w:p w:rsidR="00B070BF" w:rsidRPr="009577DE" w:rsidRDefault="00B070BF" w:rsidP="00C33D4A">
            <w:pPr>
              <w:widowControl w:val="0"/>
              <w:autoSpaceDE w:val="0"/>
              <w:autoSpaceDN w:val="0"/>
              <w:adjustRightInd w:val="0"/>
              <w:rPr>
                <w:sz w:val="16"/>
                <w:szCs w:val="16"/>
                <w:lang w:val="es-ES_tradnl" w:eastAsia="de-DE"/>
              </w:rPr>
            </w:pPr>
          </w:p>
          <w:p w:rsidR="00B070BF" w:rsidRPr="009577DE" w:rsidRDefault="00B070BF" w:rsidP="00C33D4A">
            <w:pPr>
              <w:widowControl w:val="0"/>
              <w:rPr>
                <w:sz w:val="16"/>
                <w:szCs w:val="16"/>
                <w:lang w:val="es-ES_tradnl" w:eastAsia="de-DE"/>
              </w:rPr>
            </w:pPr>
            <w:r w:rsidRPr="009577DE">
              <w:rPr>
                <w:sz w:val="16"/>
                <w:szCs w:val="16"/>
                <w:lang w:val="es-ES_tradnl" w:eastAsia="de-DE"/>
              </w:rPr>
              <w:t xml:space="preserve">En los análisis de los medios de comunicación de </w:t>
            </w:r>
            <w:proofErr w:type="spellStart"/>
            <w:r w:rsidRPr="009577DE">
              <w:rPr>
                <w:sz w:val="16"/>
                <w:szCs w:val="16"/>
                <w:lang w:val="es-ES_tradnl" w:eastAsia="de-DE"/>
              </w:rPr>
              <w:t>Fisheye</w:t>
            </w:r>
            <w:proofErr w:type="spellEnd"/>
            <w:r w:rsidRPr="009577DE">
              <w:rPr>
                <w:sz w:val="16"/>
                <w:szCs w:val="16"/>
                <w:lang w:val="es-ES_tradnl" w:eastAsia="de-DE"/>
              </w:rPr>
              <w:t xml:space="preserve"> </w:t>
            </w:r>
            <w:proofErr w:type="spellStart"/>
            <w:r w:rsidRPr="009577DE">
              <w:rPr>
                <w:sz w:val="16"/>
                <w:szCs w:val="16"/>
                <w:lang w:val="es-ES_tradnl" w:eastAsia="de-DE"/>
              </w:rPr>
              <w:t>Analytics</w:t>
            </w:r>
            <w:proofErr w:type="spellEnd"/>
            <w:r w:rsidRPr="009577DE">
              <w:rPr>
                <w:sz w:val="16"/>
                <w:szCs w:val="16"/>
                <w:lang w:val="es-ES_tradnl" w:eastAsia="de-DE"/>
              </w:rPr>
              <w:t xml:space="preserve"> se señala que, entre el 1 de junio y el 14 de diciembre de 2012, se publicaron unos 5.181 artículos en los que se mencionaba el Índice Mundial de Innovación, que fueron leídos por un número estimado de 434 millones de personas. </w:t>
            </w:r>
          </w:p>
          <w:p w:rsidR="00B070BF" w:rsidRPr="009577DE" w:rsidRDefault="00B070BF" w:rsidP="00C33D4A">
            <w:pPr>
              <w:widowControl w:val="0"/>
              <w:rPr>
                <w:sz w:val="16"/>
                <w:szCs w:val="16"/>
                <w:lang w:val="es-ES_tradnl"/>
              </w:rPr>
            </w:pPr>
          </w:p>
        </w:tc>
        <w:tc>
          <w:tcPr>
            <w:tcW w:w="557" w:type="pct"/>
            <w:shd w:val="clear" w:color="auto" w:fill="auto"/>
            <w:tcMar>
              <w:top w:w="110" w:type="dxa"/>
            </w:tcMar>
          </w:tcPr>
          <w:p w:rsidR="00B070BF" w:rsidRPr="009577DE" w:rsidRDefault="00B070BF" w:rsidP="00C33D4A">
            <w:pPr>
              <w:widowControl w:val="0"/>
              <w:jc w:val="center"/>
              <w:rPr>
                <w:bCs/>
                <w:sz w:val="16"/>
                <w:szCs w:val="16"/>
                <w:lang w:val="es-ES_tradnl"/>
              </w:rPr>
            </w:pPr>
            <w:r w:rsidRPr="009577DE">
              <w:rPr>
                <w:b/>
                <w:color w:val="008000"/>
                <w:sz w:val="16"/>
                <w:szCs w:val="16"/>
                <w:lang w:val="es-ES_tradnl"/>
              </w:rPr>
              <w:t>Progresa con normalidad</w:t>
            </w:r>
          </w:p>
          <w:p w:rsidR="00B070BF" w:rsidRPr="009577DE" w:rsidRDefault="00B070BF" w:rsidP="00C33D4A">
            <w:pPr>
              <w:widowControl w:val="0"/>
              <w:jc w:val="center"/>
              <w:rPr>
                <w:bCs/>
                <w:sz w:val="16"/>
                <w:szCs w:val="16"/>
                <w:lang w:val="es-ES_tradnl"/>
              </w:rPr>
            </w:pPr>
          </w:p>
          <w:p w:rsidR="00B070BF" w:rsidRPr="009577DE" w:rsidRDefault="00B070BF" w:rsidP="00C33D4A">
            <w:pPr>
              <w:widowControl w:val="0"/>
              <w:jc w:val="center"/>
              <w:rPr>
                <w:bCs/>
                <w:sz w:val="16"/>
                <w:szCs w:val="16"/>
                <w:lang w:val="es-ES_tradnl"/>
              </w:rPr>
            </w:pPr>
          </w:p>
        </w:tc>
      </w:tr>
      <w:tr w:rsidR="00B070BF" w:rsidRPr="009577DE" w:rsidTr="00C33D4A">
        <w:trPr>
          <w:cantSplit/>
        </w:trPr>
        <w:tc>
          <w:tcPr>
            <w:tcW w:w="874" w:type="pct"/>
            <w:shd w:val="clear" w:color="auto" w:fill="auto"/>
          </w:tcPr>
          <w:p w:rsidR="00B070BF" w:rsidRPr="009577DE" w:rsidRDefault="00B070BF" w:rsidP="00C33D4A">
            <w:pPr>
              <w:widowControl w:val="0"/>
              <w:spacing w:before="120"/>
              <w:rPr>
                <w:sz w:val="16"/>
                <w:szCs w:val="16"/>
                <w:lang w:val="es-ES_tradnl"/>
              </w:rPr>
            </w:pPr>
            <w:r w:rsidRPr="009577DE">
              <w:rPr>
                <w:sz w:val="16"/>
                <w:szCs w:val="16"/>
                <w:lang w:val="es-ES_tradnl"/>
              </w:rPr>
              <w:t>Número de países en desarrollo que consideran útiles los estudios económicos de la OMPI y grado de utilidad.</w:t>
            </w:r>
          </w:p>
        </w:tc>
        <w:tc>
          <w:tcPr>
            <w:tcW w:w="805" w:type="pct"/>
            <w:shd w:val="clear" w:color="auto" w:fill="C0C0C0"/>
          </w:tcPr>
          <w:p w:rsidR="00B070BF" w:rsidRPr="009577DE" w:rsidRDefault="00B070BF" w:rsidP="00C33D4A">
            <w:pPr>
              <w:widowControl w:val="0"/>
              <w:spacing w:before="120"/>
              <w:rPr>
                <w:sz w:val="16"/>
                <w:szCs w:val="16"/>
                <w:lang w:val="es-ES_tradnl"/>
              </w:rPr>
            </w:pPr>
            <w:r w:rsidRPr="009577DE">
              <w:rPr>
                <w:sz w:val="16"/>
                <w:szCs w:val="16"/>
                <w:lang w:val="es-ES_tradnl"/>
              </w:rPr>
              <w:t>--</w:t>
            </w:r>
          </w:p>
        </w:tc>
        <w:tc>
          <w:tcPr>
            <w:tcW w:w="916" w:type="pct"/>
            <w:shd w:val="clear" w:color="auto" w:fill="auto"/>
            <w:tcMar>
              <w:top w:w="110" w:type="dxa"/>
            </w:tcMar>
          </w:tcPr>
          <w:p w:rsidR="00B070BF" w:rsidRPr="009577DE" w:rsidRDefault="00B070BF" w:rsidP="00C33D4A">
            <w:pPr>
              <w:widowControl w:val="0"/>
              <w:rPr>
                <w:sz w:val="16"/>
                <w:szCs w:val="16"/>
                <w:lang w:val="es-ES_tradnl" w:bidi="th-TH"/>
              </w:rPr>
            </w:pPr>
            <w:r w:rsidRPr="00F2661C">
              <w:rPr>
                <w:color w:val="993300"/>
                <w:sz w:val="16"/>
                <w:szCs w:val="16"/>
                <w:lang w:val="es-ES_tradnl" w:bidi="th-TH"/>
              </w:rPr>
              <w:t>No se dispone de referencia habida cuenta de que estos estudios se finalizarán en 2013</w:t>
            </w:r>
            <w:r w:rsidRPr="009577DE">
              <w:rPr>
                <w:sz w:val="16"/>
                <w:szCs w:val="16"/>
                <w:lang w:val="es-ES_tradnl" w:bidi="th-TH"/>
              </w:rPr>
              <w:t>.</w:t>
            </w:r>
          </w:p>
        </w:tc>
        <w:tc>
          <w:tcPr>
            <w:tcW w:w="1848" w:type="pct"/>
            <w:shd w:val="clear" w:color="auto" w:fill="FFFFFF"/>
            <w:tcMar>
              <w:top w:w="110" w:type="dxa"/>
            </w:tcMar>
          </w:tcPr>
          <w:p w:rsidR="00B070BF" w:rsidRPr="009577DE" w:rsidRDefault="00B070BF" w:rsidP="00C33D4A">
            <w:pPr>
              <w:widowControl w:val="0"/>
              <w:rPr>
                <w:sz w:val="16"/>
                <w:szCs w:val="16"/>
                <w:lang w:val="es-ES_tradnl"/>
              </w:rPr>
            </w:pPr>
            <w:r w:rsidRPr="009577DE">
              <w:rPr>
                <w:sz w:val="16"/>
                <w:szCs w:val="16"/>
                <w:lang w:val="es-ES_tradnl"/>
              </w:rPr>
              <w:t xml:space="preserve">Están en curso seis estudios de países;  los primeros resultados se presentaron a los responsables de la formulación de políticas en 2012;  es pronto para determinar en qué grado a los gobiernos les resultan útiles estos estudios. </w:t>
            </w:r>
          </w:p>
          <w:p w:rsidR="00B070BF" w:rsidRPr="009577DE" w:rsidRDefault="00B070BF" w:rsidP="00C33D4A">
            <w:pPr>
              <w:widowControl w:val="0"/>
              <w:rPr>
                <w:sz w:val="16"/>
                <w:szCs w:val="16"/>
                <w:lang w:val="es-ES_tradnl"/>
              </w:rPr>
            </w:pPr>
          </w:p>
          <w:p w:rsidR="00B070BF" w:rsidRPr="009577DE" w:rsidRDefault="00B070BF" w:rsidP="00C33D4A">
            <w:pPr>
              <w:widowControl w:val="0"/>
              <w:rPr>
                <w:sz w:val="16"/>
                <w:szCs w:val="16"/>
                <w:lang w:val="es-ES_tradnl"/>
              </w:rPr>
            </w:pPr>
          </w:p>
        </w:tc>
        <w:tc>
          <w:tcPr>
            <w:tcW w:w="557" w:type="pct"/>
            <w:shd w:val="clear" w:color="auto" w:fill="auto"/>
            <w:tcMar>
              <w:top w:w="110" w:type="dxa"/>
            </w:tcMar>
          </w:tcPr>
          <w:p w:rsidR="00B070BF" w:rsidRPr="009577DE" w:rsidRDefault="00B070BF" w:rsidP="00C33D4A">
            <w:pPr>
              <w:widowControl w:val="0"/>
              <w:jc w:val="center"/>
              <w:rPr>
                <w:b/>
                <w:sz w:val="16"/>
                <w:szCs w:val="16"/>
                <w:lang w:val="es-ES_tradnl"/>
              </w:rPr>
            </w:pPr>
            <w:r w:rsidRPr="009577DE">
              <w:rPr>
                <w:b/>
                <w:sz w:val="16"/>
                <w:szCs w:val="16"/>
                <w:lang w:val="es-ES_tradnl"/>
              </w:rPr>
              <w:t>No disponible para 2012</w:t>
            </w:r>
          </w:p>
          <w:p w:rsidR="00B070BF" w:rsidRPr="009577DE" w:rsidRDefault="00B070BF" w:rsidP="00C33D4A">
            <w:pPr>
              <w:widowControl w:val="0"/>
              <w:jc w:val="center"/>
              <w:rPr>
                <w:bCs/>
                <w:sz w:val="16"/>
                <w:szCs w:val="16"/>
                <w:lang w:val="es-ES_tradnl"/>
              </w:rPr>
            </w:pPr>
          </w:p>
          <w:p w:rsidR="00B070BF" w:rsidRPr="009577DE" w:rsidRDefault="00B070BF" w:rsidP="00C33D4A">
            <w:pPr>
              <w:widowControl w:val="0"/>
              <w:jc w:val="center"/>
              <w:rPr>
                <w:bCs/>
                <w:sz w:val="16"/>
                <w:szCs w:val="16"/>
                <w:lang w:val="es-ES_tradnl"/>
              </w:rPr>
            </w:pPr>
          </w:p>
        </w:tc>
      </w:tr>
    </w:tbl>
    <w:p w:rsidR="00B070BF" w:rsidRPr="009577DE" w:rsidRDefault="00B070BF" w:rsidP="00B070BF">
      <w:pPr>
        <w:widowControl w:val="0"/>
        <w:rPr>
          <w:b/>
          <w:sz w:val="20"/>
          <w:lang w:val="es-ES_tradnl"/>
        </w:rPr>
      </w:pPr>
    </w:p>
    <w:p w:rsidR="00B070BF" w:rsidRPr="009577DE" w:rsidRDefault="00B070BF" w:rsidP="00B070BF">
      <w:pPr>
        <w:widowControl w:val="0"/>
        <w:rPr>
          <w:sz w:val="20"/>
          <w:szCs w:val="22"/>
          <w:lang w:val="es-ES_tradnl"/>
        </w:rPr>
      </w:pPr>
    </w:p>
    <w:p w:rsidR="00B070BF" w:rsidRPr="009577DE" w:rsidRDefault="00B070BF" w:rsidP="00B070BF">
      <w:pPr>
        <w:widowControl w:val="0"/>
        <w:rPr>
          <w:sz w:val="18"/>
          <w:szCs w:val="18"/>
          <w:lang w:val="es-ES_tradnl"/>
        </w:rPr>
      </w:pPr>
      <w:r w:rsidRPr="009577DE">
        <w:rPr>
          <w:sz w:val="20"/>
          <w:szCs w:val="22"/>
          <w:lang w:val="es-ES_tradnl"/>
        </w:rPr>
        <w:t>PRESUPUESTO Y GASTOS REALES</w:t>
      </w:r>
      <w:r w:rsidRPr="009577DE">
        <w:rPr>
          <w:sz w:val="18"/>
          <w:szCs w:val="18"/>
          <w:lang w:val="es-ES_tradnl"/>
        </w:rPr>
        <w:t xml:space="preserve"> </w:t>
      </w:r>
    </w:p>
    <w:p w:rsidR="00B070BF" w:rsidRPr="006964C6" w:rsidRDefault="00B070BF" w:rsidP="00B070BF">
      <w:pPr>
        <w:widowControl w:val="0"/>
        <w:rPr>
          <w:sz w:val="20"/>
          <w:lang w:val="es-ES_tradnl"/>
        </w:rPr>
      </w:pPr>
    </w:p>
    <w:p w:rsidR="00B070BF" w:rsidRPr="006964C6" w:rsidRDefault="00B070BF" w:rsidP="00B070BF">
      <w:pPr>
        <w:widowControl w:val="0"/>
        <w:jc w:val="center"/>
        <w:rPr>
          <w:sz w:val="20"/>
          <w:lang w:val="es-ES_tradnl"/>
        </w:rPr>
      </w:pPr>
      <w:r w:rsidRPr="006964C6">
        <w:rPr>
          <w:sz w:val="20"/>
          <w:lang w:val="es-ES_tradnl"/>
        </w:rPr>
        <w:t>Presupuesto y gastos reales (por resultado)</w:t>
      </w:r>
    </w:p>
    <w:p w:rsidR="00B070BF" w:rsidRPr="009577DE" w:rsidRDefault="00B070BF" w:rsidP="00B070BF">
      <w:pPr>
        <w:widowControl w:val="0"/>
        <w:jc w:val="center"/>
        <w:rPr>
          <w:sz w:val="18"/>
          <w:szCs w:val="18"/>
          <w:lang w:val="es-ES_tradnl"/>
        </w:rPr>
      </w:pPr>
      <w:r w:rsidRPr="006964C6">
        <w:rPr>
          <w:i/>
          <w:iCs/>
          <w:sz w:val="20"/>
          <w:lang w:val="es-ES_tradnl"/>
        </w:rPr>
        <w:t>(en miles de francos suizos)</w:t>
      </w:r>
      <w:r w:rsidRPr="006964C6">
        <w:rPr>
          <w:i/>
          <w:iCs/>
          <w:sz w:val="20"/>
          <w:lang w:val="es-ES_tradnl"/>
        </w:rPr>
        <w:br/>
      </w:r>
      <w:r w:rsidRPr="006964C6">
        <w:rPr>
          <w:i/>
          <w:iCs/>
          <w:sz w:val="20"/>
          <w:lang w:val="es-ES_tradnl"/>
        </w:rPr>
        <w:br/>
      </w:r>
      <w:r w:rsidRPr="009577DE">
        <w:rPr>
          <w:noProof/>
          <w:lang w:val="en-US" w:eastAsia="en-US"/>
        </w:rPr>
        <w:drawing>
          <wp:inline distT="0" distB="0" distL="0" distR="0" wp14:anchorId="1D5A6431" wp14:editId="2FC25E74">
            <wp:extent cx="5902325" cy="2078355"/>
            <wp:effectExtent l="0" t="0" r="3175" b="0"/>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902325" cy="2078355"/>
                    </a:xfrm>
                    <a:prstGeom prst="rect">
                      <a:avLst/>
                    </a:prstGeom>
                    <a:noFill/>
                    <a:ln>
                      <a:noFill/>
                    </a:ln>
                  </pic:spPr>
                </pic:pic>
              </a:graphicData>
            </a:graphic>
          </wp:inline>
        </w:drawing>
      </w:r>
    </w:p>
    <w:p w:rsidR="00B070BF" w:rsidRPr="009577DE" w:rsidRDefault="00B070BF" w:rsidP="00B070BF">
      <w:pPr>
        <w:widowControl w:val="0"/>
        <w:jc w:val="center"/>
        <w:rPr>
          <w:szCs w:val="22"/>
          <w:lang w:val="es-ES_tradnl"/>
        </w:rPr>
      </w:pPr>
    </w:p>
    <w:p w:rsidR="00B070BF" w:rsidRDefault="00B070BF" w:rsidP="00B070BF">
      <w:pPr>
        <w:rPr>
          <w:sz w:val="20"/>
          <w:lang w:val="es-ES_tradnl"/>
        </w:rPr>
      </w:pPr>
      <w:r>
        <w:rPr>
          <w:sz w:val="20"/>
          <w:lang w:val="es-ES_tradnl"/>
        </w:rPr>
        <w:br w:type="page"/>
      </w:r>
    </w:p>
    <w:p w:rsidR="00B070BF" w:rsidRPr="006964C6" w:rsidRDefault="00B070BF" w:rsidP="00B070BF">
      <w:pPr>
        <w:widowControl w:val="0"/>
        <w:jc w:val="center"/>
        <w:rPr>
          <w:sz w:val="20"/>
          <w:lang w:val="es-ES_tradnl"/>
        </w:rPr>
      </w:pPr>
    </w:p>
    <w:p w:rsidR="00B070BF" w:rsidRPr="009577DE" w:rsidRDefault="00B070BF" w:rsidP="00B070BF">
      <w:pPr>
        <w:widowControl w:val="0"/>
        <w:jc w:val="center"/>
        <w:rPr>
          <w:sz w:val="20"/>
          <w:lang w:val="es-ES_tradnl"/>
        </w:rPr>
      </w:pPr>
      <w:r w:rsidRPr="006964C6">
        <w:rPr>
          <w:sz w:val="20"/>
          <w:lang w:val="es-ES_tradnl"/>
        </w:rPr>
        <w:t>Presupuesto y gastos reales (de personal y no relativos al personal)</w:t>
      </w:r>
      <w:r w:rsidRPr="006964C6">
        <w:rPr>
          <w:sz w:val="20"/>
          <w:lang w:val="es-ES_tradnl"/>
        </w:rPr>
        <w:br/>
      </w:r>
      <w:r w:rsidRPr="006964C6">
        <w:rPr>
          <w:i/>
          <w:sz w:val="20"/>
          <w:lang w:val="es-ES_tradnl"/>
        </w:rPr>
        <w:t>(en miles de francos suizos)</w:t>
      </w:r>
      <w:r w:rsidRPr="006964C6">
        <w:rPr>
          <w:sz w:val="20"/>
          <w:lang w:val="es-ES_tradnl"/>
        </w:rPr>
        <w:br/>
      </w:r>
      <w:r w:rsidRPr="006964C6">
        <w:rPr>
          <w:sz w:val="20"/>
          <w:lang w:val="es-ES_tradnl"/>
        </w:rPr>
        <w:br/>
      </w:r>
      <w:r w:rsidRPr="009577DE">
        <w:rPr>
          <w:noProof/>
          <w:lang w:val="en-US" w:eastAsia="en-US"/>
        </w:rPr>
        <w:drawing>
          <wp:inline distT="0" distB="0" distL="0" distR="0" wp14:anchorId="4EAE59E3" wp14:editId="11BB39D3">
            <wp:extent cx="5902325" cy="1211580"/>
            <wp:effectExtent l="0" t="0" r="3175" b="7620"/>
            <wp:docPr id="229"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902325" cy="1211580"/>
                    </a:xfrm>
                    <a:prstGeom prst="rect">
                      <a:avLst/>
                    </a:prstGeom>
                    <a:noFill/>
                    <a:ln>
                      <a:noFill/>
                    </a:ln>
                  </pic:spPr>
                </pic:pic>
              </a:graphicData>
            </a:graphic>
          </wp:inline>
        </w:drawing>
      </w:r>
    </w:p>
    <w:p w:rsidR="00B070BF" w:rsidRPr="009577DE" w:rsidRDefault="00B070BF" w:rsidP="00B070BF">
      <w:pPr>
        <w:widowControl w:val="0"/>
        <w:rPr>
          <w:sz w:val="20"/>
          <w:lang w:val="es-ES_tradnl"/>
        </w:rPr>
      </w:pPr>
    </w:p>
    <w:p w:rsidR="00B070BF" w:rsidRPr="009577DE" w:rsidRDefault="00B070BF" w:rsidP="00B070BF">
      <w:pPr>
        <w:widowControl w:val="0"/>
        <w:autoSpaceDE w:val="0"/>
        <w:autoSpaceDN w:val="0"/>
        <w:adjustRightInd w:val="0"/>
        <w:rPr>
          <w:sz w:val="16"/>
          <w:szCs w:val="16"/>
          <w:lang w:val="es-ES_tradnl"/>
        </w:rPr>
      </w:pPr>
      <w:r w:rsidRPr="007C3E0F">
        <w:rPr>
          <w:sz w:val="16"/>
          <w:szCs w:val="16"/>
          <w:lang w:val="es-ES_tradnl"/>
        </w:rPr>
        <w:t>NOTAS:</w:t>
      </w:r>
    </w:p>
    <w:p w:rsidR="00B070BF" w:rsidRPr="009577DE" w:rsidRDefault="00B070BF" w:rsidP="00B070BF">
      <w:pPr>
        <w:widowControl w:val="0"/>
        <w:autoSpaceDE w:val="0"/>
        <w:autoSpaceDN w:val="0"/>
        <w:adjustRightInd w:val="0"/>
        <w:rPr>
          <w:sz w:val="16"/>
          <w:szCs w:val="16"/>
          <w:lang w:val="es-ES_tradnl"/>
        </w:rPr>
      </w:pPr>
    </w:p>
    <w:p w:rsidR="00B070BF" w:rsidRPr="009577DE" w:rsidRDefault="00B070BF" w:rsidP="00B070BF">
      <w:pPr>
        <w:widowControl w:val="0"/>
        <w:autoSpaceDE w:val="0"/>
        <w:autoSpaceDN w:val="0"/>
        <w:adjustRightInd w:val="0"/>
        <w:rPr>
          <w:sz w:val="16"/>
          <w:szCs w:val="16"/>
          <w:lang w:val="es-ES_tradnl"/>
        </w:rPr>
      </w:pPr>
      <w:r w:rsidRPr="009577DE">
        <w:rPr>
          <w:sz w:val="16"/>
          <w:szCs w:val="16"/>
          <w:lang w:val="es-ES_tradnl"/>
        </w:rPr>
        <w:t>1) El presupuesto después de las transferencias refleja el presupuesto de los programas ajustado después de las transferencias efectuadas en 2012/13 en virtud del artículo 5.5 del Reglamento Financiero.</w:t>
      </w:r>
    </w:p>
    <w:p w:rsidR="00B070BF" w:rsidRPr="009577DE" w:rsidRDefault="00B070BF" w:rsidP="00B070BF">
      <w:pPr>
        <w:widowControl w:val="0"/>
        <w:autoSpaceDE w:val="0"/>
        <w:autoSpaceDN w:val="0"/>
        <w:adjustRightInd w:val="0"/>
        <w:rPr>
          <w:sz w:val="16"/>
          <w:szCs w:val="16"/>
          <w:lang w:val="es-ES_tradnl"/>
        </w:rPr>
      </w:pPr>
    </w:p>
    <w:p w:rsidR="00B070BF" w:rsidRPr="009577DE" w:rsidRDefault="00B070BF" w:rsidP="00B070BF">
      <w:pPr>
        <w:widowControl w:val="0"/>
        <w:autoSpaceDE w:val="0"/>
        <w:autoSpaceDN w:val="0"/>
        <w:adjustRightInd w:val="0"/>
        <w:rPr>
          <w:sz w:val="16"/>
          <w:szCs w:val="16"/>
          <w:lang w:val="es-ES_tradnl"/>
        </w:rPr>
      </w:pPr>
      <w:r w:rsidRPr="009577DE">
        <w:rPr>
          <w:sz w:val="16"/>
          <w:szCs w:val="16"/>
          <w:lang w:val="es-ES_tradnl"/>
        </w:rPr>
        <w:t xml:space="preserve">2) La asignación para el personal del presupuesto de 2012/13 después de las transferencias representa los gastos reales efectuados hasta el 31 de marzo de 2013 y los importes presupuestados para los nueve meses restantes de 2013, sobre la base de costos estándar. </w:t>
      </w:r>
    </w:p>
    <w:p w:rsidR="00B070BF" w:rsidRPr="009577DE" w:rsidRDefault="00B070BF" w:rsidP="00B070BF">
      <w:pPr>
        <w:widowControl w:val="0"/>
        <w:autoSpaceDE w:val="0"/>
        <w:autoSpaceDN w:val="0"/>
        <w:adjustRightInd w:val="0"/>
        <w:rPr>
          <w:sz w:val="16"/>
          <w:szCs w:val="16"/>
          <w:lang w:val="es-ES_tradnl"/>
        </w:rPr>
      </w:pPr>
    </w:p>
    <w:p w:rsidR="00B070BF" w:rsidRPr="009577DE" w:rsidRDefault="00B070BF" w:rsidP="00B070BF">
      <w:pPr>
        <w:widowControl w:val="0"/>
        <w:autoSpaceDE w:val="0"/>
        <w:autoSpaceDN w:val="0"/>
        <w:adjustRightInd w:val="0"/>
        <w:rPr>
          <w:sz w:val="16"/>
          <w:szCs w:val="16"/>
          <w:lang w:val="es-ES_tradnl"/>
        </w:rPr>
      </w:pPr>
      <w:r w:rsidRPr="009577DE">
        <w:rPr>
          <w:sz w:val="16"/>
          <w:szCs w:val="16"/>
          <w:lang w:val="es-ES_tradnl"/>
        </w:rPr>
        <w:t>3) La asignación no relativa al personal del presupuesto de 2012/13 después de las transferencias refleja los ajustes a la baja efectuados para aumentar la eficacia en función de los costos, de conformidad con el compromiso de la Organización de reducir gastos por un importe de 10,2 millones de francos suizos en el bienio 2012/13.</w:t>
      </w:r>
    </w:p>
    <w:p w:rsidR="00B070BF" w:rsidRPr="009577DE" w:rsidRDefault="00B070BF" w:rsidP="00B070BF">
      <w:pPr>
        <w:widowControl w:val="0"/>
        <w:autoSpaceDE w:val="0"/>
        <w:autoSpaceDN w:val="0"/>
        <w:adjustRightInd w:val="0"/>
        <w:rPr>
          <w:sz w:val="20"/>
          <w:lang w:val="es-ES_tradnl"/>
        </w:rPr>
      </w:pPr>
    </w:p>
    <w:p w:rsidR="00B070BF" w:rsidRPr="009577DE" w:rsidRDefault="00B070BF" w:rsidP="00B070BF">
      <w:pPr>
        <w:widowControl w:val="0"/>
        <w:autoSpaceDE w:val="0"/>
        <w:autoSpaceDN w:val="0"/>
        <w:adjustRightInd w:val="0"/>
        <w:rPr>
          <w:sz w:val="20"/>
          <w:lang w:val="es-ES_tradnl"/>
        </w:rPr>
      </w:pPr>
    </w:p>
    <w:p w:rsidR="00B070BF" w:rsidRPr="00BF0B56" w:rsidRDefault="00B070BF" w:rsidP="00B070BF">
      <w:pPr>
        <w:widowControl w:val="0"/>
        <w:rPr>
          <w:sz w:val="20"/>
          <w:u w:val="single"/>
          <w:lang w:val="es-ES_tradnl"/>
        </w:rPr>
      </w:pPr>
      <w:r w:rsidRPr="00BF0B56">
        <w:rPr>
          <w:sz w:val="20"/>
          <w:lang w:val="es-ES_tradnl"/>
        </w:rPr>
        <w:t xml:space="preserve">A.  </w:t>
      </w:r>
      <w:r w:rsidRPr="00BF0B56">
        <w:rPr>
          <w:sz w:val="20"/>
          <w:u w:val="single"/>
          <w:lang w:val="es-ES_tradnl"/>
        </w:rPr>
        <w:t>Presupuesto 2012/13 después de las transferencias</w:t>
      </w:r>
    </w:p>
    <w:p w:rsidR="00B070BF" w:rsidRPr="009577DE" w:rsidRDefault="00B070BF" w:rsidP="00B070BF">
      <w:pPr>
        <w:widowControl w:val="0"/>
        <w:rPr>
          <w:sz w:val="20"/>
          <w:u w:val="single"/>
          <w:lang w:val="es-ES_tradnl"/>
        </w:rPr>
      </w:pPr>
    </w:p>
    <w:p w:rsidR="00B070BF" w:rsidRPr="009577DE" w:rsidRDefault="00B070BF" w:rsidP="00B070BF">
      <w:pPr>
        <w:widowControl w:val="0"/>
        <w:numPr>
          <w:ilvl w:val="0"/>
          <w:numId w:val="34"/>
        </w:numPr>
        <w:jc w:val="both"/>
        <w:rPr>
          <w:sz w:val="20"/>
          <w:lang w:val="es-ES_tradnl"/>
        </w:rPr>
      </w:pPr>
      <w:r w:rsidRPr="009577DE">
        <w:rPr>
          <w:sz w:val="20"/>
          <w:lang w:val="es-ES_tradnl"/>
        </w:rPr>
        <w:t xml:space="preserve">Se asignaron recursos adicionales a este programa en el marco del resultado III.6 (Integración de la Agenda para el Desarrollo) y del resultado V.I (Clasificaciones internacionales y normas técnicas de la OMPI) destinados al proyecto revisado de propuesta para el proyecto de la Agenda para el Desarrollo sobre la P.I. y la fuga de cerebros, aprobado por el CDIP en su sesión de mayo de 2012.  También se asignaron recursos adicionales a los resultados V.1 y IV.2 (Mejora en el acceso y la utilización de la información y los conocimientos sobre P.I.) con objeto de reflejar el mayor énfasis puesto en las actividades relacionadas con los estudios y análisis económicos y la publicación del </w:t>
      </w:r>
      <w:r w:rsidRPr="009577DE">
        <w:rPr>
          <w:i/>
          <w:sz w:val="20"/>
          <w:lang w:val="es-ES_tradnl"/>
        </w:rPr>
        <w:t>Informe Mundial sobre la P.I.</w:t>
      </w:r>
      <w:r w:rsidRPr="009577DE">
        <w:rPr>
          <w:sz w:val="20"/>
          <w:lang w:val="es-ES_tradnl"/>
        </w:rPr>
        <w:t xml:space="preserve"> y el </w:t>
      </w:r>
      <w:r w:rsidRPr="009577DE">
        <w:rPr>
          <w:i/>
          <w:sz w:val="20"/>
          <w:lang w:val="es-ES_tradnl"/>
        </w:rPr>
        <w:t>Informe sobre el Índice Mundial de Innovación</w:t>
      </w:r>
      <w:r w:rsidRPr="009577DE">
        <w:rPr>
          <w:sz w:val="20"/>
          <w:lang w:val="es-ES_tradnl"/>
        </w:rPr>
        <w:t>, así como los proyectos de la Agenda para el Desarrollo sobre la P.I. y el desarrollo socioeconómico y la P.I. y la economía informal.</w:t>
      </w:r>
    </w:p>
    <w:p w:rsidR="00B070BF" w:rsidRPr="009577DE" w:rsidRDefault="00B070BF" w:rsidP="00B070BF">
      <w:pPr>
        <w:widowControl w:val="0"/>
        <w:jc w:val="both"/>
        <w:rPr>
          <w:sz w:val="20"/>
          <w:lang w:val="es-ES_tradnl"/>
        </w:rPr>
      </w:pPr>
    </w:p>
    <w:p w:rsidR="00B070BF" w:rsidRPr="009577DE" w:rsidRDefault="00B070BF" w:rsidP="00B070BF">
      <w:pPr>
        <w:widowControl w:val="0"/>
        <w:jc w:val="both"/>
        <w:rPr>
          <w:sz w:val="20"/>
          <w:u w:val="single"/>
          <w:lang w:val="es-ES_tradnl"/>
        </w:rPr>
      </w:pPr>
      <w:r w:rsidRPr="00BF0B56">
        <w:rPr>
          <w:sz w:val="20"/>
          <w:lang w:val="es-ES_tradnl"/>
        </w:rPr>
        <w:t xml:space="preserve">B.  </w:t>
      </w:r>
      <w:r w:rsidRPr="009577DE">
        <w:rPr>
          <w:sz w:val="20"/>
          <w:u w:val="single"/>
          <w:lang w:val="es-ES_tradnl"/>
        </w:rPr>
        <w:t>Utilización del presupuesto 2012</w:t>
      </w:r>
    </w:p>
    <w:p w:rsidR="00B070BF" w:rsidRPr="009577DE" w:rsidRDefault="00B070BF" w:rsidP="00B070BF">
      <w:pPr>
        <w:widowControl w:val="0"/>
        <w:jc w:val="both"/>
        <w:rPr>
          <w:b/>
          <w:bCs/>
          <w:sz w:val="20"/>
          <w:lang w:val="es-ES_tradnl"/>
        </w:rPr>
      </w:pPr>
    </w:p>
    <w:p w:rsidR="00B070BF" w:rsidRPr="009577DE" w:rsidRDefault="00B070BF" w:rsidP="00B070BF">
      <w:pPr>
        <w:widowControl w:val="0"/>
        <w:numPr>
          <w:ilvl w:val="0"/>
          <w:numId w:val="34"/>
        </w:numPr>
        <w:jc w:val="both"/>
        <w:rPr>
          <w:sz w:val="20"/>
          <w:lang w:val="es-ES_tradnl"/>
        </w:rPr>
      </w:pPr>
      <w:r w:rsidRPr="009577DE">
        <w:rPr>
          <w:sz w:val="20"/>
          <w:lang w:val="es-ES_tradnl"/>
        </w:rPr>
        <w:t>La utilización del presupuesto se mantiene entre el 40% y el 60% en el primer año del bienio y progresa con normalidad.  El índice de utilización de los recursos no relativos al personal es bajo debido, en gran medida, al proyecto de la Agenda para el Desarrollo sobre la P.I. y la fuga de cerebros, la mayor parte de cuyas actividades está previsto que tengan lugar el segundo año del bienio.</w:t>
      </w:r>
    </w:p>
    <w:p w:rsidR="00B070BF" w:rsidRPr="009577DE" w:rsidRDefault="00B070BF" w:rsidP="00B070BF">
      <w:pPr>
        <w:widowControl w:val="0"/>
        <w:jc w:val="both"/>
        <w:rPr>
          <w:sz w:val="20"/>
          <w:lang w:val="es-ES_tradnl"/>
        </w:rPr>
      </w:pPr>
    </w:p>
    <w:p w:rsidR="00B070BF" w:rsidRPr="009577DE" w:rsidRDefault="00B070BF" w:rsidP="00B070BF">
      <w:pPr>
        <w:widowControl w:val="0"/>
        <w:rPr>
          <w:b/>
          <w:sz w:val="20"/>
          <w:lang w:val="es-ES_tradnl"/>
        </w:rPr>
      </w:pPr>
    </w:p>
    <w:p w:rsidR="00B070BF" w:rsidRPr="009577DE" w:rsidRDefault="00B070BF" w:rsidP="00B070BF">
      <w:pPr>
        <w:pStyle w:val="Heading2"/>
        <w:tabs>
          <w:tab w:val="left" w:pos="2835"/>
        </w:tabs>
        <w:rPr>
          <w:b/>
          <w:lang w:val="es-ES_tradnl"/>
        </w:rPr>
      </w:pPr>
      <w:r w:rsidRPr="009577DE">
        <w:rPr>
          <w:lang w:val="es-ES_tradnl"/>
        </w:rPr>
        <w:br w:type="page"/>
      </w:r>
      <w:bookmarkStart w:id="46" w:name="_Toc359846803"/>
      <w:bookmarkStart w:id="47" w:name="_Toc359949327"/>
      <w:r w:rsidRPr="009577DE">
        <w:rPr>
          <w:b/>
          <w:lang w:val="es-ES_tradnl"/>
        </w:rPr>
        <w:lastRenderedPageBreak/>
        <w:t>PROGRAMA 17</w:t>
      </w:r>
      <w:r w:rsidRPr="009577DE">
        <w:rPr>
          <w:b/>
          <w:lang w:val="es-ES_tradnl"/>
        </w:rPr>
        <w:tab/>
        <w:t>CULTIVAR EL RESPETO POR LA P.I.</w:t>
      </w:r>
      <w:bookmarkEnd w:id="46"/>
      <w:bookmarkEnd w:id="47"/>
    </w:p>
    <w:p w:rsidR="00B070BF" w:rsidRPr="009577DE" w:rsidRDefault="00B070BF" w:rsidP="00B070BF">
      <w:pPr>
        <w:widowControl w:val="0"/>
        <w:rPr>
          <w:sz w:val="20"/>
          <w:lang w:val="es-ES_tradnl"/>
        </w:rPr>
      </w:pPr>
    </w:p>
    <w:p w:rsidR="00B070BF" w:rsidRPr="009577DE" w:rsidRDefault="00B070BF" w:rsidP="00B070BF">
      <w:pPr>
        <w:widowControl w:val="0"/>
        <w:rPr>
          <w:sz w:val="20"/>
          <w:lang w:val="es-ES_tradnl"/>
        </w:rPr>
      </w:pPr>
    </w:p>
    <w:p w:rsidR="00B070BF" w:rsidRPr="009577DE" w:rsidRDefault="00B070BF" w:rsidP="00B070BF">
      <w:pPr>
        <w:widowControl w:val="0"/>
        <w:tabs>
          <w:tab w:val="left" w:pos="2268"/>
        </w:tabs>
        <w:rPr>
          <w:b/>
          <w:szCs w:val="22"/>
          <w:lang w:val="es-ES_tradnl"/>
        </w:rPr>
      </w:pPr>
      <w:r w:rsidRPr="009577DE">
        <w:rPr>
          <w:b/>
          <w:szCs w:val="22"/>
          <w:lang w:val="es-ES_tradnl"/>
        </w:rPr>
        <w:t>Director del Programa</w:t>
      </w:r>
      <w:r w:rsidRPr="009577DE">
        <w:rPr>
          <w:szCs w:val="22"/>
          <w:lang w:val="es-ES_tradnl"/>
        </w:rPr>
        <w:tab/>
      </w:r>
      <w:r w:rsidRPr="009577DE">
        <w:rPr>
          <w:b/>
          <w:szCs w:val="22"/>
          <w:lang w:val="es-ES_tradnl"/>
        </w:rPr>
        <w:t>Sr. J.</w:t>
      </w:r>
      <w:r>
        <w:rPr>
          <w:b/>
          <w:szCs w:val="22"/>
          <w:lang w:val="es-ES_tradnl"/>
        </w:rPr>
        <w:t xml:space="preserve"> </w:t>
      </w:r>
      <w:r w:rsidRPr="009577DE">
        <w:rPr>
          <w:b/>
          <w:szCs w:val="22"/>
          <w:lang w:val="es-ES_tradnl"/>
        </w:rPr>
        <w:t>C. Wichard</w:t>
      </w:r>
    </w:p>
    <w:p w:rsidR="00B070BF" w:rsidRPr="009577DE" w:rsidRDefault="00B070BF" w:rsidP="00B070BF">
      <w:pPr>
        <w:widowControl w:val="0"/>
        <w:rPr>
          <w:sz w:val="20"/>
          <w:lang w:val="es-ES_tradnl"/>
        </w:rPr>
      </w:pPr>
    </w:p>
    <w:p w:rsidR="00B070BF" w:rsidRPr="009577DE" w:rsidRDefault="00B070BF" w:rsidP="00B070BF">
      <w:pPr>
        <w:widowControl w:val="0"/>
        <w:rPr>
          <w:bCs/>
          <w:sz w:val="20"/>
          <w:lang w:val="es-ES_tradnl"/>
        </w:rPr>
      </w:pPr>
    </w:p>
    <w:p w:rsidR="00B070BF" w:rsidRPr="009577DE" w:rsidRDefault="00B070BF" w:rsidP="00B070BF">
      <w:pPr>
        <w:widowControl w:val="0"/>
        <w:spacing w:line="260" w:lineRule="atLeast"/>
        <w:rPr>
          <w:bCs/>
          <w:szCs w:val="22"/>
          <w:lang w:val="es-ES_tradnl"/>
        </w:rPr>
      </w:pPr>
      <w:r w:rsidRPr="009577DE">
        <w:rPr>
          <w:bCs/>
          <w:sz w:val="20"/>
          <w:szCs w:val="22"/>
          <w:lang w:val="es-ES_tradnl"/>
        </w:rPr>
        <w:t>RESEÑA DE LOS AVANCES LOGRADOS EN 2012</w:t>
      </w:r>
    </w:p>
    <w:p w:rsidR="00B070BF" w:rsidRPr="009577DE" w:rsidRDefault="00B070BF" w:rsidP="00B070BF">
      <w:pPr>
        <w:widowControl w:val="0"/>
        <w:jc w:val="both"/>
        <w:rPr>
          <w:szCs w:val="22"/>
          <w:lang w:val="es-ES_tradnl"/>
        </w:rPr>
      </w:pPr>
    </w:p>
    <w:p w:rsidR="00B070BF" w:rsidRPr="009577DE" w:rsidRDefault="00B070BF" w:rsidP="00B070BF">
      <w:pPr>
        <w:widowControl w:val="0"/>
        <w:numPr>
          <w:ilvl w:val="0"/>
          <w:numId w:val="9"/>
        </w:numPr>
        <w:jc w:val="both"/>
        <w:rPr>
          <w:sz w:val="20"/>
          <w:lang w:val="es-ES_tradnl" w:bidi="th-TH"/>
        </w:rPr>
      </w:pPr>
      <w:r w:rsidRPr="009577DE">
        <w:rPr>
          <w:sz w:val="20"/>
          <w:lang w:val="es-ES_tradnl" w:bidi="th-TH"/>
        </w:rPr>
        <w:t>Mediante un proceso de consulta, el programa logró reavivar la confianza de los Estados miembros y observadores del Comité Asesor sobre Observancia (ACE) de la OMPI como foro propicio para mantener un diálogo constructivo sobre políticas e intercambiar experiencias en la promoción del respeto por la propiedad intelectual.  La octava sesión del ACE se caracterizó por un espíritu de cooperación a la hora de identificar las causas, incluidas las variables socioeconómicas, que explican las contravenciones de los derechos de P.I., estudiar los métodos analíticos más adecuados para medir las consecuencias de la falsificación y la piratería, y analizar modelos alternativos para hacer frente a este creciente fenómeno.  Los Estados miembros acordaron un programa de trabajo para la novena sesión del ACE que incluiría tanto mecanismos alternativos de resolución de conflictos en el ámbito de la P.I. como actuaciones de carácter preventivo y medidas o experiencias exitosas para reforzar la aplicación de las medidas de observancia.</w:t>
      </w:r>
    </w:p>
    <w:p w:rsidR="00B070BF" w:rsidRPr="009577DE" w:rsidRDefault="00B070BF" w:rsidP="00B070BF">
      <w:pPr>
        <w:widowControl w:val="0"/>
        <w:jc w:val="both"/>
        <w:rPr>
          <w:sz w:val="20"/>
          <w:lang w:val="es-ES_tradnl" w:bidi="th-TH"/>
        </w:rPr>
      </w:pPr>
    </w:p>
    <w:p w:rsidR="00B070BF" w:rsidRPr="009577DE" w:rsidRDefault="00B070BF" w:rsidP="00B070BF">
      <w:pPr>
        <w:widowControl w:val="0"/>
        <w:numPr>
          <w:ilvl w:val="0"/>
          <w:numId w:val="9"/>
        </w:numPr>
        <w:jc w:val="both"/>
        <w:rPr>
          <w:sz w:val="20"/>
          <w:lang w:bidi="th-TH"/>
        </w:rPr>
      </w:pPr>
      <w:r w:rsidRPr="009577DE">
        <w:rPr>
          <w:sz w:val="20"/>
          <w:lang w:val="es-ES_tradnl" w:bidi="th-TH"/>
        </w:rPr>
        <w:t>El programa siguió respondiendo a la creciente demanda de asistencia legislativa por parte de los Estados miembros (</w:t>
      </w:r>
      <w:r w:rsidRPr="009577DE">
        <w:rPr>
          <w:rFonts w:eastAsia="MS Mincho" w:cs="ArialMT"/>
          <w:sz w:val="20"/>
          <w:lang w:val="es-ES_tradnl" w:eastAsia="ja-JP" w:bidi="th-TH"/>
        </w:rPr>
        <w:t>países en desarrollo</w:t>
      </w:r>
      <w:r w:rsidRPr="009577DE">
        <w:rPr>
          <w:sz w:val="20"/>
          <w:lang w:val="es-ES_tradnl" w:bidi="th-TH"/>
        </w:rPr>
        <w:t xml:space="preserve"> y PMA) para reforzar el marco jurídico a nivel nacional y regional y de este modo cumplir las normas y obligaciones enumeradas en la Parte III del Acuerdo sobre los ADPIC.  </w:t>
      </w:r>
      <w:r w:rsidRPr="009577DE">
        <w:rPr>
          <w:sz w:val="20"/>
          <w:lang w:bidi="th-TH"/>
        </w:rPr>
        <w:t xml:space="preserve">Al prestar este tipo de asistencia, el programa hizo hincapié de forma sistemática en las flexibilidades y opciones que contiene la Parte III y, de conformidad con la </w:t>
      </w:r>
      <w:r w:rsidRPr="009577DE">
        <w:rPr>
          <w:sz w:val="20"/>
        </w:rPr>
        <w:t>recomendación</w:t>
      </w:r>
      <w:r w:rsidRPr="009577DE">
        <w:rPr>
          <w:sz w:val="20"/>
          <w:lang w:bidi="th-TH"/>
        </w:rPr>
        <w:t xml:space="preserve"> 45 de la Agenda para el Desarrollo, insistió en la necesidad de tener en cuenta los aspectos más amplios y orientados a promover el desarrollo al aplicar las disposiciones relativas a la observancia. Asimismo, el programa atendió a numerosas solicitudes de actividades de fortalecimiento de capacidades, asegurándose en todo momento de que el contenido de las mismas reflejara de forma adecuada los aspectos socioeconómicos y respetara el equilibrio entre los derechos privados y el interés general.  El programa 17 recibió un creciente número de solicitudes de asistencia para fomentar la concienciación acerca de la importancia de la P.I., incluidas herramientas, publicaciones y material de divulgación. </w:t>
      </w:r>
    </w:p>
    <w:p w:rsidR="00B070BF" w:rsidRPr="009577DE" w:rsidRDefault="00B070BF" w:rsidP="00B070BF">
      <w:pPr>
        <w:widowControl w:val="0"/>
        <w:jc w:val="both"/>
        <w:rPr>
          <w:sz w:val="20"/>
          <w:lang w:bidi="th-TH"/>
        </w:rPr>
      </w:pPr>
    </w:p>
    <w:p w:rsidR="00B070BF" w:rsidRPr="009577DE" w:rsidRDefault="00B070BF" w:rsidP="00B070BF">
      <w:pPr>
        <w:widowControl w:val="0"/>
        <w:numPr>
          <w:ilvl w:val="0"/>
          <w:numId w:val="9"/>
        </w:numPr>
        <w:jc w:val="both"/>
        <w:rPr>
          <w:sz w:val="20"/>
          <w:lang w:bidi="th-TH"/>
        </w:rPr>
      </w:pPr>
      <w:r w:rsidRPr="009577DE">
        <w:rPr>
          <w:sz w:val="20"/>
          <w:lang w:bidi="th-TH"/>
        </w:rPr>
        <w:t xml:space="preserve">Con el fin de garantizar la inclusión de los aspectos relacionados con el desarrollo en las líneas de trabajo de las organizaciones colaboradoras, el programa siguió cooperando y ejerciendo labores de coordinación con organizaciones intergubernamentales y no gubernamentales, asociaciones de sectores interesados e instituciones académicas.  En todas sus actividades, el programa ha procurado satisfacer las necesidades tanto de la sociedad civil como de la industria, una estrategia secundada por las organizaciones colaboradoras. </w:t>
      </w:r>
    </w:p>
    <w:p w:rsidR="00B070BF" w:rsidRPr="009577DE" w:rsidRDefault="00B070BF" w:rsidP="00B070BF">
      <w:pPr>
        <w:widowControl w:val="0"/>
        <w:jc w:val="both"/>
        <w:rPr>
          <w:szCs w:val="22"/>
        </w:rPr>
      </w:pPr>
    </w:p>
    <w:p w:rsidR="00B070BF" w:rsidRPr="009577DE" w:rsidRDefault="00B070BF" w:rsidP="00B070BF">
      <w:pPr>
        <w:widowControl w:val="0"/>
        <w:jc w:val="both"/>
        <w:rPr>
          <w:bCs/>
          <w:szCs w:val="22"/>
        </w:rPr>
      </w:pPr>
    </w:p>
    <w:p w:rsidR="00B070BF" w:rsidRPr="009577DE" w:rsidRDefault="00B070BF" w:rsidP="00B070BF">
      <w:pPr>
        <w:widowControl w:val="0"/>
        <w:jc w:val="both"/>
        <w:rPr>
          <w:bCs/>
          <w:szCs w:val="22"/>
          <w:lang w:val="pt-BR"/>
        </w:rPr>
      </w:pPr>
      <w:r w:rsidRPr="009577DE">
        <w:rPr>
          <w:bCs/>
          <w:sz w:val="20"/>
          <w:szCs w:val="22"/>
          <w:lang w:val="es-ES_tradnl"/>
        </w:rPr>
        <w:t>APLICACIÓN DE LA AGENDA PARA EL DESARROLLO</w:t>
      </w:r>
      <w:r w:rsidRPr="009577DE">
        <w:rPr>
          <w:bCs/>
          <w:sz w:val="20"/>
          <w:szCs w:val="22"/>
          <w:lang w:val="pt-BR"/>
        </w:rPr>
        <w:t xml:space="preserve"> </w:t>
      </w:r>
    </w:p>
    <w:p w:rsidR="00B070BF" w:rsidRPr="009577DE" w:rsidRDefault="00B070BF" w:rsidP="00B070BF">
      <w:pPr>
        <w:widowControl w:val="0"/>
        <w:rPr>
          <w:szCs w:val="22"/>
          <w:lang w:val="es-ES_tradnl"/>
        </w:rPr>
      </w:pPr>
    </w:p>
    <w:p w:rsidR="00B070BF" w:rsidRPr="009577DE" w:rsidRDefault="00B070BF" w:rsidP="00B070BF">
      <w:pPr>
        <w:widowControl w:val="0"/>
        <w:numPr>
          <w:ilvl w:val="0"/>
          <w:numId w:val="9"/>
        </w:numPr>
        <w:jc w:val="both"/>
        <w:rPr>
          <w:bCs/>
          <w:iCs/>
          <w:sz w:val="20"/>
        </w:rPr>
      </w:pPr>
      <w:r w:rsidRPr="009577DE">
        <w:rPr>
          <w:sz w:val="20"/>
          <w:lang w:val="es-ES_tradnl"/>
        </w:rPr>
        <w:t>El diseño, la planificación y la ejecución de las actividades del programa 17 se basaron en las recomendaciones pertinentes de la Agenda para el Desarrollo</w:t>
      </w:r>
      <w:r w:rsidRPr="009577DE">
        <w:rPr>
          <w:bCs/>
          <w:iCs/>
          <w:sz w:val="20"/>
        </w:rPr>
        <w:t>, en par</w:t>
      </w:r>
      <w:r>
        <w:rPr>
          <w:bCs/>
          <w:iCs/>
          <w:sz w:val="20"/>
        </w:rPr>
        <w:t>ticular las recomendaciones 1 y </w:t>
      </w:r>
      <w:r w:rsidRPr="009577DE">
        <w:rPr>
          <w:bCs/>
          <w:iCs/>
          <w:sz w:val="20"/>
        </w:rPr>
        <w:t xml:space="preserve">45.  </w:t>
      </w:r>
    </w:p>
    <w:p w:rsidR="00B070BF" w:rsidRPr="009577DE" w:rsidRDefault="00B070BF" w:rsidP="00B070BF">
      <w:pPr>
        <w:widowControl w:val="0"/>
        <w:jc w:val="both"/>
        <w:rPr>
          <w:bCs/>
          <w:iCs/>
          <w:sz w:val="20"/>
        </w:rPr>
      </w:pPr>
    </w:p>
    <w:p w:rsidR="00B070BF" w:rsidRPr="009577DE" w:rsidRDefault="00B070BF" w:rsidP="00B070BF">
      <w:pPr>
        <w:widowControl w:val="0"/>
        <w:numPr>
          <w:ilvl w:val="0"/>
          <w:numId w:val="9"/>
        </w:numPr>
        <w:jc w:val="both"/>
        <w:rPr>
          <w:bCs/>
          <w:iCs/>
          <w:sz w:val="20"/>
        </w:rPr>
      </w:pPr>
      <w:r w:rsidRPr="009577DE">
        <w:rPr>
          <w:bCs/>
          <w:iCs/>
          <w:sz w:val="20"/>
        </w:rPr>
        <w:t xml:space="preserve">Las actividades del programa en materia de asistencia técnica, creación de capacidad y asistencia legislativa se orientaron principalmente hacia el desarrollo, la demanda y la transparencia, de conformidad con las recomendaciones arriba señaladas y las recomendaciones 6, 12, 13, 14 y 17.  Por otra parte, el programa de trabajo acordado por el ACE en su octava sesión se basó en la </w:t>
      </w:r>
      <w:r w:rsidRPr="009577DE">
        <w:rPr>
          <w:iCs/>
          <w:sz w:val="20"/>
        </w:rPr>
        <w:t>recomendación 45 de la Agenda para el Desarrollo</w:t>
      </w:r>
      <w:r w:rsidRPr="009577DE">
        <w:rPr>
          <w:bCs/>
          <w:iCs/>
          <w:sz w:val="20"/>
        </w:rPr>
        <w:t>.</w:t>
      </w:r>
    </w:p>
    <w:p w:rsidR="00B070BF" w:rsidRDefault="00B070BF" w:rsidP="00B070BF">
      <w:pPr>
        <w:widowControl w:val="0"/>
        <w:jc w:val="both"/>
        <w:rPr>
          <w:szCs w:val="22"/>
        </w:rPr>
      </w:pPr>
    </w:p>
    <w:p w:rsidR="00B070BF" w:rsidRPr="009577DE" w:rsidRDefault="00B070BF" w:rsidP="00B070BF">
      <w:pPr>
        <w:widowControl w:val="0"/>
        <w:jc w:val="both"/>
        <w:rPr>
          <w:szCs w:val="22"/>
        </w:rPr>
      </w:pPr>
    </w:p>
    <w:p w:rsidR="00B070BF" w:rsidRPr="009577DE" w:rsidRDefault="00B070BF" w:rsidP="00B070BF">
      <w:pPr>
        <w:keepNext/>
        <w:widowControl w:val="0"/>
        <w:jc w:val="both"/>
        <w:rPr>
          <w:szCs w:val="22"/>
          <w:lang w:val="es-ES_tradnl"/>
        </w:rPr>
      </w:pPr>
      <w:r w:rsidRPr="00CB3668">
        <w:rPr>
          <w:sz w:val="20"/>
          <w:szCs w:val="22"/>
          <w:lang w:val="es-ES_tradnl"/>
        </w:rPr>
        <w:lastRenderedPageBreak/>
        <w:t>DATOS SOBRE EL RENDIMIENTO</w:t>
      </w:r>
    </w:p>
    <w:p w:rsidR="00B070BF" w:rsidRPr="009577DE" w:rsidRDefault="00B070BF" w:rsidP="00B070BF">
      <w:pPr>
        <w:keepNext/>
        <w:widowControl w:val="0"/>
        <w:rPr>
          <w:b/>
          <w:sz w:val="16"/>
          <w:szCs w:val="16"/>
          <w:lang w:val="es-ES_tradnl"/>
        </w:rPr>
      </w:pPr>
    </w:p>
    <w:tbl>
      <w:tblPr>
        <w:tblW w:w="5000" w:type="pct"/>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982"/>
        <w:gridCol w:w="1560"/>
        <w:gridCol w:w="1843"/>
        <w:gridCol w:w="3074"/>
        <w:gridCol w:w="1112"/>
      </w:tblGrid>
      <w:tr w:rsidR="00B070BF" w:rsidRPr="009577DE" w:rsidTr="00C33D4A">
        <w:trPr>
          <w:cantSplit/>
        </w:trPr>
        <w:tc>
          <w:tcPr>
            <w:tcW w:w="5000" w:type="pct"/>
            <w:gridSpan w:val="5"/>
            <w:tcBorders>
              <w:top w:val="single" w:sz="4" w:space="0" w:color="auto"/>
              <w:bottom w:val="single" w:sz="4" w:space="0" w:color="auto"/>
            </w:tcBorders>
            <w:shd w:val="clear" w:color="auto" w:fill="CCFFFF"/>
            <w:vAlign w:val="center"/>
          </w:tcPr>
          <w:p w:rsidR="00B070BF" w:rsidRPr="009577DE" w:rsidRDefault="00B070BF" w:rsidP="00C33D4A">
            <w:pPr>
              <w:keepNext/>
              <w:widowControl w:val="0"/>
              <w:spacing w:before="120" w:after="120"/>
              <w:ind w:left="1735" w:hanging="1735"/>
              <w:rPr>
                <w:b/>
                <w:bCs/>
                <w:sz w:val="16"/>
                <w:szCs w:val="16"/>
                <w:lang w:val="es-ES_tradnl"/>
              </w:rPr>
            </w:pPr>
            <w:r w:rsidRPr="009577DE">
              <w:rPr>
                <w:b/>
                <w:bCs/>
                <w:sz w:val="16"/>
                <w:szCs w:val="16"/>
                <w:lang w:val="es-ES_tradnl"/>
              </w:rPr>
              <w:t>Resultado previsto:</w:t>
            </w:r>
            <w:r w:rsidRPr="009577DE">
              <w:rPr>
                <w:b/>
                <w:bCs/>
                <w:sz w:val="16"/>
                <w:szCs w:val="16"/>
                <w:lang w:val="es-ES_tradnl"/>
              </w:rPr>
              <w:tab/>
            </w:r>
            <w:r w:rsidRPr="009577DE">
              <w:rPr>
                <w:bCs/>
                <w:sz w:val="16"/>
                <w:szCs w:val="16"/>
                <w:lang w:val="es-ES_tradnl"/>
              </w:rPr>
              <w:t>Avances en el diálogo internacional sobre políticas entre los Estados miembros de la OMPI para cultivar el respeto por la P.I. sobre la base de la recomendación 45 de la Agenda de la OMPI para el Desarrollo.</w:t>
            </w:r>
          </w:p>
        </w:tc>
      </w:tr>
      <w:tr w:rsidR="00B070BF" w:rsidRPr="009577DE" w:rsidTr="00C33D4A">
        <w:trPr>
          <w:cantSplit/>
        </w:trPr>
        <w:tc>
          <w:tcPr>
            <w:tcW w:w="1035" w:type="pct"/>
            <w:tcBorders>
              <w:top w:val="single" w:sz="4" w:space="0" w:color="auto"/>
            </w:tcBorders>
            <w:shd w:val="clear" w:color="auto" w:fill="auto"/>
            <w:vAlign w:val="center"/>
          </w:tcPr>
          <w:p w:rsidR="00B070BF" w:rsidRPr="009577DE" w:rsidRDefault="00B070BF" w:rsidP="00C33D4A">
            <w:pPr>
              <w:widowControl w:val="0"/>
              <w:spacing w:after="120"/>
              <w:rPr>
                <w:sz w:val="16"/>
                <w:szCs w:val="16"/>
                <w:lang w:val="es-ES_tradnl"/>
              </w:rPr>
            </w:pPr>
            <w:r w:rsidRPr="009577DE">
              <w:rPr>
                <w:b/>
                <w:bCs/>
                <w:sz w:val="16"/>
                <w:szCs w:val="16"/>
                <w:lang w:val="es-ES_tradnl"/>
              </w:rPr>
              <w:t>Indicadores de rendimiento</w:t>
            </w:r>
          </w:p>
        </w:tc>
        <w:tc>
          <w:tcPr>
            <w:tcW w:w="815" w:type="pct"/>
            <w:tcBorders>
              <w:top w:val="single" w:sz="4" w:space="0" w:color="auto"/>
            </w:tcBorders>
            <w:shd w:val="clear" w:color="auto" w:fill="C0C0C0"/>
          </w:tcPr>
          <w:p w:rsidR="00B070BF" w:rsidRPr="009577DE" w:rsidRDefault="00B070BF" w:rsidP="00C33D4A">
            <w:pPr>
              <w:widowControl w:val="0"/>
              <w:spacing w:after="120"/>
              <w:rPr>
                <w:b/>
                <w:bCs/>
                <w:sz w:val="16"/>
                <w:szCs w:val="16"/>
                <w:lang w:val="es-ES_tradnl"/>
              </w:rPr>
            </w:pPr>
            <w:r w:rsidRPr="009577DE">
              <w:rPr>
                <w:b/>
                <w:bCs/>
                <w:sz w:val="16"/>
                <w:szCs w:val="16"/>
                <w:lang w:val="es-ES_tradnl"/>
              </w:rPr>
              <w:t>Referencia (</w:t>
            </w:r>
            <w:proofErr w:type="spellStart"/>
            <w:r w:rsidRPr="009577DE">
              <w:rPr>
                <w:b/>
                <w:bCs/>
                <w:sz w:val="16"/>
                <w:szCs w:val="16"/>
                <w:lang w:val="es-ES_tradnl"/>
              </w:rPr>
              <w:t>Presup</w:t>
            </w:r>
            <w:proofErr w:type="spellEnd"/>
            <w:r w:rsidRPr="009577DE">
              <w:rPr>
                <w:b/>
                <w:bCs/>
                <w:sz w:val="16"/>
                <w:szCs w:val="16"/>
                <w:lang w:val="es-ES_tradnl"/>
              </w:rPr>
              <w:t xml:space="preserve">. por </w:t>
            </w:r>
            <w:proofErr w:type="spellStart"/>
            <w:r w:rsidRPr="009577DE">
              <w:rPr>
                <w:b/>
                <w:bCs/>
                <w:sz w:val="16"/>
                <w:szCs w:val="16"/>
                <w:lang w:val="es-ES_tradnl"/>
              </w:rPr>
              <w:t>prog</w:t>
            </w:r>
            <w:proofErr w:type="spellEnd"/>
            <w:r w:rsidRPr="009577DE">
              <w:rPr>
                <w:b/>
                <w:bCs/>
                <w:sz w:val="16"/>
                <w:szCs w:val="16"/>
                <w:lang w:val="es-ES_tradnl"/>
              </w:rPr>
              <w:t>. 2012/13)</w:t>
            </w:r>
          </w:p>
        </w:tc>
        <w:tc>
          <w:tcPr>
            <w:tcW w:w="963" w:type="pct"/>
            <w:tcBorders>
              <w:top w:val="single" w:sz="4" w:space="0" w:color="auto"/>
            </w:tcBorders>
            <w:shd w:val="clear" w:color="auto" w:fill="auto"/>
            <w:tcMar>
              <w:top w:w="110" w:type="dxa"/>
            </w:tcMar>
            <w:vAlign w:val="center"/>
          </w:tcPr>
          <w:p w:rsidR="00B070BF" w:rsidRPr="009577DE" w:rsidRDefault="00B070BF" w:rsidP="00C33D4A">
            <w:pPr>
              <w:widowControl w:val="0"/>
              <w:spacing w:after="120"/>
              <w:rPr>
                <w:b/>
                <w:sz w:val="16"/>
                <w:szCs w:val="16"/>
                <w:lang w:val="es-ES_tradnl"/>
              </w:rPr>
            </w:pPr>
            <w:r w:rsidRPr="00BF138D">
              <w:rPr>
                <w:b/>
                <w:color w:val="993300"/>
                <w:sz w:val="16"/>
                <w:szCs w:val="16"/>
                <w:lang w:val="es-ES_tradnl"/>
              </w:rPr>
              <w:t>Referencia actualizada a finales de 2011</w:t>
            </w:r>
            <w:r w:rsidRPr="009577DE">
              <w:rPr>
                <w:b/>
                <w:sz w:val="16"/>
                <w:szCs w:val="16"/>
                <w:lang w:val="es-ES_tradnl"/>
              </w:rPr>
              <w:t xml:space="preserve"> </w:t>
            </w:r>
          </w:p>
        </w:tc>
        <w:tc>
          <w:tcPr>
            <w:tcW w:w="1606" w:type="pct"/>
            <w:tcBorders>
              <w:top w:val="single" w:sz="4" w:space="0" w:color="auto"/>
            </w:tcBorders>
            <w:shd w:val="clear" w:color="auto" w:fill="FFFFFF"/>
            <w:tcMar>
              <w:top w:w="110" w:type="dxa"/>
            </w:tcMar>
            <w:vAlign w:val="center"/>
          </w:tcPr>
          <w:p w:rsidR="00B070BF" w:rsidRPr="009577DE" w:rsidRDefault="00B070BF" w:rsidP="00C33D4A">
            <w:pPr>
              <w:widowControl w:val="0"/>
              <w:spacing w:after="120"/>
              <w:rPr>
                <w:sz w:val="16"/>
                <w:szCs w:val="16"/>
                <w:lang w:val="es-ES_tradnl"/>
              </w:rPr>
            </w:pPr>
            <w:r w:rsidRPr="009577DE">
              <w:rPr>
                <w:b/>
                <w:bCs/>
                <w:sz w:val="16"/>
                <w:szCs w:val="16"/>
                <w:lang w:val="es-ES_tradnl"/>
              </w:rPr>
              <w:t>Datos sobre el rendimiento</w:t>
            </w:r>
          </w:p>
        </w:tc>
        <w:tc>
          <w:tcPr>
            <w:tcW w:w="582" w:type="pct"/>
            <w:tcBorders>
              <w:top w:val="single" w:sz="4" w:space="0" w:color="auto"/>
            </w:tcBorders>
            <w:shd w:val="clear" w:color="auto" w:fill="auto"/>
            <w:tcMar>
              <w:top w:w="110" w:type="dxa"/>
            </w:tcMar>
            <w:vAlign w:val="center"/>
          </w:tcPr>
          <w:p w:rsidR="00B070BF" w:rsidRPr="009577DE" w:rsidRDefault="00B070BF" w:rsidP="00C33D4A">
            <w:pPr>
              <w:widowControl w:val="0"/>
              <w:spacing w:after="120"/>
              <w:jc w:val="center"/>
              <w:rPr>
                <w:b/>
                <w:bCs/>
                <w:sz w:val="16"/>
                <w:szCs w:val="16"/>
                <w:lang w:val="es-ES_tradnl"/>
              </w:rPr>
            </w:pPr>
            <w:r w:rsidRPr="009577DE">
              <w:rPr>
                <w:b/>
                <w:bCs/>
                <w:sz w:val="16"/>
                <w:szCs w:val="16"/>
                <w:lang w:val="es-ES_tradnl"/>
              </w:rPr>
              <w:t>Clave de colores</w:t>
            </w:r>
          </w:p>
        </w:tc>
      </w:tr>
      <w:tr w:rsidR="00B070BF" w:rsidRPr="009577DE" w:rsidTr="00C33D4A">
        <w:trPr>
          <w:cantSplit/>
        </w:trPr>
        <w:tc>
          <w:tcPr>
            <w:tcW w:w="1035" w:type="pct"/>
            <w:tcBorders>
              <w:bottom w:val="single" w:sz="4" w:space="0" w:color="auto"/>
            </w:tcBorders>
            <w:shd w:val="clear" w:color="auto" w:fill="auto"/>
          </w:tcPr>
          <w:p w:rsidR="00B070BF" w:rsidRPr="009577DE" w:rsidRDefault="00B070BF" w:rsidP="00C33D4A">
            <w:pPr>
              <w:widowControl w:val="0"/>
              <w:rPr>
                <w:sz w:val="16"/>
                <w:szCs w:val="16"/>
                <w:lang w:val="es-ES_tradnl"/>
              </w:rPr>
            </w:pPr>
            <w:r w:rsidRPr="009577DE">
              <w:rPr>
                <w:sz w:val="16"/>
                <w:szCs w:val="16"/>
                <w:lang w:val="es-ES_tradnl"/>
              </w:rPr>
              <w:t>Acuerdo constante entre los Estados miembros sobre la labor sustantiva del Comité Asesor de la OMPI sobre Observancia (ACE) en el bienio, incorporando elementos orientados al desarrollo.</w:t>
            </w:r>
          </w:p>
        </w:tc>
        <w:tc>
          <w:tcPr>
            <w:tcW w:w="815" w:type="pct"/>
            <w:tcBorders>
              <w:bottom w:val="single" w:sz="4" w:space="0" w:color="auto"/>
            </w:tcBorders>
            <w:shd w:val="clear" w:color="auto" w:fill="C0C0C0"/>
          </w:tcPr>
          <w:p w:rsidR="00B070BF" w:rsidRPr="009577DE" w:rsidRDefault="00B070BF" w:rsidP="00C33D4A">
            <w:pPr>
              <w:widowControl w:val="0"/>
              <w:rPr>
                <w:sz w:val="16"/>
                <w:szCs w:val="16"/>
                <w:lang w:val="es-ES_tradnl"/>
              </w:rPr>
            </w:pPr>
            <w:r w:rsidRPr="009577DE">
              <w:rPr>
                <w:sz w:val="16"/>
                <w:szCs w:val="16"/>
                <w:lang w:val="es-ES_tradnl"/>
              </w:rPr>
              <w:t>Programa de trabajo actual.</w:t>
            </w:r>
          </w:p>
        </w:tc>
        <w:tc>
          <w:tcPr>
            <w:tcW w:w="963" w:type="pct"/>
            <w:tcBorders>
              <w:bottom w:val="single" w:sz="4" w:space="0" w:color="auto"/>
            </w:tcBorders>
            <w:shd w:val="clear" w:color="auto" w:fill="auto"/>
            <w:tcMar>
              <w:top w:w="110" w:type="dxa"/>
            </w:tcMar>
          </w:tcPr>
          <w:p w:rsidR="00B070BF" w:rsidRPr="009577DE" w:rsidRDefault="00B070BF" w:rsidP="00C33D4A">
            <w:pPr>
              <w:widowControl w:val="0"/>
              <w:rPr>
                <w:i/>
                <w:sz w:val="16"/>
                <w:szCs w:val="16"/>
                <w:highlight w:val="cyan"/>
                <w:lang w:val="es-ES_tradnl"/>
              </w:rPr>
            </w:pPr>
          </w:p>
        </w:tc>
        <w:tc>
          <w:tcPr>
            <w:tcW w:w="1606" w:type="pct"/>
            <w:tcBorders>
              <w:bottom w:val="single" w:sz="4" w:space="0" w:color="auto"/>
            </w:tcBorders>
            <w:shd w:val="clear" w:color="auto" w:fill="FFFFFF"/>
            <w:tcMar>
              <w:top w:w="110" w:type="dxa"/>
            </w:tcMar>
          </w:tcPr>
          <w:p w:rsidR="00B070BF" w:rsidRPr="009577DE" w:rsidRDefault="00B070BF" w:rsidP="00C33D4A">
            <w:pPr>
              <w:widowControl w:val="0"/>
              <w:ind w:right="64"/>
              <w:rPr>
                <w:sz w:val="16"/>
                <w:szCs w:val="16"/>
                <w:lang w:val="es-ES_tradnl" w:bidi="th-TH"/>
              </w:rPr>
            </w:pPr>
            <w:r w:rsidRPr="009577DE">
              <w:rPr>
                <w:sz w:val="16"/>
                <w:szCs w:val="16"/>
                <w:lang w:val="es-ES_tradnl" w:bidi="th-TH"/>
              </w:rPr>
              <w:t>Los Estados miembros convinieron en el programa futuro de este Comité, que incluirá las prácticas en materia de solución extrajudicial de controversias, así como medidas o actividades preventivas a fin de complementar las medidas de observancia (véase el párrafo 34 del proyecto de resumen de la Presidencia (documento WIPO/ACE/8/12</w:t>
            </w:r>
            <w:r>
              <w:rPr>
                <w:sz w:val="16"/>
                <w:szCs w:val="16"/>
                <w:lang w:val="es-ES_tradnl" w:bidi="th-TH"/>
              </w:rPr>
              <w:t xml:space="preserve"> </w:t>
            </w:r>
            <w:r w:rsidRPr="009577DE">
              <w:rPr>
                <w:sz w:val="16"/>
                <w:szCs w:val="16"/>
                <w:lang w:val="es-ES_tradnl" w:bidi="th-TH"/>
              </w:rPr>
              <w:t>P</w:t>
            </w:r>
            <w:r>
              <w:rPr>
                <w:sz w:val="16"/>
                <w:szCs w:val="16"/>
                <w:lang w:val="es-ES_tradnl" w:bidi="th-TH"/>
              </w:rPr>
              <w:t>rov</w:t>
            </w:r>
            <w:r w:rsidRPr="009577DE">
              <w:rPr>
                <w:sz w:val="16"/>
                <w:szCs w:val="16"/>
                <w:lang w:val="es-ES_tradnl" w:bidi="th-TH"/>
              </w:rPr>
              <w:t xml:space="preserve">.). </w:t>
            </w:r>
          </w:p>
          <w:p w:rsidR="00B070BF" w:rsidRPr="009577DE" w:rsidRDefault="00B070BF" w:rsidP="00C33D4A">
            <w:pPr>
              <w:widowControl w:val="0"/>
              <w:rPr>
                <w:sz w:val="16"/>
                <w:szCs w:val="16"/>
                <w:highlight w:val="cyan"/>
                <w:lang w:val="es-ES_tradnl"/>
              </w:rPr>
            </w:pPr>
          </w:p>
        </w:tc>
        <w:tc>
          <w:tcPr>
            <w:tcW w:w="582" w:type="pct"/>
            <w:tcBorders>
              <w:bottom w:val="single" w:sz="4" w:space="0" w:color="auto"/>
            </w:tcBorders>
            <w:shd w:val="clear" w:color="auto" w:fill="auto"/>
            <w:tcMar>
              <w:top w:w="110" w:type="dxa"/>
            </w:tcMar>
          </w:tcPr>
          <w:p w:rsidR="00B070BF" w:rsidRPr="009577DE" w:rsidRDefault="00B070BF" w:rsidP="00C33D4A">
            <w:pPr>
              <w:widowControl w:val="0"/>
              <w:jc w:val="center"/>
              <w:rPr>
                <w:b/>
                <w:sz w:val="16"/>
                <w:szCs w:val="16"/>
                <w:lang w:val="es-ES_tradnl"/>
              </w:rPr>
            </w:pPr>
            <w:r w:rsidRPr="009577DE">
              <w:rPr>
                <w:b/>
                <w:color w:val="008000"/>
                <w:sz w:val="16"/>
                <w:szCs w:val="16"/>
                <w:lang w:val="es-ES_tradnl"/>
              </w:rPr>
              <w:t>Progresa con normalidad</w:t>
            </w:r>
          </w:p>
          <w:p w:rsidR="00B070BF" w:rsidRPr="009577DE" w:rsidRDefault="00B070BF" w:rsidP="00C33D4A">
            <w:pPr>
              <w:widowControl w:val="0"/>
              <w:jc w:val="center"/>
              <w:rPr>
                <w:bCs/>
                <w:sz w:val="16"/>
                <w:szCs w:val="16"/>
                <w:lang w:val="es-ES_tradnl"/>
              </w:rPr>
            </w:pPr>
          </w:p>
          <w:p w:rsidR="00B070BF" w:rsidRPr="009577DE" w:rsidRDefault="00B070BF" w:rsidP="00C33D4A">
            <w:pPr>
              <w:widowControl w:val="0"/>
              <w:jc w:val="center"/>
              <w:rPr>
                <w:bCs/>
                <w:sz w:val="16"/>
                <w:szCs w:val="16"/>
                <w:lang w:val="es-ES_tradnl"/>
              </w:rPr>
            </w:pPr>
          </w:p>
        </w:tc>
      </w:tr>
      <w:tr w:rsidR="00B070BF" w:rsidRPr="009577DE" w:rsidTr="00C33D4A">
        <w:trPr>
          <w:cantSplit/>
        </w:trPr>
        <w:tc>
          <w:tcPr>
            <w:tcW w:w="5000" w:type="pct"/>
            <w:gridSpan w:val="5"/>
            <w:tcBorders>
              <w:top w:val="single" w:sz="4" w:space="0" w:color="auto"/>
              <w:bottom w:val="single" w:sz="4" w:space="0" w:color="auto"/>
            </w:tcBorders>
            <w:shd w:val="clear" w:color="auto" w:fill="CCFFFF"/>
            <w:vAlign w:val="center"/>
          </w:tcPr>
          <w:p w:rsidR="00B070BF" w:rsidRPr="009577DE" w:rsidRDefault="00B070BF" w:rsidP="00C33D4A">
            <w:pPr>
              <w:widowControl w:val="0"/>
              <w:spacing w:before="120" w:after="120"/>
              <w:ind w:left="1735" w:hanging="1735"/>
              <w:rPr>
                <w:b/>
                <w:bCs/>
                <w:sz w:val="16"/>
                <w:szCs w:val="16"/>
                <w:lang w:val="es-ES_tradnl"/>
              </w:rPr>
            </w:pPr>
            <w:r w:rsidRPr="009577DE">
              <w:rPr>
                <w:b/>
                <w:bCs/>
                <w:sz w:val="16"/>
                <w:szCs w:val="16"/>
                <w:lang w:val="es-ES_tradnl"/>
              </w:rPr>
              <w:t>Resultado previsto:</w:t>
            </w:r>
            <w:r w:rsidRPr="009577DE">
              <w:rPr>
                <w:b/>
                <w:bCs/>
                <w:sz w:val="16"/>
                <w:szCs w:val="16"/>
                <w:lang w:val="es-ES_tradnl"/>
              </w:rPr>
              <w:tab/>
            </w:r>
            <w:r w:rsidRPr="009577DE">
              <w:rPr>
                <w:bCs/>
                <w:sz w:val="16"/>
                <w:szCs w:val="16"/>
                <w:lang w:val="es-ES_tradnl"/>
              </w:rPr>
              <w:t xml:space="preserve"> Marcos de P.I. adaptados y equilibrados en el ámbito legislativo, regulador y de política.</w:t>
            </w:r>
          </w:p>
        </w:tc>
      </w:tr>
      <w:tr w:rsidR="00B070BF" w:rsidRPr="009577DE" w:rsidTr="00C33D4A">
        <w:trPr>
          <w:cantSplit/>
        </w:trPr>
        <w:tc>
          <w:tcPr>
            <w:tcW w:w="1035" w:type="pct"/>
            <w:tcBorders>
              <w:top w:val="single" w:sz="4" w:space="0" w:color="auto"/>
            </w:tcBorders>
            <w:shd w:val="clear" w:color="auto" w:fill="auto"/>
            <w:vAlign w:val="center"/>
          </w:tcPr>
          <w:p w:rsidR="00B070BF" w:rsidRPr="009577DE" w:rsidRDefault="00B070BF" w:rsidP="00C33D4A">
            <w:pPr>
              <w:widowControl w:val="0"/>
              <w:spacing w:after="120"/>
              <w:rPr>
                <w:sz w:val="16"/>
                <w:szCs w:val="16"/>
                <w:lang w:val="es-ES_tradnl"/>
              </w:rPr>
            </w:pPr>
            <w:r w:rsidRPr="009577DE">
              <w:rPr>
                <w:b/>
                <w:bCs/>
                <w:sz w:val="16"/>
                <w:szCs w:val="16"/>
                <w:lang w:val="es-ES_tradnl"/>
              </w:rPr>
              <w:t>Indicadores de rendimiento</w:t>
            </w:r>
          </w:p>
        </w:tc>
        <w:tc>
          <w:tcPr>
            <w:tcW w:w="815" w:type="pct"/>
            <w:tcBorders>
              <w:top w:val="single" w:sz="4" w:space="0" w:color="auto"/>
            </w:tcBorders>
            <w:shd w:val="clear" w:color="auto" w:fill="C0C0C0"/>
          </w:tcPr>
          <w:p w:rsidR="00B070BF" w:rsidRPr="009577DE" w:rsidRDefault="00B070BF" w:rsidP="00C33D4A">
            <w:pPr>
              <w:widowControl w:val="0"/>
              <w:spacing w:after="120"/>
              <w:rPr>
                <w:b/>
                <w:bCs/>
                <w:sz w:val="16"/>
                <w:szCs w:val="16"/>
                <w:lang w:val="es-ES_tradnl"/>
              </w:rPr>
            </w:pPr>
            <w:r w:rsidRPr="009577DE">
              <w:rPr>
                <w:b/>
                <w:bCs/>
                <w:sz w:val="16"/>
                <w:szCs w:val="16"/>
                <w:lang w:val="es-ES_tradnl"/>
              </w:rPr>
              <w:t>Referencia (</w:t>
            </w:r>
            <w:proofErr w:type="spellStart"/>
            <w:r w:rsidRPr="009577DE">
              <w:rPr>
                <w:b/>
                <w:bCs/>
                <w:sz w:val="16"/>
                <w:szCs w:val="16"/>
                <w:lang w:val="es-ES_tradnl"/>
              </w:rPr>
              <w:t>Presup</w:t>
            </w:r>
            <w:proofErr w:type="spellEnd"/>
            <w:r w:rsidRPr="009577DE">
              <w:rPr>
                <w:b/>
                <w:bCs/>
                <w:sz w:val="16"/>
                <w:szCs w:val="16"/>
                <w:lang w:val="es-ES_tradnl"/>
              </w:rPr>
              <w:t xml:space="preserve">. por </w:t>
            </w:r>
            <w:proofErr w:type="spellStart"/>
            <w:r w:rsidRPr="009577DE">
              <w:rPr>
                <w:b/>
                <w:bCs/>
                <w:sz w:val="16"/>
                <w:szCs w:val="16"/>
                <w:lang w:val="es-ES_tradnl"/>
              </w:rPr>
              <w:t>prog</w:t>
            </w:r>
            <w:proofErr w:type="spellEnd"/>
            <w:r w:rsidRPr="009577DE">
              <w:rPr>
                <w:b/>
                <w:bCs/>
                <w:sz w:val="16"/>
                <w:szCs w:val="16"/>
                <w:lang w:val="es-ES_tradnl"/>
              </w:rPr>
              <w:t>. 2012/13)</w:t>
            </w:r>
          </w:p>
        </w:tc>
        <w:tc>
          <w:tcPr>
            <w:tcW w:w="963" w:type="pct"/>
            <w:tcBorders>
              <w:top w:val="single" w:sz="4" w:space="0" w:color="auto"/>
            </w:tcBorders>
            <w:shd w:val="clear" w:color="auto" w:fill="auto"/>
            <w:tcMar>
              <w:top w:w="110" w:type="dxa"/>
            </w:tcMar>
            <w:vAlign w:val="center"/>
          </w:tcPr>
          <w:p w:rsidR="00B070BF" w:rsidRPr="009577DE" w:rsidRDefault="00B070BF" w:rsidP="00C33D4A">
            <w:pPr>
              <w:widowControl w:val="0"/>
              <w:spacing w:after="120"/>
              <w:rPr>
                <w:b/>
                <w:sz w:val="16"/>
                <w:szCs w:val="16"/>
                <w:lang w:val="es-ES_tradnl"/>
              </w:rPr>
            </w:pPr>
            <w:r w:rsidRPr="00BF138D">
              <w:rPr>
                <w:b/>
                <w:color w:val="993300"/>
                <w:sz w:val="16"/>
                <w:szCs w:val="16"/>
                <w:lang w:val="es-ES_tradnl"/>
              </w:rPr>
              <w:t>Referencia actualizada a finales de 2011</w:t>
            </w:r>
          </w:p>
        </w:tc>
        <w:tc>
          <w:tcPr>
            <w:tcW w:w="1606" w:type="pct"/>
            <w:tcBorders>
              <w:top w:val="single" w:sz="4" w:space="0" w:color="auto"/>
            </w:tcBorders>
            <w:shd w:val="clear" w:color="auto" w:fill="FFFFFF"/>
            <w:tcMar>
              <w:top w:w="110" w:type="dxa"/>
            </w:tcMar>
            <w:vAlign w:val="center"/>
          </w:tcPr>
          <w:p w:rsidR="00B070BF" w:rsidRPr="009577DE" w:rsidRDefault="00B070BF" w:rsidP="00C33D4A">
            <w:pPr>
              <w:widowControl w:val="0"/>
              <w:spacing w:after="120"/>
              <w:rPr>
                <w:sz w:val="16"/>
                <w:szCs w:val="16"/>
                <w:lang w:val="es-ES_tradnl"/>
              </w:rPr>
            </w:pPr>
            <w:r w:rsidRPr="009577DE">
              <w:rPr>
                <w:b/>
                <w:bCs/>
                <w:sz w:val="16"/>
                <w:szCs w:val="16"/>
                <w:lang w:val="es-ES_tradnl"/>
              </w:rPr>
              <w:t>Datos sobre el rendimiento</w:t>
            </w:r>
          </w:p>
        </w:tc>
        <w:tc>
          <w:tcPr>
            <w:tcW w:w="582" w:type="pct"/>
            <w:tcBorders>
              <w:top w:val="single" w:sz="4" w:space="0" w:color="auto"/>
            </w:tcBorders>
            <w:shd w:val="clear" w:color="auto" w:fill="auto"/>
            <w:tcMar>
              <w:top w:w="110" w:type="dxa"/>
            </w:tcMar>
            <w:vAlign w:val="center"/>
          </w:tcPr>
          <w:p w:rsidR="00B070BF" w:rsidRPr="009577DE" w:rsidRDefault="00B070BF" w:rsidP="00C33D4A">
            <w:pPr>
              <w:widowControl w:val="0"/>
              <w:spacing w:after="120"/>
              <w:jc w:val="center"/>
              <w:rPr>
                <w:b/>
                <w:bCs/>
                <w:sz w:val="16"/>
                <w:szCs w:val="16"/>
                <w:lang w:val="es-ES_tradnl"/>
              </w:rPr>
            </w:pPr>
            <w:r w:rsidRPr="009577DE">
              <w:rPr>
                <w:b/>
                <w:bCs/>
                <w:sz w:val="16"/>
                <w:szCs w:val="16"/>
                <w:lang w:val="es-ES_tradnl"/>
              </w:rPr>
              <w:t>Clave de colores</w:t>
            </w:r>
          </w:p>
        </w:tc>
      </w:tr>
      <w:tr w:rsidR="00B070BF" w:rsidRPr="009577DE" w:rsidTr="00C33D4A">
        <w:trPr>
          <w:cantSplit/>
        </w:trPr>
        <w:tc>
          <w:tcPr>
            <w:tcW w:w="1035" w:type="pct"/>
            <w:tcBorders>
              <w:bottom w:val="single" w:sz="4" w:space="0" w:color="auto"/>
            </w:tcBorders>
            <w:shd w:val="clear" w:color="auto" w:fill="auto"/>
          </w:tcPr>
          <w:p w:rsidR="00B070BF" w:rsidRPr="009577DE" w:rsidRDefault="00B070BF" w:rsidP="00C33D4A">
            <w:pPr>
              <w:widowControl w:val="0"/>
              <w:rPr>
                <w:sz w:val="16"/>
                <w:szCs w:val="16"/>
                <w:lang w:val="es-ES_tradnl"/>
              </w:rPr>
            </w:pPr>
            <w:r w:rsidRPr="009577DE">
              <w:rPr>
                <w:sz w:val="16"/>
                <w:szCs w:val="16"/>
                <w:lang w:val="es-ES_tradnl" w:bidi="th-TH"/>
              </w:rPr>
              <w:t>Número de países que han recibido asistencia técnica sobre marcos legislativos nuevos o actualizados de observancia de los derechos en los que se tienen en cuenta las flexibilidades previstas en la Parte III del Acuerdo sobre los ADPIC.</w:t>
            </w:r>
          </w:p>
        </w:tc>
        <w:tc>
          <w:tcPr>
            <w:tcW w:w="815" w:type="pct"/>
            <w:tcBorders>
              <w:bottom w:val="single" w:sz="4" w:space="0" w:color="auto"/>
            </w:tcBorders>
            <w:shd w:val="clear" w:color="auto" w:fill="C0C0C0"/>
          </w:tcPr>
          <w:p w:rsidR="00B070BF" w:rsidRPr="009577DE" w:rsidRDefault="00B070BF" w:rsidP="00C33D4A">
            <w:pPr>
              <w:widowControl w:val="0"/>
              <w:rPr>
                <w:sz w:val="16"/>
                <w:szCs w:val="16"/>
                <w:lang w:val="es-ES_tradnl" w:bidi="th-TH"/>
              </w:rPr>
            </w:pPr>
            <w:r w:rsidRPr="009577DE">
              <w:rPr>
                <w:sz w:val="16"/>
                <w:szCs w:val="16"/>
                <w:lang w:val="es-ES_tradnl" w:bidi="th-TH"/>
              </w:rPr>
              <w:t xml:space="preserve">Un grupo regional (África) </w:t>
            </w:r>
          </w:p>
          <w:p w:rsidR="00B070BF" w:rsidRPr="009577DE" w:rsidRDefault="00B070BF" w:rsidP="00C33D4A">
            <w:pPr>
              <w:widowControl w:val="0"/>
              <w:rPr>
                <w:sz w:val="16"/>
                <w:szCs w:val="16"/>
                <w:lang w:val="es-ES_tradnl"/>
              </w:rPr>
            </w:pPr>
            <w:r w:rsidRPr="009577DE">
              <w:rPr>
                <w:sz w:val="16"/>
                <w:szCs w:val="16"/>
                <w:lang w:val="es-ES_tradnl" w:bidi="th-TH"/>
              </w:rPr>
              <w:t>Un país (Asia)</w:t>
            </w:r>
          </w:p>
        </w:tc>
        <w:tc>
          <w:tcPr>
            <w:tcW w:w="963" w:type="pct"/>
            <w:tcBorders>
              <w:bottom w:val="single" w:sz="4" w:space="0" w:color="auto"/>
            </w:tcBorders>
            <w:shd w:val="clear" w:color="auto" w:fill="auto"/>
            <w:tcMar>
              <w:top w:w="110" w:type="dxa"/>
            </w:tcMar>
          </w:tcPr>
          <w:p w:rsidR="00B070BF" w:rsidRPr="009577DE" w:rsidRDefault="00B070BF" w:rsidP="00C33D4A">
            <w:pPr>
              <w:widowControl w:val="0"/>
              <w:rPr>
                <w:i/>
                <w:sz w:val="16"/>
                <w:szCs w:val="16"/>
                <w:lang w:val="es-ES_tradnl"/>
              </w:rPr>
            </w:pPr>
            <w:r w:rsidRPr="00F2661C">
              <w:rPr>
                <w:color w:val="993300"/>
                <w:sz w:val="16"/>
                <w:szCs w:val="16"/>
                <w:lang w:val="es-ES_tradnl" w:eastAsia="ko-KR" w:bidi="th-TH"/>
              </w:rPr>
              <w:t>Un grupo regional (África) y dos países (en 2010/11)</w:t>
            </w:r>
          </w:p>
        </w:tc>
        <w:tc>
          <w:tcPr>
            <w:tcW w:w="1606" w:type="pct"/>
            <w:tcBorders>
              <w:bottom w:val="single" w:sz="4" w:space="0" w:color="auto"/>
            </w:tcBorders>
            <w:shd w:val="clear" w:color="auto" w:fill="FFFFFF"/>
            <w:tcMar>
              <w:top w:w="110" w:type="dxa"/>
            </w:tcMar>
          </w:tcPr>
          <w:p w:rsidR="00B070BF" w:rsidRPr="009577DE" w:rsidRDefault="00B070BF" w:rsidP="00C33D4A">
            <w:pPr>
              <w:widowControl w:val="0"/>
              <w:rPr>
                <w:sz w:val="16"/>
                <w:szCs w:val="16"/>
                <w:lang w:val="es-ES_tradnl" w:bidi="th-TH"/>
              </w:rPr>
            </w:pPr>
            <w:r w:rsidRPr="009577DE">
              <w:rPr>
                <w:sz w:val="16"/>
                <w:szCs w:val="16"/>
                <w:lang w:val="es-ES_tradnl" w:bidi="th-TH"/>
              </w:rPr>
              <w:t>En 2012 se prestó asistencia en materia legislativa a un grupo regional y a cuatro países (dos de África y dos de Asia).</w:t>
            </w:r>
          </w:p>
          <w:p w:rsidR="00B070BF" w:rsidRPr="009577DE" w:rsidRDefault="00B070BF" w:rsidP="00C33D4A">
            <w:pPr>
              <w:widowControl w:val="0"/>
              <w:rPr>
                <w:sz w:val="16"/>
                <w:szCs w:val="16"/>
                <w:lang w:val="es-ES_tradnl" w:bidi="th-TH"/>
              </w:rPr>
            </w:pPr>
          </w:p>
          <w:p w:rsidR="00B070BF" w:rsidRPr="009577DE" w:rsidRDefault="00B070BF" w:rsidP="00C33D4A">
            <w:pPr>
              <w:widowControl w:val="0"/>
              <w:rPr>
                <w:sz w:val="16"/>
                <w:szCs w:val="16"/>
                <w:lang w:val="es-ES_tradnl" w:bidi="th-TH"/>
              </w:rPr>
            </w:pPr>
          </w:p>
          <w:p w:rsidR="00B070BF" w:rsidRPr="009577DE" w:rsidRDefault="00B070BF" w:rsidP="00C33D4A">
            <w:pPr>
              <w:widowControl w:val="0"/>
              <w:rPr>
                <w:sz w:val="16"/>
                <w:szCs w:val="16"/>
                <w:lang w:val="es-ES_tradnl" w:bidi="th-TH"/>
              </w:rPr>
            </w:pPr>
          </w:p>
          <w:p w:rsidR="00B070BF" w:rsidRPr="009577DE" w:rsidRDefault="00B070BF" w:rsidP="00C33D4A">
            <w:pPr>
              <w:widowControl w:val="0"/>
              <w:rPr>
                <w:sz w:val="16"/>
                <w:szCs w:val="16"/>
                <w:lang w:val="es-ES_tradnl" w:bidi="th-TH"/>
              </w:rPr>
            </w:pPr>
          </w:p>
          <w:p w:rsidR="00B070BF" w:rsidRPr="009577DE" w:rsidRDefault="00B070BF" w:rsidP="00C33D4A">
            <w:pPr>
              <w:widowControl w:val="0"/>
              <w:rPr>
                <w:sz w:val="16"/>
                <w:szCs w:val="16"/>
                <w:lang w:val="es-ES_tradnl"/>
              </w:rPr>
            </w:pPr>
          </w:p>
        </w:tc>
        <w:tc>
          <w:tcPr>
            <w:tcW w:w="582" w:type="pct"/>
            <w:tcBorders>
              <w:bottom w:val="single" w:sz="4" w:space="0" w:color="auto"/>
            </w:tcBorders>
            <w:shd w:val="clear" w:color="auto" w:fill="auto"/>
            <w:tcMar>
              <w:top w:w="110" w:type="dxa"/>
            </w:tcMar>
          </w:tcPr>
          <w:p w:rsidR="00B070BF" w:rsidRPr="009577DE" w:rsidRDefault="00B070BF" w:rsidP="00C33D4A">
            <w:pPr>
              <w:widowControl w:val="0"/>
              <w:jc w:val="center"/>
              <w:rPr>
                <w:b/>
                <w:sz w:val="16"/>
                <w:szCs w:val="16"/>
                <w:lang w:val="es-ES_tradnl"/>
              </w:rPr>
            </w:pPr>
            <w:r w:rsidRPr="009577DE">
              <w:rPr>
                <w:b/>
                <w:color w:val="008000"/>
                <w:sz w:val="16"/>
                <w:szCs w:val="16"/>
                <w:lang w:val="es-ES_tradnl"/>
              </w:rPr>
              <w:t>Progresa con normalidad</w:t>
            </w:r>
          </w:p>
          <w:p w:rsidR="00B070BF" w:rsidRPr="009577DE" w:rsidRDefault="00B070BF" w:rsidP="00C33D4A">
            <w:pPr>
              <w:widowControl w:val="0"/>
              <w:jc w:val="center"/>
              <w:rPr>
                <w:bCs/>
                <w:sz w:val="16"/>
                <w:szCs w:val="16"/>
                <w:lang w:val="es-ES_tradnl"/>
              </w:rPr>
            </w:pPr>
          </w:p>
          <w:p w:rsidR="00B070BF" w:rsidRPr="009577DE" w:rsidRDefault="00B070BF" w:rsidP="00C33D4A">
            <w:pPr>
              <w:widowControl w:val="0"/>
              <w:jc w:val="center"/>
              <w:rPr>
                <w:bCs/>
                <w:sz w:val="16"/>
                <w:szCs w:val="16"/>
                <w:lang w:val="es-ES_tradnl"/>
              </w:rPr>
            </w:pPr>
          </w:p>
        </w:tc>
      </w:tr>
      <w:tr w:rsidR="00B070BF" w:rsidRPr="009577DE" w:rsidTr="00C33D4A">
        <w:trPr>
          <w:cantSplit/>
        </w:trPr>
        <w:tc>
          <w:tcPr>
            <w:tcW w:w="5000" w:type="pct"/>
            <w:gridSpan w:val="5"/>
            <w:tcBorders>
              <w:top w:val="single" w:sz="4" w:space="0" w:color="auto"/>
              <w:bottom w:val="single" w:sz="4" w:space="0" w:color="auto"/>
            </w:tcBorders>
            <w:shd w:val="clear" w:color="auto" w:fill="CCFFFF"/>
            <w:vAlign w:val="center"/>
          </w:tcPr>
          <w:p w:rsidR="00B070BF" w:rsidRPr="009577DE" w:rsidRDefault="00B070BF" w:rsidP="00C33D4A">
            <w:pPr>
              <w:widowControl w:val="0"/>
              <w:spacing w:before="120" w:after="120"/>
              <w:ind w:left="1735" w:hanging="1735"/>
              <w:rPr>
                <w:b/>
                <w:bCs/>
                <w:sz w:val="16"/>
                <w:szCs w:val="16"/>
                <w:lang w:val="es-ES_tradnl"/>
              </w:rPr>
            </w:pPr>
            <w:r w:rsidRPr="009577DE">
              <w:rPr>
                <w:b/>
                <w:bCs/>
                <w:sz w:val="16"/>
                <w:szCs w:val="16"/>
                <w:lang w:val="es-ES_tradnl"/>
              </w:rPr>
              <w:t>Resultado previsto:</w:t>
            </w:r>
            <w:r w:rsidRPr="009577DE">
              <w:rPr>
                <w:b/>
                <w:bCs/>
                <w:sz w:val="16"/>
                <w:szCs w:val="16"/>
                <w:lang w:val="es-ES_tradnl"/>
              </w:rPr>
              <w:tab/>
            </w:r>
            <w:r w:rsidRPr="009577DE">
              <w:rPr>
                <w:bCs/>
                <w:sz w:val="16"/>
                <w:szCs w:val="16"/>
                <w:lang w:val="es-ES_tradnl"/>
              </w:rPr>
              <w:t xml:space="preserve"> Mejora de las capacidades en el ámbito de los recursos humanos para hacer frente al amplio espectro de exigencias que supone la utilización eficaz de la P.I. en aras del desarrollo en los países en desarrollo, PMA y países con economías en transición.</w:t>
            </w:r>
          </w:p>
        </w:tc>
      </w:tr>
      <w:tr w:rsidR="00B070BF" w:rsidRPr="009577DE" w:rsidTr="00C33D4A">
        <w:trPr>
          <w:cantSplit/>
        </w:trPr>
        <w:tc>
          <w:tcPr>
            <w:tcW w:w="1035" w:type="pct"/>
            <w:tcBorders>
              <w:top w:val="single" w:sz="4" w:space="0" w:color="auto"/>
            </w:tcBorders>
            <w:shd w:val="clear" w:color="auto" w:fill="auto"/>
            <w:vAlign w:val="center"/>
          </w:tcPr>
          <w:p w:rsidR="00B070BF" w:rsidRPr="009577DE" w:rsidRDefault="00B070BF" w:rsidP="00C33D4A">
            <w:pPr>
              <w:widowControl w:val="0"/>
              <w:spacing w:after="120"/>
              <w:rPr>
                <w:sz w:val="16"/>
                <w:szCs w:val="16"/>
                <w:lang w:val="es-ES_tradnl"/>
              </w:rPr>
            </w:pPr>
            <w:r w:rsidRPr="009577DE">
              <w:rPr>
                <w:b/>
                <w:bCs/>
                <w:sz w:val="16"/>
                <w:szCs w:val="16"/>
                <w:lang w:val="es-ES_tradnl"/>
              </w:rPr>
              <w:t>Indicadores de rendimiento</w:t>
            </w:r>
          </w:p>
        </w:tc>
        <w:tc>
          <w:tcPr>
            <w:tcW w:w="815" w:type="pct"/>
            <w:tcBorders>
              <w:top w:val="single" w:sz="4" w:space="0" w:color="auto"/>
            </w:tcBorders>
            <w:shd w:val="clear" w:color="auto" w:fill="C0C0C0"/>
          </w:tcPr>
          <w:p w:rsidR="00B070BF" w:rsidRPr="009577DE" w:rsidRDefault="00B070BF" w:rsidP="00C33D4A">
            <w:pPr>
              <w:widowControl w:val="0"/>
              <w:spacing w:after="120"/>
              <w:rPr>
                <w:b/>
                <w:bCs/>
                <w:sz w:val="16"/>
                <w:szCs w:val="16"/>
                <w:lang w:val="es-ES_tradnl"/>
              </w:rPr>
            </w:pPr>
            <w:r w:rsidRPr="009577DE">
              <w:rPr>
                <w:b/>
                <w:bCs/>
                <w:sz w:val="16"/>
                <w:szCs w:val="16"/>
                <w:lang w:val="es-ES_tradnl"/>
              </w:rPr>
              <w:t>Referencia (</w:t>
            </w:r>
            <w:proofErr w:type="spellStart"/>
            <w:r w:rsidRPr="009577DE">
              <w:rPr>
                <w:b/>
                <w:bCs/>
                <w:sz w:val="16"/>
                <w:szCs w:val="16"/>
                <w:lang w:val="es-ES_tradnl"/>
              </w:rPr>
              <w:t>Presup</w:t>
            </w:r>
            <w:proofErr w:type="spellEnd"/>
            <w:r w:rsidRPr="009577DE">
              <w:rPr>
                <w:b/>
                <w:bCs/>
                <w:sz w:val="16"/>
                <w:szCs w:val="16"/>
                <w:lang w:val="es-ES_tradnl"/>
              </w:rPr>
              <w:t xml:space="preserve">. por </w:t>
            </w:r>
            <w:proofErr w:type="spellStart"/>
            <w:r w:rsidRPr="009577DE">
              <w:rPr>
                <w:b/>
                <w:bCs/>
                <w:sz w:val="16"/>
                <w:szCs w:val="16"/>
                <w:lang w:val="es-ES_tradnl"/>
              </w:rPr>
              <w:t>prog</w:t>
            </w:r>
            <w:proofErr w:type="spellEnd"/>
            <w:r w:rsidRPr="009577DE">
              <w:rPr>
                <w:b/>
                <w:bCs/>
                <w:sz w:val="16"/>
                <w:szCs w:val="16"/>
                <w:lang w:val="es-ES_tradnl"/>
              </w:rPr>
              <w:t>. 2012/13)</w:t>
            </w:r>
          </w:p>
        </w:tc>
        <w:tc>
          <w:tcPr>
            <w:tcW w:w="963" w:type="pct"/>
            <w:tcBorders>
              <w:top w:val="single" w:sz="4" w:space="0" w:color="auto"/>
            </w:tcBorders>
            <w:shd w:val="clear" w:color="auto" w:fill="auto"/>
            <w:tcMar>
              <w:top w:w="110" w:type="dxa"/>
            </w:tcMar>
            <w:vAlign w:val="center"/>
          </w:tcPr>
          <w:p w:rsidR="00B070BF" w:rsidRPr="009577DE" w:rsidRDefault="00B070BF" w:rsidP="00C33D4A">
            <w:pPr>
              <w:widowControl w:val="0"/>
              <w:spacing w:after="120"/>
              <w:rPr>
                <w:b/>
                <w:sz w:val="16"/>
                <w:szCs w:val="16"/>
                <w:lang w:val="es-ES_tradnl"/>
              </w:rPr>
            </w:pPr>
            <w:r w:rsidRPr="00BF138D">
              <w:rPr>
                <w:b/>
                <w:color w:val="993300"/>
                <w:sz w:val="16"/>
                <w:szCs w:val="16"/>
                <w:lang w:val="es-ES_tradnl"/>
              </w:rPr>
              <w:t>Referencia actualizada a finales de 2011</w:t>
            </w:r>
          </w:p>
        </w:tc>
        <w:tc>
          <w:tcPr>
            <w:tcW w:w="1606" w:type="pct"/>
            <w:tcBorders>
              <w:top w:val="single" w:sz="4" w:space="0" w:color="auto"/>
            </w:tcBorders>
            <w:shd w:val="clear" w:color="auto" w:fill="FFFFFF"/>
            <w:tcMar>
              <w:top w:w="110" w:type="dxa"/>
            </w:tcMar>
            <w:vAlign w:val="center"/>
          </w:tcPr>
          <w:p w:rsidR="00B070BF" w:rsidRPr="009577DE" w:rsidRDefault="00B070BF" w:rsidP="00C33D4A">
            <w:pPr>
              <w:widowControl w:val="0"/>
              <w:spacing w:after="120"/>
              <w:rPr>
                <w:sz w:val="16"/>
                <w:szCs w:val="16"/>
                <w:lang w:val="es-ES_tradnl"/>
              </w:rPr>
            </w:pPr>
            <w:r w:rsidRPr="009577DE">
              <w:rPr>
                <w:b/>
                <w:bCs/>
                <w:sz w:val="16"/>
                <w:szCs w:val="16"/>
                <w:lang w:val="es-ES_tradnl"/>
              </w:rPr>
              <w:t>Datos sobre el rendimiento</w:t>
            </w:r>
          </w:p>
        </w:tc>
        <w:tc>
          <w:tcPr>
            <w:tcW w:w="582" w:type="pct"/>
            <w:tcBorders>
              <w:top w:val="single" w:sz="4" w:space="0" w:color="auto"/>
            </w:tcBorders>
            <w:shd w:val="clear" w:color="auto" w:fill="auto"/>
            <w:tcMar>
              <w:top w:w="110" w:type="dxa"/>
            </w:tcMar>
            <w:vAlign w:val="center"/>
          </w:tcPr>
          <w:p w:rsidR="00B070BF" w:rsidRPr="009577DE" w:rsidRDefault="00B070BF" w:rsidP="00C33D4A">
            <w:pPr>
              <w:widowControl w:val="0"/>
              <w:spacing w:after="120"/>
              <w:jc w:val="center"/>
              <w:rPr>
                <w:b/>
                <w:bCs/>
                <w:sz w:val="16"/>
                <w:szCs w:val="16"/>
                <w:lang w:val="es-ES_tradnl"/>
              </w:rPr>
            </w:pPr>
            <w:r w:rsidRPr="009577DE">
              <w:rPr>
                <w:b/>
                <w:bCs/>
                <w:sz w:val="16"/>
                <w:szCs w:val="16"/>
                <w:lang w:val="es-ES_tradnl"/>
              </w:rPr>
              <w:t>Clave de colores</w:t>
            </w:r>
          </w:p>
        </w:tc>
      </w:tr>
      <w:tr w:rsidR="00B070BF" w:rsidRPr="009577DE" w:rsidTr="00C33D4A">
        <w:trPr>
          <w:cantSplit/>
        </w:trPr>
        <w:tc>
          <w:tcPr>
            <w:tcW w:w="1035" w:type="pct"/>
            <w:shd w:val="clear" w:color="auto" w:fill="auto"/>
          </w:tcPr>
          <w:p w:rsidR="00B070BF" w:rsidRPr="009577DE" w:rsidRDefault="00B070BF" w:rsidP="00C33D4A">
            <w:pPr>
              <w:widowControl w:val="0"/>
              <w:rPr>
                <w:sz w:val="16"/>
                <w:szCs w:val="16"/>
                <w:lang w:val="es-ES_tradnl"/>
              </w:rPr>
            </w:pPr>
            <w:r w:rsidRPr="009577DE">
              <w:rPr>
                <w:sz w:val="16"/>
                <w:szCs w:val="16"/>
                <w:lang w:val="es-ES_tradnl"/>
              </w:rPr>
              <w:t>Inclusión de cuestiones relacionadas con el desarrollo en los programas de formación de la OMPI sobre observancia.</w:t>
            </w:r>
          </w:p>
        </w:tc>
        <w:tc>
          <w:tcPr>
            <w:tcW w:w="815" w:type="pct"/>
            <w:shd w:val="clear" w:color="auto" w:fill="C0C0C0"/>
          </w:tcPr>
          <w:p w:rsidR="00B070BF" w:rsidRPr="009577DE" w:rsidRDefault="00B070BF" w:rsidP="00C33D4A">
            <w:pPr>
              <w:widowControl w:val="0"/>
              <w:rPr>
                <w:sz w:val="16"/>
                <w:szCs w:val="16"/>
                <w:lang w:val="es-ES_tradnl"/>
              </w:rPr>
            </w:pPr>
            <w:r w:rsidRPr="009577DE">
              <w:rPr>
                <w:sz w:val="16"/>
                <w:szCs w:val="16"/>
                <w:lang w:val="es-ES_tradnl"/>
              </w:rPr>
              <w:t>No se dispone de datos actualizados.</w:t>
            </w:r>
          </w:p>
        </w:tc>
        <w:tc>
          <w:tcPr>
            <w:tcW w:w="963" w:type="pct"/>
            <w:shd w:val="clear" w:color="auto" w:fill="auto"/>
            <w:tcMar>
              <w:top w:w="110" w:type="dxa"/>
            </w:tcMar>
          </w:tcPr>
          <w:p w:rsidR="00B070BF" w:rsidRPr="009577DE" w:rsidRDefault="00B070BF" w:rsidP="00C33D4A">
            <w:pPr>
              <w:widowControl w:val="0"/>
              <w:rPr>
                <w:i/>
                <w:sz w:val="16"/>
                <w:szCs w:val="16"/>
                <w:lang w:val="es-ES_tradnl"/>
              </w:rPr>
            </w:pPr>
          </w:p>
        </w:tc>
        <w:tc>
          <w:tcPr>
            <w:tcW w:w="1606" w:type="pct"/>
            <w:shd w:val="clear" w:color="auto" w:fill="FFFFFF"/>
            <w:tcMar>
              <w:top w:w="110" w:type="dxa"/>
            </w:tcMar>
          </w:tcPr>
          <w:p w:rsidR="00B070BF" w:rsidRPr="009577DE" w:rsidRDefault="00B070BF" w:rsidP="00C33D4A">
            <w:pPr>
              <w:widowControl w:val="0"/>
              <w:rPr>
                <w:sz w:val="16"/>
                <w:szCs w:val="16"/>
                <w:lang w:val="es-ES_tradnl" w:bidi="th-TH"/>
              </w:rPr>
            </w:pPr>
            <w:r w:rsidRPr="009577DE">
              <w:rPr>
                <w:sz w:val="16"/>
                <w:szCs w:val="16"/>
                <w:lang w:val="es-ES_tradnl" w:bidi="th-TH"/>
              </w:rPr>
              <w:t xml:space="preserve">En 2012 se llevaron a cabo 11 actividades regionales o subregionales y 9 nacionales de creación de capacidad, así como 5 visitas de estudio o reuniones con funcionarios encargados de velar por el cumplimiento de la ley, jueces y personal de oficinas de P.I. en la sede de la OMPI;  los programas de todas estas actividades se orientaron por la recomendación Nº 45 de la Agenda para el Desarrollo.  </w:t>
            </w:r>
          </w:p>
        </w:tc>
        <w:tc>
          <w:tcPr>
            <w:tcW w:w="582" w:type="pct"/>
            <w:shd w:val="clear" w:color="auto" w:fill="auto"/>
            <w:tcMar>
              <w:top w:w="110" w:type="dxa"/>
            </w:tcMar>
          </w:tcPr>
          <w:p w:rsidR="00B070BF" w:rsidRPr="009577DE" w:rsidRDefault="00B070BF" w:rsidP="00C33D4A">
            <w:pPr>
              <w:widowControl w:val="0"/>
              <w:jc w:val="center"/>
              <w:rPr>
                <w:b/>
                <w:sz w:val="16"/>
                <w:szCs w:val="16"/>
                <w:lang w:val="es-ES_tradnl"/>
              </w:rPr>
            </w:pPr>
            <w:r w:rsidRPr="009577DE">
              <w:rPr>
                <w:b/>
                <w:color w:val="008000"/>
                <w:sz w:val="16"/>
                <w:szCs w:val="16"/>
                <w:lang w:val="es-ES_tradnl"/>
              </w:rPr>
              <w:t>Progresa con normalidad</w:t>
            </w:r>
          </w:p>
          <w:p w:rsidR="00B070BF" w:rsidRPr="009577DE" w:rsidRDefault="00B070BF" w:rsidP="00C33D4A">
            <w:pPr>
              <w:widowControl w:val="0"/>
              <w:jc w:val="center"/>
              <w:rPr>
                <w:bCs/>
                <w:sz w:val="16"/>
                <w:szCs w:val="16"/>
                <w:lang w:val="es-ES_tradnl"/>
              </w:rPr>
            </w:pPr>
          </w:p>
          <w:p w:rsidR="00B070BF" w:rsidRPr="009577DE" w:rsidRDefault="00B070BF" w:rsidP="00C33D4A">
            <w:pPr>
              <w:widowControl w:val="0"/>
              <w:jc w:val="center"/>
              <w:rPr>
                <w:bCs/>
                <w:sz w:val="16"/>
                <w:szCs w:val="16"/>
                <w:lang w:val="es-ES_tradnl"/>
              </w:rPr>
            </w:pPr>
          </w:p>
        </w:tc>
      </w:tr>
      <w:tr w:rsidR="00B070BF" w:rsidRPr="009577DE" w:rsidTr="00C33D4A">
        <w:trPr>
          <w:cantSplit/>
        </w:trPr>
        <w:tc>
          <w:tcPr>
            <w:tcW w:w="1035" w:type="pct"/>
            <w:tcBorders>
              <w:bottom w:val="single" w:sz="4" w:space="0" w:color="auto"/>
            </w:tcBorders>
            <w:shd w:val="clear" w:color="auto" w:fill="auto"/>
          </w:tcPr>
          <w:p w:rsidR="00B070BF" w:rsidRPr="009577DE" w:rsidRDefault="00B070BF" w:rsidP="00C33D4A">
            <w:pPr>
              <w:widowControl w:val="0"/>
              <w:rPr>
                <w:sz w:val="16"/>
                <w:szCs w:val="16"/>
                <w:lang w:val="es-ES_tradnl"/>
              </w:rPr>
            </w:pPr>
            <w:r w:rsidRPr="009577DE">
              <w:rPr>
                <w:sz w:val="16"/>
                <w:szCs w:val="16"/>
                <w:lang w:val="es-ES_tradnl"/>
              </w:rPr>
              <w:t>Porcentaje de funcionarios de observancia que recibieron formación y que están satisfechos con la formación recibida y su utilidad en la vida profesional.</w:t>
            </w:r>
          </w:p>
        </w:tc>
        <w:tc>
          <w:tcPr>
            <w:tcW w:w="815" w:type="pct"/>
            <w:tcBorders>
              <w:bottom w:val="single" w:sz="4" w:space="0" w:color="auto"/>
            </w:tcBorders>
            <w:shd w:val="clear" w:color="auto" w:fill="C0C0C0"/>
          </w:tcPr>
          <w:p w:rsidR="00B070BF" w:rsidRPr="009577DE" w:rsidRDefault="00B070BF" w:rsidP="00C33D4A">
            <w:pPr>
              <w:widowControl w:val="0"/>
              <w:rPr>
                <w:sz w:val="16"/>
                <w:szCs w:val="16"/>
                <w:lang w:val="es-ES_tradnl"/>
              </w:rPr>
            </w:pPr>
            <w:r w:rsidRPr="009577DE">
              <w:rPr>
                <w:sz w:val="16"/>
                <w:szCs w:val="16"/>
                <w:lang w:val="es-ES_tradnl"/>
              </w:rPr>
              <w:t>No se dispone de datos actualizados.</w:t>
            </w:r>
          </w:p>
        </w:tc>
        <w:tc>
          <w:tcPr>
            <w:tcW w:w="963" w:type="pct"/>
            <w:tcBorders>
              <w:bottom w:val="single" w:sz="4" w:space="0" w:color="auto"/>
            </w:tcBorders>
            <w:shd w:val="clear" w:color="auto" w:fill="auto"/>
            <w:tcMar>
              <w:top w:w="110" w:type="dxa"/>
            </w:tcMar>
          </w:tcPr>
          <w:p w:rsidR="00B070BF" w:rsidRPr="009577DE" w:rsidRDefault="00B070BF" w:rsidP="00C33D4A">
            <w:pPr>
              <w:widowControl w:val="0"/>
              <w:rPr>
                <w:sz w:val="16"/>
                <w:szCs w:val="16"/>
                <w:highlight w:val="cyan"/>
                <w:lang w:val="es-ES_tradnl" w:bidi="th-TH"/>
              </w:rPr>
            </w:pPr>
          </w:p>
        </w:tc>
        <w:tc>
          <w:tcPr>
            <w:tcW w:w="1606" w:type="pct"/>
            <w:tcBorders>
              <w:bottom w:val="single" w:sz="4" w:space="0" w:color="auto"/>
            </w:tcBorders>
            <w:shd w:val="clear" w:color="auto" w:fill="FFFFFF"/>
            <w:tcMar>
              <w:top w:w="110" w:type="dxa"/>
            </w:tcMar>
          </w:tcPr>
          <w:p w:rsidR="00B070BF" w:rsidRPr="009577DE" w:rsidRDefault="00B070BF" w:rsidP="00C33D4A">
            <w:pPr>
              <w:widowControl w:val="0"/>
              <w:ind w:right="64"/>
              <w:rPr>
                <w:sz w:val="16"/>
                <w:szCs w:val="16"/>
                <w:lang w:val="es-ES_tradnl"/>
              </w:rPr>
            </w:pPr>
            <w:r w:rsidRPr="009577DE">
              <w:rPr>
                <w:sz w:val="16"/>
                <w:szCs w:val="16"/>
                <w:lang w:val="es-ES_tradnl"/>
              </w:rPr>
              <w:t xml:space="preserve">Un índice de satisfacción de más del 80% en lo tocante a la pertinencia de los temas, el interés de los participantes en la materia y la calidad de las exposiciones. </w:t>
            </w:r>
          </w:p>
          <w:p w:rsidR="00B070BF" w:rsidRPr="009577DE" w:rsidRDefault="00B070BF" w:rsidP="00C33D4A">
            <w:pPr>
              <w:widowControl w:val="0"/>
              <w:rPr>
                <w:sz w:val="16"/>
                <w:szCs w:val="16"/>
                <w:highlight w:val="cyan"/>
                <w:lang w:val="es-ES_tradnl"/>
              </w:rPr>
            </w:pPr>
          </w:p>
          <w:p w:rsidR="00B070BF" w:rsidRPr="009577DE" w:rsidRDefault="00B070BF" w:rsidP="00C33D4A">
            <w:pPr>
              <w:widowControl w:val="0"/>
              <w:rPr>
                <w:sz w:val="16"/>
                <w:szCs w:val="16"/>
                <w:highlight w:val="cyan"/>
                <w:lang w:val="es-ES_tradnl" w:bidi="th-TH"/>
              </w:rPr>
            </w:pPr>
          </w:p>
          <w:p w:rsidR="00B070BF" w:rsidRPr="009577DE" w:rsidRDefault="00B070BF" w:rsidP="00C33D4A">
            <w:pPr>
              <w:widowControl w:val="0"/>
              <w:rPr>
                <w:sz w:val="16"/>
                <w:szCs w:val="16"/>
                <w:highlight w:val="cyan"/>
                <w:lang w:val="es-ES_tradnl"/>
              </w:rPr>
            </w:pPr>
          </w:p>
          <w:p w:rsidR="00B070BF" w:rsidRPr="009577DE" w:rsidRDefault="00B070BF" w:rsidP="00C33D4A">
            <w:pPr>
              <w:widowControl w:val="0"/>
              <w:rPr>
                <w:sz w:val="16"/>
                <w:szCs w:val="16"/>
                <w:highlight w:val="cyan"/>
                <w:lang w:val="es-ES_tradnl"/>
              </w:rPr>
            </w:pPr>
          </w:p>
        </w:tc>
        <w:tc>
          <w:tcPr>
            <w:tcW w:w="582" w:type="pct"/>
            <w:tcBorders>
              <w:bottom w:val="single" w:sz="4" w:space="0" w:color="auto"/>
            </w:tcBorders>
            <w:shd w:val="clear" w:color="auto" w:fill="auto"/>
            <w:tcMar>
              <w:top w:w="110" w:type="dxa"/>
            </w:tcMar>
          </w:tcPr>
          <w:p w:rsidR="00B070BF" w:rsidRPr="009577DE" w:rsidRDefault="00B070BF" w:rsidP="00C33D4A">
            <w:pPr>
              <w:widowControl w:val="0"/>
              <w:jc w:val="center"/>
              <w:rPr>
                <w:bCs/>
                <w:sz w:val="16"/>
                <w:szCs w:val="16"/>
                <w:lang w:val="es-ES_tradnl"/>
              </w:rPr>
            </w:pPr>
            <w:r w:rsidRPr="009577DE">
              <w:rPr>
                <w:b/>
                <w:color w:val="008000"/>
                <w:sz w:val="16"/>
                <w:szCs w:val="16"/>
                <w:lang w:val="es-ES_tradnl"/>
              </w:rPr>
              <w:t>Progresa con normalidad</w:t>
            </w:r>
          </w:p>
          <w:p w:rsidR="00B070BF" w:rsidRPr="009577DE" w:rsidRDefault="00B070BF" w:rsidP="00C33D4A">
            <w:pPr>
              <w:widowControl w:val="0"/>
              <w:jc w:val="center"/>
              <w:rPr>
                <w:bCs/>
                <w:sz w:val="16"/>
                <w:szCs w:val="16"/>
                <w:lang w:val="es-ES_tradnl"/>
              </w:rPr>
            </w:pPr>
          </w:p>
          <w:p w:rsidR="00B070BF" w:rsidRPr="009577DE" w:rsidRDefault="00B070BF" w:rsidP="00C33D4A">
            <w:pPr>
              <w:widowControl w:val="0"/>
              <w:jc w:val="center"/>
              <w:rPr>
                <w:bCs/>
                <w:sz w:val="16"/>
                <w:szCs w:val="16"/>
                <w:lang w:val="es-ES_tradnl"/>
              </w:rPr>
            </w:pPr>
          </w:p>
        </w:tc>
      </w:tr>
      <w:tr w:rsidR="00B070BF" w:rsidRPr="009577DE" w:rsidTr="00C33D4A">
        <w:trPr>
          <w:cantSplit/>
        </w:trPr>
        <w:tc>
          <w:tcPr>
            <w:tcW w:w="5000" w:type="pct"/>
            <w:gridSpan w:val="5"/>
            <w:tcBorders>
              <w:top w:val="single" w:sz="4" w:space="0" w:color="auto"/>
              <w:bottom w:val="single" w:sz="4" w:space="0" w:color="auto"/>
            </w:tcBorders>
            <w:shd w:val="clear" w:color="auto" w:fill="CCFFFF"/>
            <w:vAlign w:val="center"/>
          </w:tcPr>
          <w:p w:rsidR="00B070BF" w:rsidRPr="009577DE" w:rsidRDefault="00B070BF" w:rsidP="00C33D4A">
            <w:pPr>
              <w:keepNext/>
              <w:widowControl w:val="0"/>
              <w:spacing w:before="120" w:after="120"/>
              <w:ind w:left="1735" w:hanging="1735"/>
              <w:rPr>
                <w:b/>
                <w:bCs/>
                <w:sz w:val="16"/>
                <w:szCs w:val="16"/>
                <w:lang w:val="es-ES_tradnl"/>
              </w:rPr>
            </w:pPr>
            <w:r w:rsidRPr="009577DE">
              <w:rPr>
                <w:b/>
                <w:bCs/>
                <w:sz w:val="16"/>
                <w:szCs w:val="16"/>
                <w:lang w:val="es-ES_tradnl"/>
              </w:rPr>
              <w:lastRenderedPageBreak/>
              <w:t>Resultado previsto:</w:t>
            </w:r>
            <w:r w:rsidRPr="009577DE">
              <w:rPr>
                <w:b/>
                <w:bCs/>
                <w:sz w:val="16"/>
                <w:szCs w:val="16"/>
                <w:lang w:val="es-ES_tradnl"/>
              </w:rPr>
              <w:tab/>
            </w:r>
            <w:r w:rsidRPr="009577DE">
              <w:rPr>
                <w:bCs/>
                <w:sz w:val="16"/>
                <w:szCs w:val="16"/>
                <w:lang w:val="es-ES_tradnl"/>
              </w:rPr>
              <w:t xml:space="preserve"> Cooperación y coordinación sistemáticas, transparentes y eficaces entre la labor de la OMPI y otras organizaciones internacionales en el ámbito del cultivo del respeto por la P.I.</w:t>
            </w:r>
          </w:p>
        </w:tc>
      </w:tr>
      <w:tr w:rsidR="00B070BF" w:rsidRPr="009577DE" w:rsidTr="00C33D4A">
        <w:trPr>
          <w:cantSplit/>
        </w:trPr>
        <w:tc>
          <w:tcPr>
            <w:tcW w:w="1035" w:type="pct"/>
            <w:tcBorders>
              <w:top w:val="single" w:sz="4" w:space="0" w:color="auto"/>
            </w:tcBorders>
            <w:shd w:val="clear" w:color="auto" w:fill="auto"/>
            <w:vAlign w:val="center"/>
          </w:tcPr>
          <w:p w:rsidR="00B070BF" w:rsidRPr="009577DE" w:rsidRDefault="00B070BF" w:rsidP="00C33D4A">
            <w:pPr>
              <w:widowControl w:val="0"/>
              <w:spacing w:after="120"/>
              <w:rPr>
                <w:sz w:val="16"/>
                <w:szCs w:val="16"/>
                <w:lang w:val="es-ES_tradnl"/>
              </w:rPr>
            </w:pPr>
            <w:r w:rsidRPr="009577DE">
              <w:rPr>
                <w:b/>
                <w:bCs/>
                <w:sz w:val="16"/>
                <w:szCs w:val="16"/>
                <w:lang w:val="es-ES_tradnl"/>
              </w:rPr>
              <w:t>Indicadores de rendimiento</w:t>
            </w:r>
          </w:p>
        </w:tc>
        <w:tc>
          <w:tcPr>
            <w:tcW w:w="815" w:type="pct"/>
            <w:tcBorders>
              <w:top w:val="single" w:sz="4" w:space="0" w:color="auto"/>
            </w:tcBorders>
            <w:shd w:val="clear" w:color="auto" w:fill="C0C0C0"/>
          </w:tcPr>
          <w:p w:rsidR="00B070BF" w:rsidRPr="009577DE" w:rsidRDefault="00B070BF" w:rsidP="00C33D4A">
            <w:pPr>
              <w:widowControl w:val="0"/>
              <w:spacing w:after="120"/>
              <w:rPr>
                <w:b/>
                <w:bCs/>
                <w:sz w:val="16"/>
                <w:szCs w:val="16"/>
                <w:lang w:val="es-ES_tradnl"/>
              </w:rPr>
            </w:pPr>
            <w:r w:rsidRPr="009577DE">
              <w:rPr>
                <w:b/>
                <w:bCs/>
                <w:sz w:val="16"/>
                <w:szCs w:val="16"/>
                <w:lang w:val="es-ES_tradnl"/>
              </w:rPr>
              <w:t>Referencia (</w:t>
            </w:r>
            <w:proofErr w:type="spellStart"/>
            <w:r w:rsidRPr="009577DE">
              <w:rPr>
                <w:b/>
                <w:bCs/>
                <w:sz w:val="16"/>
                <w:szCs w:val="16"/>
                <w:lang w:val="es-ES_tradnl"/>
              </w:rPr>
              <w:t>Presup</w:t>
            </w:r>
            <w:proofErr w:type="spellEnd"/>
            <w:r w:rsidRPr="009577DE">
              <w:rPr>
                <w:b/>
                <w:bCs/>
                <w:sz w:val="16"/>
                <w:szCs w:val="16"/>
                <w:lang w:val="es-ES_tradnl"/>
              </w:rPr>
              <w:t xml:space="preserve">. por </w:t>
            </w:r>
            <w:proofErr w:type="spellStart"/>
            <w:r w:rsidRPr="009577DE">
              <w:rPr>
                <w:b/>
                <w:bCs/>
                <w:sz w:val="16"/>
                <w:szCs w:val="16"/>
                <w:lang w:val="es-ES_tradnl"/>
              </w:rPr>
              <w:t>prog</w:t>
            </w:r>
            <w:proofErr w:type="spellEnd"/>
            <w:r w:rsidRPr="009577DE">
              <w:rPr>
                <w:b/>
                <w:bCs/>
                <w:sz w:val="16"/>
                <w:szCs w:val="16"/>
                <w:lang w:val="es-ES_tradnl"/>
              </w:rPr>
              <w:t>. 2012/13)</w:t>
            </w:r>
          </w:p>
        </w:tc>
        <w:tc>
          <w:tcPr>
            <w:tcW w:w="963" w:type="pct"/>
            <w:tcBorders>
              <w:top w:val="single" w:sz="4" w:space="0" w:color="auto"/>
            </w:tcBorders>
            <w:shd w:val="clear" w:color="auto" w:fill="auto"/>
            <w:tcMar>
              <w:top w:w="110" w:type="dxa"/>
            </w:tcMar>
            <w:vAlign w:val="center"/>
          </w:tcPr>
          <w:p w:rsidR="00B070BF" w:rsidRPr="009577DE" w:rsidRDefault="00B070BF" w:rsidP="00C33D4A">
            <w:pPr>
              <w:widowControl w:val="0"/>
              <w:spacing w:after="120"/>
              <w:rPr>
                <w:b/>
                <w:sz w:val="16"/>
                <w:szCs w:val="16"/>
                <w:lang w:val="es-ES_tradnl"/>
              </w:rPr>
            </w:pPr>
            <w:r w:rsidRPr="00BF138D">
              <w:rPr>
                <w:b/>
                <w:color w:val="993300"/>
                <w:sz w:val="16"/>
                <w:szCs w:val="16"/>
                <w:lang w:val="es-ES_tradnl"/>
              </w:rPr>
              <w:t>Referencia actualizada a finales de 2011</w:t>
            </w:r>
          </w:p>
        </w:tc>
        <w:tc>
          <w:tcPr>
            <w:tcW w:w="1606" w:type="pct"/>
            <w:tcBorders>
              <w:top w:val="single" w:sz="4" w:space="0" w:color="auto"/>
            </w:tcBorders>
            <w:shd w:val="clear" w:color="auto" w:fill="FFFFFF"/>
            <w:tcMar>
              <w:top w:w="110" w:type="dxa"/>
            </w:tcMar>
            <w:vAlign w:val="center"/>
          </w:tcPr>
          <w:p w:rsidR="00B070BF" w:rsidRPr="009577DE" w:rsidRDefault="00B070BF" w:rsidP="00C33D4A">
            <w:pPr>
              <w:widowControl w:val="0"/>
              <w:spacing w:after="120"/>
              <w:rPr>
                <w:sz w:val="16"/>
                <w:szCs w:val="16"/>
                <w:lang w:val="es-ES_tradnl"/>
              </w:rPr>
            </w:pPr>
            <w:r w:rsidRPr="009577DE">
              <w:rPr>
                <w:b/>
                <w:bCs/>
                <w:sz w:val="16"/>
                <w:szCs w:val="16"/>
                <w:lang w:val="es-ES_tradnl"/>
              </w:rPr>
              <w:t>Datos sobre el rendimiento</w:t>
            </w:r>
          </w:p>
        </w:tc>
        <w:tc>
          <w:tcPr>
            <w:tcW w:w="582" w:type="pct"/>
            <w:tcBorders>
              <w:top w:val="single" w:sz="4" w:space="0" w:color="auto"/>
            </w:tcBorders>
            <w:shd w:val="clear" w:color="auto" w:fill="auto"/>
            <w:tcMar>
              <w:top w:w="110" w:type="dxa"/>
            </w:tcMar>
            <w:vAlign w:val="center"/>
          </w:tcPr>
          <w:p w:rsidR="00B070BF" w:rsidRPr="009577DE" w:rsidRDefault="00B070BF" w:rsidP="00C33D4A">
            <w:pPr>
              <w:widowControl w:val="0"/>
              <w:spacing w:after="120"/>
              <w:jc w:val="center"/>
              <w:rPr>
                <w:b/>
                <w:bCs/>
                <w:sz w:val="16"/>
                <w:szCs w:val="16"/>
                <w:lang w:val="es-ES_tradnl"/>
              </w:rPr>
            </w:pPr>
            <w:r w:rsidRPr="009577DE">
              <w:rPr>
                <w:b/>
                <w:bCs/>
                <w:sz w:val="16"/>
                <w:szCs w:val="16"/>
                <w:lang w:val="es-ES_tradnl"/>
              </w:rPr>
              <w:t>Clave de colores</w:t>
            </w:r>
          </w:p>
        </w:tc>
      </w:tr>
      <w:tr w:rsidR="00B070BF" w:rsidRPr="009577DE" w:rsidTr="00C33D4A">
        <w:trPr>
          <w:cantSplit/>
        </w:trPr>
        <w:tc>
          <w:tcPr>
            <w:tcW w:w="1035" w:type="pct"/>
            <w:shd w:val="clear" w:color="auto" w:fill="auto"/>
          </w:tcPr>
          <w:p w:rsidR="00B070BF" w:rsidRPr="009577DE" w:rsidRDefault="00B070BF" w:rsidP="00C33D4A">
            <w:pPr>
              <w:widowControl w:val="0"/>
              <w:rPr>
                <w:sz w:val="16"/>
                <w:szCs w:val="16"/>
                <w:lang w:val="es-ES_tradnl"/>
              </w:rPr>
            </w:pPr>
            <w:r w:rsidRPr="009577DE">
              <w:rPr>
                <w:sz w:val="16"/>
                <w:szCs w:val="16"/>
                <w:lang w:val="es-ES_tradnl"/>
              </w:rPr>
              <w:t xml:space="preserve">Número de mecanismos de cooperación oficial en vigor. </w:t>
            </w:r>
            <w:r w:rsidRPr="009577DE">
              <w:rPr>
                <w:sz w:val="16"/>
                <w:szCs w:val="16"/>
                <w:lang w:val="es-ES_tradnl"/>
              </w:rPr>
              <w:br/>
            </w:r>
          </w:p>
        </w:tc>
        <w:tc>
          <w:tcPr>
            <w:tcW w:w="815" w:type="pct"/>
            <w:shd w:val="clear" w:color="auto" w:fill="C0C0C0"/>
          </w:tcPr>
          <w:p w:rsidR="00B070BF" w:rsidRPr="009577DE" w:rsidRDefault="00B070BF" w:rsidP="00C33D4A">
            <w:pPr>
              <w:widowControl w:val="0"/>
              <w:rPr>
                <w:sz w:val="16"/>
                <w:szCs w:val="16"/>
                <w:lang w:val="es-ES_tradnl"/>
              </w:rPr>
            </w:pPr>
            <w:r w:rsidRPr="009577DE">
              <w:rPr>
                <w:sz w:val="16"/>
                <w:szCs w:val="16"/>
                <w:lang w:val="es-ES_tradnl"/>
              </w:rPr>
              <w:t>Tres</w:t>
            </w:r>
            <w:r w:rsidRPr="009577DE">
              <w:rPr>
                <w:sz w:val="16"/>
                <w:szCs w:val="16"/>
                <w:lang w:val="es-ES_tradnl"/>
              </w:rPr>
              <w:br/>
            </w:r>
            <w:r w:rsidRPr="009577DE">
              <w:rPr>
                <w:sz w:val="16"/>
                <w:szCs w:val="16"/>
                <w:lang w:val="es-ES_tradnl"/>
              </w:rPr>
              <w:br/>
            </w:r>
          </w:p>
        </w:tc>
        <w:tc>
          <w:tcPr>
            <w:tcW w:w="963" w:type="pct"/>
            <w:shd w:val="clear" w:color="auto" w:fill="auto"/>
            <w:tcMar>
              <w:top w:w="110" w:type="dxa"/>
            </w:tcMar>
          </w:tcPr>
          <w:p w:rsidR="00B070BF" w:rsidRPr="009577DE" w:rsidRDefault="00B070BF" w:rsidP="00C33D4A">
            <w:pPr>
              <w:widowControl w:val="0"/>
              <w:rPr>
                <w:i/>
                <w:sz w:val="16"/>
                <w:szCs w:val="16"/>
                <w:lang w:val="es-ES_tradnl"/>
              </w:rPr>
            </w:pPr>
          </w:p>
        </w:tc>
        <w:tc>
          <w:tcPr>
            <w:tcW w:w="1606" w:type="pct"/>
            <w:shd w:val="clear" w:color="auto" w:fill="FFFFFF"/>
            <w:tcMar>
              <w:top w:w="110" w:type="dxa"/>
            </w:tcMar>
          </w:tcPr>
          <w:p w:rsidR="00B070BF" w:rsidRPr="009577DE" w:rsidRDefault="00B070BF" w:rsidP="00C33D4A">
            <w:pPr>
              <w:widowControl w:val="0"/>
              <w:rPr>
                <w:sz w:val="16"/>
                <w:szCs w:val="16"/>
                <w:lang w:val="es-ES_tradnl" w:bidi="th-TH"/>
              </w:rPr>
            </w:pPr>
            <w:r w:rsidRPr="009577DE">
              <w:rPr>
                <w:sz w:val="16"/>
                <w:szCs w:val="16"/>
                <w:lang w:val="es-ES_tradnl" w:bidi="th-TH"/>
              </w:rPr>
              <w:t>Tres</w:t>
            </w:r>
          </w:p>
          <w:p w:rsidR="00B070BF" w:rsidRPr="009577DE" w:rsidRDefault="00B070BF" w:rsidP="00C33D4A">
            <w:pPr>
              <w:widowControl w:val="0"/>
              <w:rPr>
                <w:sz w:val="16"/>
                <w:szCs w:val="16"/>
                <w:lang w:val="es-ES_tradnl" w:bidi="th-TH"/>
              </w:rPr>
            </w:pPr>
          </w:p>
          <w:p w:rsidR="00B070BF" w:rsidRPr="009577DE" w:rsidRDefault="00B070BF" w:rsidP="00C33D4A">
            <w:pPr>
              <w:widowControl w:val="0"/>
              <w:rPr>
                <w:sz w:val="16"/>
                <w:szCs w:val="16"/>
                <w:lang w:val="es-ES_tradnl" w:bidi="th-TH"/>
              </w:rPr>
            </w:pPr>
          </w:p>
          <w:p w:rsidR="00B070BF" w:rsidRPr="009577DE" w:rsidRDefault="00B070BF" w:rsidP="00C33D4A">
            <w:pPr>
              <w:widowControl w:val="0"/>
              <w:rPr>
                <w:sz w:val="16"/>
                <w:szCs w:val="16"/>
                <w:lang w:val="es-ES_tradnl" w:bidi="th-TH"/>
              </w:rPr>
            </w:pPr>
          </w:p>
          <w:p w:rsidR="00B070BF" w:rsidRPr="009577DE" w:rsidRDefault="00B070BF" w:rsidP="00C33D4A">
            <w:pPr>
              <w:widowControl w:val="0"/>
              <w:rPr>
                <w:sz w:val="16"/>
                <w:szCs w:val="16"/>
                <w:lang w:val="es-ES_tradnl"/>
              </w:rPr>
            </w:pPr>
          </w:p>
        </w:tc>
        <w:tc>
          <w:tcPr>
            <w:tcW w:w="582" w:type="pct"/>
            <w:shd w:val="clear" w:color="auto" w:fill="auto"/>
            <w:tcMar>
              <w:top w:w="110" w:type="dxa"/>
            </w:tcMar>
          </w:tcPr>
          <w:p w:rsidR="00B070BF" w:rsidRPr="009577DE" w:rsidRDefault="00B070BF" w:rsidP="00C33D4A">
            <w:pPr>
              <w:widowControl w:val="0"/>
              <w:jc w:val="center"/>
              <w:rPr>
                <w:bCs/>
                <w:sz w:val="16"/>
                <w:szCs w:val="16"/>
                <w:lang w:val="es-ES_tradnl"/>
              </w:rPr>
            </w:pPr>
            <w:r w:rsidRPr="009577DE">
              <w:rPr>
                <w:b/>
                <w:color w:val="008000"/>
                <w:sz w:val="16"/>
                <w:szCs w:val="16"/>
                <w:lang w:val="es-ES_tradnl"/>
              </w:rPr>
              <w:t>Progresa con normalidad</w:t>
            </w:r>
          </w:p>
          <w:p w:rsidR="00B070BF" w:rsidRPr="009577DE" w:rsidRDefault="00B070BF" w:rsidP="00C33D4A">
            <w:pPr>
              <w:widowControl w:val="0"/>
              <w:jc w:val="center"/>
              <w:rPr>
                <w:bCs/>
                <w:sz w:val="16"/>
                <w:szCs w:val="16"/>
                <w:lang w:val="es-ES_tradnl"/>
              </w:rPr>
            </w:pPr>
          </w:p>
          <w:p w:rsidR="00B070BF" w:rsidRPr="009577DE" w:rsidRDefault="00B070BF" w:rsidP="00C33D4A">
            <w:pPr>
              <w:widowControl w:val="0"/>
              <w:jc w:val="center"/>
              <w:rPr>
                <w:bCs/>
                <w:sz w:val="16"/>
                <w:szCs w:val="16"/>
                <w:lang w:val="es-ES_tradnl"/>
              </w:rPr>
            </w:pPr>
          </w:p>
        </w:tc>
      </w:tr>
      <w:tr w:rsidR="00B070BF" w:rsidRPr="009577DE" w:rsidTr="00C33D4A">
        <w:trPr>
          <w:cantSplit/>
        </w:trPr>
        <w:tc>
          <w:tcPr>
            <w:tcW w:w="1035" w:type="pct"/>
            <w:shd w:val="clear" w:color="auto" w:fill="auto"/>
          </w:tcPr>
          <w:p w:rsidR="00B070BF" w:rsidRPr="009577DE" w:rsidRDefault="00B070BF" w:rsidP="00C33D4A">
            <w:pPr>
              <w:widowControl w:val="0"/>
              <w:rPr>
                <w:sz w:val="16"/>
                <w:szCs w:val="16"/>
                <w:lang w:val="es-ES_tradnl"/>
              </w:rPr>
            </w:pPr>
            <w:r w:rsidRPr="009577DE">
              <w:rPr>
                <w:sz w:val="16"/>
                <w:szCs w:val="16"/>
                <w:lang w:val="es-ES_tradnl"/>
              </w:rPr>
              <w:t xml:space="preserve">Número de actividades conjuntas. </w:t>
            </w:r>
          </w:p>
        </w:tc>
        <w:tc>
          <w:tcPr>
            <w:tcW w:w="815" w:type="pct"/>
            <w:shd w:val="clear" w:color="auto" w:fill="C0C0C0"/>
          </w:tcPr>
          <w:p w:rsidR="00B070BF" w:rsidRPr="009577DE" w:rsidRDefault="00B070BF" w:rsidP="00C33D4A">
            <w:pPr>
              <w:widowControl w:val="0"/>
              <w:rPr>
                <w:sz w:val="16"/>
                <w:szCs w:val="16"/>
                <w:lang w:val="es-ES_tradnl"/>
              </w:rPr>
            </w:pPr>
            <w:r w:rsidRPr="009577DE">
              <w:rPr>
                <w:sz w:val="16"/>
                <w:szCs w:val="16"/>
                <w:lang w:val="es-ES_tradnl"/>
              </w:rPr>
              <w:t>30</w:t>
            </w:r>
          </w:p>
        </w:tc>
        <w:tc>
          <w:tcPr>
            <w:tcW w:w="963" w:type="pct"/>
            <w:shd w:val="clear" w:color="auto" w:fill="auto"/>
            <w:tcMar>
              <w:top w:w="110" w:type="dxa"/>
            </w:tcMar>
          </w:tcPr>
          <w:p w:rsidR="00B070BF" w:rsidRPr="009577DE" w:rsidRDefault="00B070BF" w:rsidP="00C33D4A">
            <w:pPr>
              <w:widowControl w:val="0"/>
              <w:rPr>
                <w:sz w:val="16"/>
                <w:szCs w:val="16"/>
                <w:lang w:val="es-ES_tradnl" w:bidi="th-TH"/>
              </w:rPr>
            </w:pPr>
            <w:r w:rsidRPr="00F2661C">
              <w:rPr>
                <w:color w:val="993300"/>
                <w:sz w:val="16"/>
                <w:szCs w:val="16"/>
                <w:lang w:val="es-ES_tradnl" w:bidi="th-TH"/>
              </w:rPr>
              <w:t>35 (en 2010/11)</w:t>
            </w:r>
          </w:p>
        </w:tc>
        <w:tc>
          <w:tcPr>
            <w:tcW w:w="1606" w:type="pct"/>
            <w:shd w:val="clear" w:color="auto" w:fill="FFFFFF"/>
            <w:tcMar>
              <w:top w:w="110" w:type="dxa"/>
            </w:tcMar>
          </w:tcPr>
          <w:p w:rsidR="00B070BF" w:rsidRPr="009577DE" w:rsidRDefault="00B070BF" w:rsidP="00C33D4A">
            <w:pPr>
              <w:widowControl w:val="0"/>
              <w:rPr>
                <w:sz w:val="16"/>
                <w:szCs w:val="16"/>
                <w:lang w:val="es-ES_tradnl"/>
              </w:rPr>
            </w:pPr>
            <w:r w:rsidRPr="009577DE">
              <w:rPr>
                <w:sz w:val="16"/>
                <w:szCs w:val="16"/>
                <w:lang w:val="es-ES_tradnl"/>
              </w:rPr>
              <w:t xml:space="preserve">Se organizaron 17 actividades conjuntamente con organismos que cooperan con la OMPI y partes interesadas, y/o para las que se contó con la participación del programa 17. </w:t>
            </w:r>
          </w:p>
          <w:p w:rsidR="00B070BF" w:rsidRPr="009577DE" w:rsidRDefault="00B070BF" w:rsidP="00C33D4A">
            <w:pPr>
              <w:widowControl w:val="0"/>
              <w:rPr>
                <w:sz w:val="16"/>
                <w:szCs w:val="16"/>
                <w:lang w:val="es-ES_tradnl"/>
              </w:rPr>
            </w:pPr>
          </w:p>
        </w:tc>
        <w:tc>
          <w:tcPr>
            <w:tcW w:w="582" w:type="pct"/>
            <w:shd w:val="clear" w:color="auto" w:fill="auto"/>
            <w:tcMar>
              <w:top w:w="110" w:type="dxa"/>
            </w:tcMar>
          </w:tcPr>
          <w:p w:rsidR="00B070BF" w:rsidRPr="009577DE" w:rsidRDefault="00B070BF" w:rsidP="00C33D4A">
            <w:pPr>
              <w:widowControl w:val="0"/>
              <w:jc w:val="center"/>
              <w:rPr>
                <w:bCs/>
                <w:sz w:val="16"/>
                <w:szCs w:val="16"/>
                <w:lang w:val="es-ES_tradnl"/>
              </w:rPr>
            </w:pPr>
            <w:r w:rsidRPr="009577DE">
              <w:rPr>
                <w:b/>
                <w:color w:val="008000"/>
                <w:sz w:val="16"/>
                <w:szCs w:val="16"/>
                <w:lang w:val="es-ES_tradnl"/>
              </w:rPr>
              <w:t>Progresa con normalidad</w:t>
            </w:r>
          </w:p>
          <w:p w:rsidR="00B070BF" w:rsidRPr="009577DE" w:rsidRDefault="00B070BF" w:rsidP="00C33D4A">
            <w:pPr>
              <w:widowControl w:val="0"/>
              <w:jc w:val="center"/>
              <w:rPr>
                <w:bCs/>
                <w:sz w:val="16"/>
                <w:szCs w:val="16"/>
                <w:lang w:val="es-ES_tradnl"/>
              </w:rPr>
            </w:pPr>
          </w:p>
          <w:p w:rsidR="00B070BF" w:rsidRPr="009577DE" w:rsidRDefault="00B070BF" w:rsidP="00C33D4A">
            <w:pPr>
              <w:widowControl w:val="0"/>
              <w:jc w:val="center"/>
              <w:rPr>
                <w:bCs/>
                <w:sz w:val="16"/>
                <w:szCs w:val="16"/>
                <w:lang w:val="es-ES_tradnl"/>
              </w:rPr>
            </w:pPr>
          </w:p>
        </w:tc>
      </w:tr>
    </w:tbl>
    <w:p w:rsidR="00B070BF" w:rsidRPr="009577DE" w:rsidRDefault="00B070BF" w:rsidP="00B070BF">
      <w:pPr>
        <w:widowControl w:val="0"/>
        <w:jc w:val="both"/>
        <w:rPr>
          <w:sz w:val="18"/>
          <w:szCs w:val="18"/>
          <w:lang w:val="es-ES_tradnl"/>
        </w:rPr>
      </w:pPr>
    </w:p>
    <w:p w:rsidR="00B070BF" w:rsidRPr="009577DE" w:rsidRDefault="00B070BF" w:rsidP="00B070BF">
      <w:pPr>
        <w:widowControl w:val="0"/>
        <w:rPr>
          <w:b/>
          <w:sz w:val="18"/>
          <w:szCs w:val="18"/>
          <w:lang w:val="es-ES_tradnl"/>
        </w:rPr>
      </w:pPr>
    </w:p>
    <w:p w:rsidR="00B070BF" w:rsidRPr="009577DE" w:rsidRDefault="00B070BF" w:rsidP="00B070BF">
      <w:pPr>
        <w:widowControl w:val="0"/>
        <w:rPr>
          <w:sz w:val="20"/>
          <w:szCs w:val="22"/>
          <w:lang w:val="es-ES_tradnl"/>
        </w:rPr>
      </w:pPr>
      <w:r w:rsidRPr="009577DE">
        <w:rPr>
          <w:sz w:val="20"/>
          <w:szCs w:val="22"/>
          <w:lang w:val="es-ES_tradnl"/>
        </w:rPr>
        <w:t>PRESUPUESTO Y GASTOS REALES</w:t>
      </w:r>
    </w:p>
    <w:p w:rsidR="00B070BF" w:rsidRPr="006964C6" w:rsidRDefault="00B070BF" w:rsidP="00B070BF">
      <w:pPr>
        <w:widowControl w:val="0"/>
        <w:rPr>
          <w:sz w:val="20"/>
          <w:lang w:val="es-ES_tradnl"/>
        </w:rPr>
      </w:pPr>
    </w:p>
    <w:p w:rsidR="00B070BF" w:rsidRPr="006964C6" w:rsidRDefault="00B070BF" w:rsidP="00B070BF">
      <w:pPr>
        <w:widowControl w:val="0"/>
        <w:jc w:val="center"/>
        <w:rPr>
          <w:sz w:val="20"/>
          <w:lang w:val="es-ES_tradnl"/>
        </w:rPr>
      </w:pPr>
      <w:r w:rsidRPr="006964C6">
        <w:rPr>
          <w:sz w:val="20"/>
          <w:lang w:val="es-ES_tradnl"/>
        </w:rPr>
        <w:t>Presupuesto y gastos reales (por resultado)</w:t>
      </w:r>
    </w:p>
    <w:p w:rsidR="00B070BF" w:rsidRPr="009577DE" w:rsidRDefault="00B070BF" w:rsidP="00B070BF">
      <w:pPr>
        <w:widowControl w:val="0"/>
        <w:jc w:val="center"/>
        <w:rPr>
          <w:szCs w:val="22"/>
          <w:lang w:val="es-ES_tradnl"/>
        </w:rPr>
      </w:pPr>
      <w:r w:rsidRPr="006964C6">
        <w:rPr>
          <w:i/>
          <w:iCs/>
          <w:sz w:val="20"/>
          <w:lang w:val="es-ES_tradnl"/>
        </w:rPr>
        <w:t>(en miles de francos suizos)</w:t>
      </w:r>
      <w:r w:rsidRPr="006964C6">
        <w:rPr>
          <w:i/>
          <w:iCs/>
          <w:sz w:val="20"/>
          <w:lang w:val="es-ES_tradnl"/>
        </w:rPr>
        <w:br/>
      </w:r>
      <w:r w:rsidRPr="006964C6">
        <w:rPr>
          <w:i/>
          <w:iCs/>
          <w:sz w:val="20"/>
          <w:lang w:val="es-ES_tradnl"/>
        </w:rPr>
        <w:br/>
      </w:r>
      <w:r w:rsidRPr="009577DE">
        <w:rPr>
          <w:noProof/>
          <w:lang w:val="en-US" w:eastAsia="en-US"/>
        </w:rPr>
        <w:drawing>
          <wp:inline distT="0" distB="0" distL="0" distR="0" wp14:anchorId="56A61DC1" wp14:editId="3DD0679B">
            <wp:extent cx="5905500" cy="2286000"/>
            <wp:effectExtent l="0" t="0" r="0" b="0"/>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905500" cy="2286000"/>
                    </a:xfrm>
                    <a:prstGeom prst="rect">
                      <a:avLst/>
                    </a:prstGeom>
                    <a:noFill/>
                    <a:ln>
                      <a:noFill/>
                    </a:ln>
                  </pic:spPr>
                </pic:pic>
              </a:graphicData>
            </a:graphic>
          </wp:inline>
        </w:drawing>
      </w:r>
    </w:p>
    <w:p w:rsidR="00B070BF" w:rsidRPr="006964C6" w:rsidRDefault="00B070BF" w:rsidP="00B070BF">
      <w:pPr>
        <w:widowControl w:val="0"/>
        <w:jc w:val="center"/>
        <w:rPr>
          <w:sz w:val="20"/>
          <w:lang w:val="es-ES_tradnl"/>
        </w:rPr>
      </w:pPr>
    </w:p>
    <w:p w:rsidR="00B070BF" w:rsidRPr="006964C6" w:rsidRDefault="00B070BF" w:rsidP="00B070BF">
      <w:pPr>
        <w:widowControl w:val="0"/>
        <w:jc w:val="center"/>
        <w:rPr>
          <w:sz w:val="20"/>
          <w:lang w:val="es-ES_tradnl"/>
        </w:rPr>
      </w:pPr>
    </w:p>
    <w:p w:rsidR="00B070BF" w:rsidRPr="009577DE" w:rsidRDefault="00B070BF" w:rsidP="00B070BF">
      <w:pPr>
        <w:widowControl w:val="0"/>
        <w:jc w:val="center"/>
        <w:rPr>
          <w:sz w:val="20"/>
          <w:lang w:val="es-ES_tradnl"/>
        </w:rPr>
      </w:pPr>
      <w:r w:rsidRPr="006964C6">
        <w:rPr>
          <w:sz w:val="20"/>
          <w:lang w:val="es-ES_tradnl"/>
        </w:rPr>
        <w:t>Presupuesto y gastos reales (de personal y no relativos al personal)</w:t>
      </w:r>
      <w:r w:rsidRPr="006964C6">
        <w:rPr>
          <w:sz w:val="20"/>
          <w:lang w:val="es-ES_tradnl"/>
        </w:rPr>
        <w:br/>
      </w:r>
      <w:r w:rsidRPr="006964C6">
        <w:rPr>
          <w:i/>
          <w:sz w:val="20"/>
          <w:lang w:val="es-ES_tradnl"/>
        </w:rPr>
        <w:t>(en miles de francos suizos)</w:t>
      </w:r>
      <w:r w:rsidRPr="006964C6">
        <w:rPr>
          <w:sz w:val="20"/>
          <w:lang w:val="es-ES_tradnl"/>
        </w:rPr>
        <w:br/>
      </w:r>
      <w:r w:rsidRPr="006964C6">
        <w:rPr>
          <w:sz w:val="20"/>
          <w:lang w:val="es-ES_tradnl"/>
        </w:rPr>
        <w:br/>
      </w:r>
      <w:r w:rsidRPr="009577DE">
        <w:rPr>
          <w:noProof/>
          <w:lang w:val="en-US" w:eastAsia="en-US"/>
        </w:rPr>
        <w:drawing>
          <wp:inline distT="0" distB="0" distL="0" distR="0" wp14:anchorId="7F236DC3" wp14:editId="0D36C47C">
            <wp:extent cx="5905500" cy="1162050"/>
            <wp:effectExtent l="0" t="0" r="0" b="0"/>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905500" cy="1162050"/>
                    </a:xfrm>
                    <a:prstGeom prst="rect">
                      <a:avLst/>
                    </a:prstGeom>
                    <a:noFill/>
                    <a:ln>
                      <a:noFill/>
                    </a:ln>
                  </pic:spPr>
                </pic:pic>
              </a:graphicData>
            </a:graphic>
          </wp:inline>
        </w:drawing>
      </w:r>
    </w:p>
    <w:p w:rsidR="00B070BF" w:rsidRPr="009577DE" w:rsidRDefault="00B070BF" w:rsidP="00B070BF">
      <w:pPr>
        <w:widowControl w:val="0"/>
        <w:jc w:val="both"/>
        <w:rPr>
          <w:sz w:val="16"/>
          <w:szCs w:val="16"/>
          <w:lang w:val="es-ES_tradnl"/>
        </w:rPr>
      </w:pPr>
    </w:p>
    <w:p w:rsidR="00B070BF" w:rsidRPr="009577DE" w:rsidRDefault="00B070BF" w:rsidP="00B070BF">
      <w:pPr>
        <w:widowControl w:val="0"/>
        <w:jc w:val="both"/>
        <w:rPr>
          <w:sz w:val="16"/>
          <w:szCs w:val="16"/>
          <w:lang w:val="es-ES_tradnl"/>
        </w:rPr>
      </w:pPr>
      <w:r w:rsidRPr="007C3E0F">
        <w:rPr>
          <w:sz w:val="16"/>
          <w:szCs w:val="16"/>
          <w:lang w:val="es-ES_tradnl"/>
        </w:rPr>
        <w:t>NOTAS:</w:t>
      </w:r>
      <w:r w:rsidRPr="009577DE">
        <w:rPr>
          <w:sz w:val="16"/>
          <w:szCs w:val="16"/>
          <w:lang w:val="es-ES_tradnl"/>
        </w:rPr>
        <w:t xml:space="preserve"> </w:t>
      </w:r>
    </w:p>
    <w:p w:rsidR="00B070BF" w:rsidRPr="009577DE" w:rsidRDefault="00B070BF" w:rsidP="00B070BF">
      <w:pPr>
        <w:widowControl w:val="0"/>
        <w:jc w:val="both"/>
        <w:rPr>
          <w:sz w:val="16"/>
          <w:szCs w:val="16"/>
          <w:lang w:val="es-ES_tradnl"/>
        </w:rPr>
      </w:pPr>
    </w:p>
    <w:p w:rsidR="00B070BF" w:rsidRPr="009577DE" w:rsidRDefault="00B070BF" w:rsidP="00B070BF">
      <w:pPr>
        <w:widowControl w:val="0"/>
        <w:autoSpaceDE w:val="0"/>
        <w:autoSpaceDN w:val="0"/>
        <w:adjustRightInd w:val="0"/>
        <w:rPr>
          <w:sz w:val="16"/>
          <w:szCs w:val="16"/>
          <w:lang w:val="es-ES_tradnl"/>
        </w:rPr>
      </w:pPr>
      <w:r w:rsidRPr="009577DE">
        <w:rPr>
          <w:sz w:val="16"/>
          <w:szCs w:val="16"/>
          <w:lang w:val="es-ES_tradnl"/>
        </w:rPr>
        <w:t>1) El presupuesto después de las transferencias refleja el presupuesto de los programas ajustado después de las transferencias efectuadas en 2012/13 en virtud del artículo 5.5 del Reglamento Financiero.</w:t>
      </w:r>
    </w:p>
    <w:p w:rsidR="00B070BF" w:rsidRPr="009577DE" w:rsidRDefault="00B070BF" w:rsidP="00B070BF">
      <w:pPr>
        <w:widowControl w:val="0"/>
        <w:autoSpaceDE w:val="0"/>
        <w:autoSpaceDN w:val="0"/>
        <w:adjustRightInd w:val="0"/>
        <w:rPr>
          <w:sz w:val="16"/>
          <w:szCs w:val="16"/>
          <w:lang w:val="es-ES_tradnl"/>
        </w:rPr>
      </w:pPr>
    </w:p>
    <w:p w:rsidR="00B070BF" w:rsidRPr="009577DE" w:rsidRDefault="00B070BF" w:rsidP="00B070BF">
      <w:pPr>
        <w:widowControl w:val="0"/>
        <w:autoSpaceDE w:val="0"/>
        <w:autoSpaceDN w:val="0"/>
        <w:adjustRightInd w:val="0"/>
        <w:rPr>
          <w:sz w:val="16"/>
          <w:szCs w:val="16"/>
          <w:lang w:val="es-ES_tradnl"/>
        </w:rPr>
      </w:pPr>
      <w:r w:rsidRPr="009577DE">
        <w:rPr>
          <w:sz w:val="16"/>
          <w:szCs w:val="16"/>
          <w:lang w:val="es-ES_tradnl"/>
        </w:rPr>
        <w:t xml:space="preserve">2) La asignación para el personal del presupuesto de 2012/13 después de las transferencias representa los gastos reales efectuados hasta el 31 de marzo de 2013 y los importes presupuestados para los nueve meses restantes de 2013, sobre la base de costos estándar. </w:t>
      </w:r>
    </w:p>
    <w:p w:rsidR="00B070BF" w:rsidRPr="009577DE" w:rsidRDefault="00B070BF" w:rsidP="00B070BF">
      <w:pPr>
        <w:widowControl w:val="0"/>
        <w:autoSpaceDE w:val="0"/>
        <w:autoSpaceDN w:val="0"/>
        <w:adjustRightInd w:val="0"/>
        <w:rPr>
          <w:sz w:val="16"/>
          <w:szCs w:val="16"/>
          <w:lang w:val="es-ES_tradnl"/>
        </w:rPr>
      </w:pPr>
    </w:p>
    <w:p w:rsidR="00B070BF" w:rsidRPr="009577DE" w:rsidRDefault="00B070BF" w:rsidP="00B070BF">
      <w:pPr>
        <w:widowControl w:val="0"/>
        <w:autoSpaceDE w:val="0"/>
        <w:autoSpaceDN w:val="0"/>
        <w:adjustRightInd w:val="0"/>
        <w:rPr>
          <w:sz w:val="16"/>
          <w:szCs w:val="16"/>
          <w:lang w:val="es-ES_tradnl"/>
        </w:rPr>
      </w:pPr>
      <w:r w:rsidRPr="009577DE">
        <w:rPr>
          <w:sz w:val="16"/>
          <w:szCs w:val="16"/>
          <w:lang w:val="es-ES_tradnl"/>
        </w:rPr>
        <w:t>3) La asignación no relativa al personal del presupuesto de 2012/13 después de las transferencias refleja los ajustes a la baja efectuados para aumentar la eficacia en función de los costos, de conformidad con el compromiso de la Organización de reducir gastos por un importe de 10,2 millones de francos suizos en el bienio 2012/13.</w:t>
      </w:r>
    </w:p>
    <w:p w:rsidR="00B070BF" w:rsidRPr="009577DE" w:rsidRDefault="00B070BF" w:rsidP="00B070BF">
      <w:pPr>
        <w:widowControl w:val="0"/>
        <w:jc w:val="both"/>
        <w:rPr>
          <w:lang w:val="es-ES_tradnl"/>
        </w:rPr>
      </w:pPr>
    </w:p>
    <w:p w:rsidR="00B070BF" w:rsidRPr="009577DE" w:rsidRDefault="00B070BF" w:rsidP="00B070BF">
      <w:pPr>
        <w:widowControl w:val="0"/>
        <w:jc w:val="both"/>
        <w:rPr>
          <w:lang w:val="es-ES_tradnl"/>
        </w:rPr>
      </w:pPr>
    </w:p>
    <w:p w:rsidR="00B070BF" w:rsidRPr="009577DE" w:rsidRDefault="00B070BF" w:rsidP="00B070BF">
      <w:pPr>
        <w:widowControl w:val="0"/>
        <w:rPr>
          <w:sz w:val="20"/>
          <w:u w:val="single"/>
          <w:lang w:val="es-ES_tradnl"/>
        </w:rPr>
      </w:pPr>
      <w:r>
        <w:rPr>
          <w:sz w:val="20"/>
          <w:lang w:val="es-ES_tradnl"/>
        </w:rPr>
        <w:t xml:space="preserve">A.  </w:t>
      </w:r>
      <w:r w:rsidRPr="009577DE">
        <w:rPr>
          <w:sz w:val="20"/>
          <w:u w:val="single"/>
          <w:lang w:val="es-ES_tradnl"/>
        </w:rPr>
        <w:t xml:space="preserve">Presupuesto </w:t>
      </w:r>
      <w:r>
        <w:rPr>
          <w:sz w:val="20"/>
          <w:u w:val="single"/>
          <w:lang w:val="es-ES_tradnl"/>
        </w:rPr>
        <w:t>2012/13</w:t>
      </w:r>
      <w:r w:rsidRPr="009577DE">
        <w:rPr>
          <w:sz w:val="20"/>
          <w:u w:val="single"/>
          <w:lang w:val="es-ES_tradnl"/>
        </w:rPr>
        <w:t xml:space="preserve"> después de las transferencias</w:t>
      </w:r>
    </w:p>
    <w:p w:rsidR="00B070BF" w:rsidRPr="009577DE" w:rsidRDefault="00B070BF" w:rsidP="00B070BF">
      <w:pPr>
        <w:widowControl w:val="0"/>
        <w:rPr>
          <w:sz w:val="20"/>
          <w:u w:val="single"/>
          <w:lang w:val="es-ES_tradnl"/>
        </w:rPr>
      </w:pPr>
    </w:p>
    <w:p w:rsidR="00B070BF" w:rsidRPr="009577DE" w:rsidRDefault="00B070BF" w:rsidP="00B070BF">
      <w:pPr>
        <w:widowControl w:val="0"/>
        <w:numPr>
          <w:ilvl w:val="0"/>
          <w:numId w:val="9"/>
        </w:numPr>
        <w:jc w:val="both"/>
        <w:rPr>
          <w:sz w:val="20"/>
          <w:lang w:val="es-ES_tradnl"/>
        </w:rPr>
      </w:pPr>
      <w:r w:rsidRPr="009577DE">
        <w:rPr>
          <w:rFonts w:eastAsia="Batang"/>
          <w:sz w:val="20"/>
          <w:lang w:val="es-ES_tradnl" w:eastAsia="ko-KR"/>
        </w:rPr>
        <w:t>El presupuesto de 2012/13 después de las transferencias refleja los ajustes que se detallan en las notas precedentes.</w:t>
      </w:r>
    </w:p>
    <w:p w:rsidR="00B070BF" w:rsidRPr="009577DE" w:rsidRDefault="00B070BF" w:rsidP="00B070BF">
      <w:pPr>
        <w:widowControl w:val="0"/>
        <w:jc w:val="both"/>
        <w:rPr>
          <w:rFonts w:eastAsia="Batang"/>
          <w:sz w:val="20"/>
          <w:lang w:val="es-ES_tradnl" w:eastAsia="ko-KR"/>
        </w:rPr>
      </w:pPr>
    </w:p>
    <w:p w:rsidR="00B070BF" w:rsidRPr="009577DE" w:rsidRDefault="00B070BF" w:rsidP="00B070BF">
      <w:pPr>
        <w:widowControl w:val="0"/>
        <w:jc w:val="both"/>
        <w:rPr>
          <w:rFonts w:eastAsia="Batang"/>
          <w:sz w:val="20"/>
          <w:lang w:val="es-ES_tradnl" w:eastAsia="ko-KR"/>
        </w:rPr>
      </w:pPr>
      <w:r w:rsidRPr="009577DE">
        <w:rPr>
          <w:rFonts w:eastAsia="Batang"/>
          <w:sz w:val="20"/>
          <w:lang w:val="es-ES_tradnl" w:eastAsia="ko-KR"/>
        </w:rPr>
        <w:t>B.</w:t>
      </w:r>
      <w:r>
        <w:rPr>
          <w:rFonts w:eastAsia="Batang"/>
          <w:sz w:val="20"/>
          <w:lang w:val="es-ES_tradnl" w:eastAsia="ko-KR"/>
        </w:rPr>
        <w:t xml:space="preserve"> </w:t>
      </w:r>
      <w:r w:rsidRPr="009577DE">
        <w:rPr>
          <w:rFonts w:eastAsia="Batang"/>
          <w:sz w:val="20"/>
          <w:lang w:val="es-ES_tradnl" w:eastAsia="ko-KR"/>
        </w:rPr>
        <w:t xml:space="preserve"> </w:t>
      </w:r>
      <w:r w:rsidRPr="009577DE">
        <w:rPr>
          <w:rFonts w:eastAsia="Batang"/>
          <w:sz w:val="20"/>
          <w:u w:val="single"/>
          <w:lang w:val="es-ES_tradnl" w:eastAsia="ko-KR"/>
        </w:rPr>
        <w:t>Utilización del presupuesto 2012</w:t>
      </w:r>
    </w:p>
    <w:p w:rsidR="00B070BF" w:rsidRPr="009577DE" w:rsidRDefault="00B070BF" w:rsidP="00B070BF">
      <w:pPr>
        <w:widowControl w:val="0"/>
        <w:rPr>
          <w:b/>
          <w:bCs/>
          <w:sz w:val="20"/>
          <w:lang w:val="es-ES_tradnl"/>
        </w:rPr>
      </w:pPr>
    </w:p>
    <w:p w:rsidR="00B070BF" w:rsidRPr="009577DE" w:rsidRDefault="00B070BF" w:rsidP="00B070BF">
      <w:pPr>
        <w:widowControl w:val="0"/>
        <w:numPr>
          <w:ilvl w:val="0"/>
          <w:numId w:val="9"/>
        </w:numPr>
        <w:jc w:val="both"/>
        <w:rPr>
          <w:rFonts w:eastAsia="Batang"/>
          <w:sz w:val="20"/>
          <w:lang w:val="es-ES_tradnl" w:eastAsia="ko-KR"/>
        </w:rPr>
      </w:pPr>
      <w:r w:rsidRPr="009577DE">
        <w:rPr>
          <w:rFonts w:eastAsia="Batang"/>
          <w:sz w:val="20"/>
          <w:lang w:val="es-ES_tradnl" w:eastAsia="ko-KR"/>
        </w:rPr>
        <w:t>La utilización del presupuesto se mantiene entre el 40% y el 60% en el primer año del bienio y progresa con normalidad.</w:t>
      </w:r>
    </w:p>
    <w:p w:rsidR="00B070BF" w:rsidRPr="00CB3668" w:rsidRDefault="00B070BF" w:rsidP="00B070BF">
      <w:pPr>
        <w:widowControl w:val="0"/>
        <w:jc w:val="both"/>
        <w:rPr>
          <w:sz w:val="18"/>
          <w:szCs w:val="18"/>
          <w:lang w:val="es-ES_tradnl"/>
        </w:rPr>
      </w:pPr>
    </w:p>
    <w:p w:rsidR="00B070BF" w:rsidRPr="009577DE" w:rsidRDefault="00B070BF" w:rsidP="00B070BF">
      <w:pPr>
        <w:widowControl w:val="0"/>
        <w:jc w:val="both"/>
        <w:rPr>
          <w:sz w:val="18"/>
          <w:szCs w:val="18"/>
          <w:lang w:val="es-ES_tradnl"/>
        </w:rPr>
      </w:pPr>
    </w:p>
    <w:p w:rsidR="00B070BF" w:rsidRPr="009577DE" w:rsidRDefault="00B070BF" w:rsidP="00B070BF">
      <w:pPr>
        <w:pStyle w:val="Heading2"/>
        <w:tabs>
          <w:tab w:val="left" w:pos="2835"/>
        </w:tabs>
        <w:rPr>
          <w:b/>
          <w:lang w:val="es-ES_tradnl"/>
        </w:rPr>
      </w:pPr>
      <w:r w:rsidRPr="009577DE">
        <w:rPr>
          <w:lang w:val="es-ES_tradnl"/>
        </w:rPr>
        <w:br w:type="page"/>
      </w:r>
      <w:bookmarkStart w:id="48" w:name="_Toc359846804"/>
      <w:bookmarkStart w:id="49" w:name="_Toc359949328"/>
      <w:r w:rsidRPr="009577DE">
        <w:rPr>
          <w:b/>
          <w:lang w:val="es-ES_tradnl"/>
        </w:rPr>
        <w:lastRenderedPageBreak/>
        <w:t>PROGRAMA 18</w:t>
      </w:r>
      <w:r w:rsidRPr="009577DE">
        <w:rPr>
          <w:b/>
          <w:lang w:val="es-ES_tradnl"/>
        </w:rPr>
        <w:tab/>
        <w:t>LA P.I. Y LOS DESAFÍOS MUNDIALES</w:t>
      </w:r>
      <w:bookmarkEnd w:id="48"/>
      <w:bookmarkEnd w:id="49"/>
    </w:p>
    <w:p w:rsidR="00B070BF" w:rsidRPr="009577DE" w:rsidRDefault="00B070BF" w:rsidP="00B070BF">
      <w:pPr>
        <w:widowControl w:val="0"/>
        <w:tabs>
          <w:tab w:val="left" w:pos="2268"/>
        </w:tabs>
        <w:rPr>
          <w:b/>
          <w:szCs w:val="22"/>
          <w:lang w:val="es-ES_tradnl"/>
        </w:rPr>
      </w:pPr>
    </w:p>
    <w:p w:rsidR="00B070BF" w:rsidRPr="009577DE" w:rsidRDefault="00B070BF" w:rsidP="00B070BF">
      <w:pPr>
        <w:widowControl w:val="0"/>
        <w:tabs>
          <w:tab w:val="left" w:pos="2268"/>
        </w:tabs>
        <w:rPr>
          <w:b/>
          <w:szCs w:val="22"/>
          <w:lang w:val="es-ES_tradnl"/>
        </w:rPr>
      </w:pPr>
    </w:p>
    <w:p w:rsidR="00B070BF" w:rsidRPr="009577DE" w:rsidRDefault="00B070BF" w:rsidP="00B070BF">
      <w:pPr>
        <w:widowControl w:val="0"/>
        <w:tabs>
          <w:tab w:val="left" w:pos="2268"/>
        </w:tabs>
        <w:rPr>
          <w:b/>
          <w:szCs w:val="22"/>
          <w:lang w:val="es-ES_tradnl"/>
        </w:rPr>
      </w:pPr>
      <w:r w:rsidRPr="009577DE">
        <w:rPr>
          <w:b/>
          <w:szCs w:val="22"/>
          <w:lang w:val="es-ES_tradnl"/>
        </w:rPr>
        <w:t>Director del Programa</w:t>
      </w:r>
      <w:r w:rsidRPr="009577DE">
        <w:rPr>
          <w:szCs w:val="22"/>
          <w:lang w:val="es-ES_tradnl"/>
        </w:rPr>
        <w:tab/>
      </w:r>
      <w:r w:rsidRPr="009577DE">
        <w:rPr>
          <w:b/>
          <w:szCs w:val="22"/>
          <w:lang w:val="es-ES_tradnl"/>
        </w:rPr>
        <w:t>Sr. J. C. Wichard</w:t>
      </w:r>
    </w:p>
    <w:p w:rsidR="00B070BF" w:rsidRPr="009577DE" w:rsidRDefault="00B070BF" w:rsidP="00B070BF">
      <w:pPr>
        <w:widowControl w:val="0"/>
        <w:spacing w:line="260" w:lineRule="atLeast"/>
        <w:rPr>
          <w:bCs/>
          <w:sz w:val="20"/>
          <w:szCs w:val="22"/>
          <w:lang w:val="es-ES_tradnl"/>
        </w:rPr>
      </w:pPr>
    </w:p>
    <w:p w:rsidR="00B070BF" w:rsidRPr="009577DE" w:rsidRDefault="00B070BF" w:rsidP="00B070BF">
      <w:pPr>
        <w:widowControl w:val="0"/>
        <w:spacing w:line="260" w:lineRule="atLeast"/>
        <w:rPr>
          <w:bCs/>
          <w:sz w:val="20"/>
          <w:szCs w:val="22"/>
          <w:lang w:val="es-ES_tradnl"/>
        </w:rPr>
      </w:pPr>
    </w:p>
    <w:p w:rsidR="00B070BF" w:rsidRPr="009577DE" w:rsidRDefault="00B070BF" w:rsidP="00B070BF">
      <w:pPr>
        <w:widowControl w:val="0"/>
        <w:spacing w:line="260" w:lineRule="atLeast"/>
        <w:rPr>
          <w:bCs/>
          <w:szCs w:val="22"/>
          <w:lang w:val="es-ES_tradnl"/>
        </w:rPr>
      </w:pPr>
      <w:r w:rsidRPr="009577DE">
        <w:rPr>
          <w:bCs/>
          <w:sz w:val="20"/>
          <w:szCs w:val="22"/>
          <w:lang w:val="es-ES_tradnl"/>
        </w:rPr>
        <w:t>RESEÑA DE LOS AVANCES LOGRADOS EN 2012</w:t>
      </w:r>
    </w:p>
    <w:p w:rsidR="00B070BF" w:rsidRPr="009577DE" w:rsidRDefault="00B070BF" w:rsidP="00B070BF">
      <w:pPr>
        <w:widowControl w:val="0"/>
        <w:jc w:val="both"/>
        <w:rPr>
          <w:szCs w:val="22"/>
          <w:lang w:val="es-ES_tradnl"/>
        </w:rPr>
      </w:pPr>
    </w:p>
    <w:p w:rsidR="00B070BF" w:rsidRPr="009577DE" w:rsidRDefault="00B070BF" w:rsidP="00B070BF">
      <w:pPr>
        <w:widowControl w:val="0"/>
        <w:numPr>
          <w:ilvl w:val="0"/>
          <w:numId w:val="10"/>
        </w:numPr>
        <w:autoSpaceDE w:val="0"/>
        <w:autoSpaceDN w:val="0"/>
        <w:adjustRightInd w:val="0"/>
        <w:jc w:val="both"/>
        <w:rPr>
          <w:sz w:val="20"/>
        </w:rPr>
      </w:pPr>
      <w:r w:rsidRPr="009577DE">
        <w:rPr>
          <w:rFonts w:eastAsia="MS Mincho"/>
          <w:sz w:val="20"/>
          <w:lang w:val="es-ES_tradnl"/>
        </w:rPr>
        <w:t xml:space="preserve">En este programa se abordan la innovación y la P.I. desde la perspectiva de varios problemas mundiales de carácter urgente que están relacionados entre sí, especialmente los de la salud mundial, el cambio climático y la seguridad alimentaria.  En 2012, el programa aumentó de forma considerable la sensibilización de los encargados de la formulación de políticas acerca de la relación existente entre los desafíos mundiales, la innovación y la propiedad intelectual.  </w:t>
      </w:r>
      <w:r w:rsidRPr="009577DE">
        <w:rPr>
          <w:rFonts w:eastAsia="MS Mincho"/>
          <w:sz w:val="20"/>
        </w:rPr>
        <w:t xml:space="preserve">El programa siguió gozando del apoyo y los comentarios positivos de una amplia gama de sectores interesados hacia la labor desempeñada por la OMPI en el ámbito de la P.I. y los desafíos mundiales. </w:t>
      </w:r>
    </w:p>
    <w:p w:rsidR="00B070BF" w:rsidRPr="009577DE" w:rsidRDefault="00B070BF" w:rsidP="00B070BF">
      <w:pPr>
        <w:widowControl w:val="0"/>
        <w:autoSpaceDE w:val="0"/>
        <w:autoSpaceDN w:val="0"/>
        <w:adjustRightInd w:val="0"/>
        <w:jc w:val="both"/>
        <w:rPr>
          <w:sz w:val="20"/>
        </w:rPr>
      </w:pPr>
    </w:p>
    <w:p w:rsidR="00B070BF" w:rsidRPr="009577DE" w:rsidRDefault="00B070BF" w:rsidP="00B070BF">
      <w:pPr>
        <w:widowControl w:val="0"/>
        <w:numPr>
          <w:ilvl w:val="0"/>
          <w:numId w:val="10"/>
        </w:numPr>
        <w:shd w:val="clear" w:color="auto" w:fill="FFFFFF"/>
        <w:jc w:val="both"/>
        <w:rPr>
          <w:rFonts w:eastAsia="Times New Roman"/>
          <w:sz w:val="20"/>
          <w:lang w:eastAsia="en-US"/>
        </w:rPr>
      </w:pPr>
      <w:r w:rsidRPr="009577DE">
        <w:rPr>
          <w:rFonts w:eastAsia="Times New Roman"/>
          <w:sz w:val="20"/>
          <w:lang w:eastAsia="en-US"/>
        </w:rPr>
        <w:t xml:space="preserve">En estrecha colaboración con el programa 20, las iniciativas adoptadas se han traducido en un mayor reconocimiento de la OMPI como fuente fiable de apoyo, cooperación y referencia en materia de innovación y P.I. y su conexión con los desafíos mundiales, aumentando como resultado el número de invitaciones que recibe la Organización a contribuir y participar en importantes procesos de política pública, seminarios, talleres y conferencias celebrados por otros organismos internacionales, incluidas la OMS, la OMC, las ONG, las universidades e instituciones como el Instituto Universitario de Altos Estudios Internacionales y Desarrollo.  Un paso fundamental en este sentido fue la puesta en marcha en marzo de 2012 de la serie de Seminarios sobre Desafíos Mundiales auspiciada por la OMPI.  Durante el año se organizaron tres seminarios y se creó un foro para que los participantes intercambiaran ideas, experiencias e información relacionadas con cada uno de los tres ámbitos de actuación del programa. </w:t>
      </w:r>
    </w:p>
    <w:p w:rsidR="00B070BF" w:rsidRPr="009577DE" w:rsidRDefault="00B070BF" w:rsidP="00B070BF">
      <w:pPr>
        <w:widowControl w:val="0"/>
        <w:jc w:val="both"/>
        <w:rPr>
          <w:rFonts w:eastAsia="Batang"/>
          <w:sz w:val="20"/>
          <w:lang w:eastAsia="ja-JP"/>
        </w:rPr>
      </w:pPr>
    </w:p>
    <w:p w:rsidR="00B070BF" w:rsidRPr="009577DE" w:rsidRDefault="00B070BF" w:rsidP="00B070BF">
      <w:pPr>
        <w:widowControl w:val="0"/>
        <w:numPr>
          <w:ilvl w:val="0"/>
          <w:numId w:val="10"/>
        </w:numPr>
        <w:jc w:val="both"/>
        <w:rPr>
          <w:sz w:val="20"/>
        </w:rPr>
      </w:pPr>
      <w:r w:rsidRPr="009577DE">
        <w:rPr>
          <w:rFonts w:eastAsia="Batang"/>
          <w:sz w:val="20"/>
          <w:lang w:eastAsia="ja-JP"/>
        </w:rPr>
        <w:t xml:space="preserve">WIPO </w:t>
      </w:r>
      <w:proofErr w:type="spellStart"/>
      <w:r w:rsidRPr="009577DE">
        <w:rPr>
          <w:rFonts w:eastAsia="Batang"/>
          <w:sz w:val="20"/>
          <w:lang w:eastAsia="ja-JP"/>
        </w:rPr>
        <w:t>Re:Search</w:t>
      </w:r>
      <w:proofErr w:type="spellEnd"/>
      <w:r w:rsidRPr="009577DE">
        <w:rPr>
          <w:rFonts w:eastAsia="Batang"/>
          <w:sz w:val="20"/>
          <w:lang w:eastAsia="ja-JP"/>
        </w:rPr>
        <w:t xml:space="preserve"> ha logrado importantes avances en 2012.  </w:t>
      </w:r>
      <w:r>
        <w:rPr>
          <w:rFonts w:eastAsia="Batang"/>
          <w:sz w:val="20"/>
          <w:lang w:eastAsia="ja-JP"/>
        </w:rPr>
        <w:t>Desde sus inicios en octubre de </w:t>
      </w:r>
      <w:r w:rsidRPr="009577DE">
        <w:rPr>
          <w:rFonts w:eastAsia="Batang"/>
          <w:sz w:val="20"/>
          <w:lang w:eastAsia="ja-JP"/>
        </w:rPr>
        <w:t xml:space="preserve">2011, este consorcio consiguió durante su primer año de vida duplicar su número de miembros y suscribir 13 convenios de investigación.  Por otro lado, entre los diez miembros que forman parte de WIPO </w:t>
      </w:r>
      <w:proofErr w:type="spellStart"/>
      <w:r w:rsidRPr="009577DE">
        <w:rPr>
          <w:rFonts w:eastAsia="Batang"/>
          <w:sz w:val="20"/>
          <w:lang w:eastAsia="ja-JP"/>
        </w:rPr>
        <w:t>Re:Search</w:t>
      </w:r>
      <w:proofErr w:type="spellEnd"/>
      <w:r w:rsidRPr="009577DE">
        <w:rPr>
          <w:rFonts w:eastAsia="Batang"/>
          <w:sz w:val="20"/>
          <w:lang w:eastAsia="ja-JP"/>
        </w:rPr>
        <w:t xml:space="preserve"> figuran nueve países africanos, lo cual reviste una especial trascendencia para los objetivos políticos más amplios de la OMPI, articulados en la Agenda para el Desarrollo.  Además de los numerosos convenios de investigación firmados con centros de investigación africanos, varios científicos procedentes de Camerún, Egipto y Ghana podrán mejorar sus competencias en centros pertenecientes a los países desarrollados Miembros de WIPO </w:t>
      </w:r>
      <w:proofErr w:type="spellStart"/>
      <w:r w:rsidRPr="009577DE">
        <w:rPr>
          <w:rFonts w:eastAsia="Batang"/>
          <w:sz w:val="20"/>
          <w:lang w:eastAsia="ja-JP"/>
        </w:rPr>
        <w:t>Re:Search</w:t>
      </w:r>
      <w:proofErr w:type="spellEnd"/>
      <w:r w:rsidRPr="009577DE">
        <w:rPr>
          <w:rFonts w:eastAsia="Batang"/>
          <w:sz w:val="20"/>
          <w:lang w:eastAsia="ja-JP"/>
        </w:rPr>
        <w:t xml:space="preserve"> gracias a un fondo fiduciario del Gobierno de Australia.  </w:t>
      </w:r>
    </w:p>
    <w:p w:rsidR="00B070BF" w:rsidRPr="009577DE" w:rsidRDefault="00B070BF" w:rsidP="00B070BF">
      <w:pPr>
        <w:widowControl w:val="0"/>
        <w:tabs>
          <w:tab w:val="left" w:pos="567"/>
        </w:tabs>
        <w:autoSpaceDE w:val="0"/>
        <w:autoSpaceDN w:val="0"/>
        <w:adjustRightInd w:val="0"/>
        <w:jc w:val="both"/>
        <w:rPr>
          <w:rFonts w:eastAsia="Batang"/>
          <w:bCs/>
          <w:sz w:val="20"/>
          <w:lang w:eastAsia="ja-JP"/>
        </w:rPr>
      </w:pPr>
    </w:p>
    <w:p w:rsidR="00B070BF" w:rsidRPr="009577DE" w:rsidRDefault="00B070BF" w:rsidP="00B070BF">
      <w:pPr>
        <w:widowControl w:val="0"/>
        <w:numPr>
          <w:ilvl w:val="0"/>
          <w:numId w:val="10"/>
        </w:numPr>
        <w:tabs>
          <w:tab w:val="left" w:pos="567"/>
        </w:tabs>
        <w:autoSpaceDE w:val="0"/>
        <w:autoSpaceDN w:val="0"/>
        <w:adjustRightInd w:val="0"/>
        <w:jc w:val="both"/>
        <w:rPr>
          <w:rFonts w:eastAsia="Batang"/>
          <w:bCs/>
          <w:sz w:val="20"/>
          <w:lang w:eastAsia="ja-JP"/>
        </w:rPr>
      </w:pPr>
      <w:r w:rsidRPr="009577DE">
        <w:rPr>
          <w:rFonts w:eastAsia="Batang"/>
          <w:bCs/>
          <w:sz w:val="20"/>
          <w:lang w:eastAsia="ja-JP"/>
        </w:rPr>
        <w:t xml:space="preserve">La fase piloto de WIPO GREEN, una plataforma diseñada para la transferencia, adaptación y adopción aceleradas de tecnologías respetuosas con el medio ambiente, logró ciertos avances.  A finales de 2012 se habían cargado alrededor de 40 tecnologías y necesidades.  Se incorporaron además nuevas funciones a la base de datos y se elevó por encima de 500 el número de suscriptores a los boletines informativos mensuales WIPO GREEN.  Se publicaron también dos casos prácticos que ilustran la transferencia exitosa de tecnologías ecológicas y se mantuvieron distintas reuniones con socios estratégicos, entre ellos el Pacto Mundial de las Naciones Unidas, el PNUMA, el PNUD y la ONUDI, así como con instituciones financieras como </w:t>
      </w:r>
      <w:proofErr w:type="spellStart"/>
      <w:r w:rsidRPr="009577DE">
        <w:rPr>
          <w:rFonts w:eastAsia="Batang"/>
          <w:bCs/>
          <w:sz w:val="20"/>
          <w:lang w:eastAsia="ja-JP"/>
        </w:rPr>
        <w:t>infoDev</w:t>
      </w:r>
      <w:proofErr w:type="spellEnd"/>
      <w:r w:rsidRPr="009577DE">
        <w:rPr>
          <w:rFonts w:eastAsia="Batang"/>
          <w:bCs/>
          <w:sz w:val="20"/>
          <w:lang w:eastAsia="ja-JP"/>
        </w:rPr>
        <w:t xml:space="preserve"> y el Banco Islámico de Desarrollo. </w:t>
      </w:r>
    </w:p>
    <w:p w:rsidR="00B070BF" w:rsidRPr="009577DE" w:rsidRDefault="00B070BF" w:rsidP="00B070BF">
      <w:pPr>
        <w:widowControl w:val="0"/>
        <w:tabs>
          <w:tab w:val="left" w:pos="567"/>
        </w:tabs>
        <w:autoSpaceDE w:val="0"/>
        <w:autoSpaceDN w:val="0"/>
        <w:adjustRightInd w:val="0"/>
        <w:jc w:val="both"/>
        <w:rPr>
          <w:rFonts w:eastAsia="Batang"/>
          <w:bCs/>
          <w:sz w:val="20"/>
          <w:lang w:eastAsia="ja-JP"/>
        </w:rPr>
      </w:pPr>
    </w:p>
    <w:p w:rsidR="00B070BF" w:rsidRPr="009577DE" w:rsidRDefault="00B070BF" w:rsidP="00B070BF">
      <w:pPr>
        <w:widowControl w:val="0"/>
        <w:numPr>
          <w:ilvl w:val="0"/>
          <w:numId w:val="10"/>
        </w:numPr>
        <w:tabs>
          <w:tab w:val="left" w:pos="567"/>
        </w:tabs>
        <w:autoSpaceDE w:val="0"/>
        <w:autoSpaceDN w:val="0"/>
        <w:adjustRightInd w:val="0"/>
        <w:jc w:val="both"/>
        <w:rPr>
          <w:rFonts w:eastAsia="Batang"/>
          <w:sz w:val="20"/>
          <w:lang w:eastAsia="ja-JP"/>
        </w:rPr>
      </w:pPr>
      <w:r w:rsidRPr="009577DE">
        <w:rPr>
          <w:rFonts w:eastAsia="Batang"/>
          <w:sz w:val="20"/>
          <w:lang w:eastAsia="ja-JP"/>
        </w:rPr>
        <w:t xml:space="preserve">La labor en torno a la relación existente entre la P.I. y la seguridad alimentaria avanzó gracias al análisis detallado de un caso práctico sobre P.I., innovación y seguridad alimentaria que llevaron a cabo de forma conjunta el Gobierno de </w:t>
      </w:r>
      <w:proofErr w:type="spellStart"/>
      <w:r w:rsidRPr="009577DE">
        <w:rPr>
          <w:rFonts w:eastAsia="Batang"/>
          <w:sz w:val="20"/>
          <w:lang w:eastAsia="ja-JP"/>
        </w:rPr>
        <w:t>Tanzanía</w:t>
      </w:r>
      <w:proofErr w:type="spellEnd"/>
      <w:r w:rsidRPr="009577DE">
        <w:rPr>
          <w:rFonts w:eastAsia="Batang"/>
          <w:sz w:val="20"/>
          <w:lang w:eastAsia="ja-JP"/>
        </w:rPr>
        <w:t xml:space="preserve"> y otros sectores interesados.  </w:t>
      </w:r>
    </w:p>
    <w:p w:rsidR="00B070BF" w:rsidRPr="009577DE" w:rsidRDefault="00B070BF" w:rsidP="00B070BF">
      <w:pPr>
        <w:widowControl w:val="0"/>
        <w:tabs>
          <w:tab w:val="left" w:pos="567"/>
        </w:tabs>
        <w:autoSpaceDE w:val="0"/>
        <w:autoSpaceDN w:val="0"/>
        <w:adjustRightInd w:val="0"/>
        <w:jc w:val="both"/>
        <w:rPr>
          <w:rFonts w:eastAsia="Batang"/>
          <w:sz w:val="20"/>
          <w:lang w:eastAsia="ja-JP"/>
        </w:rPr>
      </w:pPr>
    </w:p>
    <w:p w:rsidR="00B070BF" w:rsidRPr="009577DE" w:rsidRDefault="00B070BF" w:rsidP="00B070BF">
      <w:pPr>
        <w:widowControl w:val="0"/>
        <w:numPr>
          <w:ilvl w:val="0"/>
          <w:numId w:val="10"/>
        </w:numPr>
        <w:shd w:val="clear" w:color="auto" w:fill="FFFFFF"/>
        <w:jc w:val="both"/>
        <w:rPr>
          <w:rFonts w:eastAsia="Times New Roman"/>
          <w:sz w:val="20"/>
          <w:lang w:eastAsia="en-US"/>
        </w:rPr>
      </w:pPr>
      <w:r w:rsidRPr="009577DE">
        <w:rPr>
          <w:rFonts w:eastAsia="Times New Roman"/>
          <w:sz w:val="20"/>
          <w:lang w:eastAsia="en-US"/>
        </w:rPr>
        <w:t xml:space="preserve">La cooperación trilateral con la OMS y la OMC en el ámbito de la salud, la propiedad intelectual y el comercio se centró durante 2012 en la elaboración del estudio técnico conjunto </w:t>
      </w:r>
      <w:proofErr w:type="spellStart"/>
      <w:r w:rsidRPr="009577DE">
        <w:rPr>
          <w:rFonts w:eastAsia="Times New Roman"/>
          <w:i/>
          <w:sz w:val="20"/>
          <w:lang w:eastAsia="en-US"/>
        </w:rPr>
        <w:t>Promoting</w:t>
      </w:r>
      <w:proofErr w:type="spellEnd"/>
      <w:r w:rsidRPr="009577DE">
        <w:rPr>
          <w:rFonts w:eastAsia="Times New Roman"/>
          <w:i/>
          <w:sz w:val="20"/>
          <w:lang w:eastAsia="en-US"/>
        </w:rPr>
        <w:t xml:space="preserve"> Access </w:t>
      </w:r>
      <w:proofErr w:type="spellStart"/>
      <w:r w:rsidRPr="009577DE">
        <w:rPr>
          <w:rFonts w:eastAsia="Times New Roman"/>
          <w:i/>
          <w:sz w:val="20"/>
          <w:lang w:eastAsia="en-US"/>
        </w:rPr>
        <w:t>to</w:t>
      </w:r>
      <w:proofErr w:type="spellEnd"/>
      <w:r w:rsidRPr="009577DE">
        <w:rPr>
          <w:rFonts w:eastAsia="Times New Roman"/>
          <w:i/>
          <w:sz w:val="20"/>
          <w:lang w:eastAsia="en-US"/>
        </w:rPr>
        <w:t xml:space="preserve"> Medical Technologies  and </w:t>
      </w:r>
      <w:proofErr w:type="spellStart"/>
      <w:r w:rsidRPr="009577DE">
        <w:rPr>
          <w:rFonts w:eastAsia="Times New Roman"/>
          <w:i/>
          <w:sz w:val="20"/>
          <w:lang w:eastAsia="en-US"/>
        </w:rPr>
        <w:t>Innovation</w:t>
      </w:r>
      <w:proofErr w:type="spellEnd"/>
      <w:r w:rsidRPr="009577DE">
        <w:rPr>
          <w:rFonts w:eastAsia="Times New Roman"/>
          <w:i/>
          <w:sz w:val="20"/>
          <w:lang w:eastAsia="en-US"/>
        </w:rPr>
        <w:t xml:space="preserve"> – </w:t>
      </w:r>
      <w:proofErr w:type="spellStart"/>
      <w:r w:rsidRPr="009577DE">
        <w:rPr>
          <w:rFonts w:eastAsia="Times New Roman"/>
          <w:i/>
          <w:sz w:val="20"/>
          <w:lang w:eastAsia="en-US"/>
        </w:rPr>
        <w:t>Intersections</w:t>
      </w:r>
      <w:proofErr w:type="spellEnd"/>
      <w:r w:rsidRPr="009577DE">
        <w:rPr>
          <w:rFonts w:eastAsia="Times New Roman"/>
          <w:i/>
          <w:sz w:val="20"/>
          <w:lang w:eastAsia="en-US"/>
        </w:rPr>
        <w:t xml:space="preserve"> </w:t>
      </w:r>
      <w:proofErr w:type="spellStart"/>
      <w:r w:rsidRPr="009577DE">
        <w:rPr>
          <w:rFonts w:eastAsia="Times New Roman"/>
          <w:i/>
          <w:sz w:val="20"/>
          <w:lang w:eastAsia="en-US"/>
        </w:rPr>
        <w:t>between</w:t>
      </w:r>
      <w:proofErr w:type="spellEnd"/>
      <w:r w:rsidRPr="009577DE">
        <w:rPr>
          <w:rFonts w:eastAsia="Times New Roman"/>
          <w:i/>
          <w:sz w:val="20"/>
          <w:lang w:eastAsia="en-US"/>
        </w:rPr>
        <w:t xml:space="preserve"> </w:t>
      </w:r>
      <w:proofErr w:type="spellStart"/>
      <w:r w:rsidRPr="009577DE">
        <w:rPr>
          <w:rFonts w:eastAsia="Times New Roman"/>
          <w:i/>
          <w:sz w:val="20"/>
          <w:lang w:eastAsia="en-US"/>
        </w:rPr>
        <w:t>public</w:t>
      </w:r>
      <w:proofErr w:type="spellEnd"/>
      <w:r w:rsidRPr="009577DE">
        <w:rPr>
          <w:rFonts w:eastAsia="Times New Roman"/>
          <w:i/>
          <w:sz w:val="20"/>
          <w:lang w:eastAsia="en-US"/>
        </w:rPr>
        <w:t xml:space="preserve"> </w:t>
      </w:r>
      <w:proofErr w:type="spellStart"/>
      <w:r w:rsidRPr="009577DE">
        <w:rPr>
          <w:rFonts w:eastAsia="Times New Roman"/>
          <w:i/>
          <w:sz w:val="20"/>
          <w:lang w:eastAsia="en-US"/>
        </w:rPr>
        <w:t>health</w:t>
      </w:r>
      <w:proofErr w:type="spellEnd"/>
      <w:r w:rsidRPr="009577DE">
        <w:rPr>
          <w:rFonts w:eastAsia="Times New Roman"/>
          <w:i/>
          <w:sz w:val="20"/>
          <w:lang w:eastAsia="en-US"/>
        </w:rPr>
        <w:t xml:space="preserve">, </w:t>
      </w:r>
      <w:proofErr w:type="spellStart"/>
      <w:r w:rsidRPr="009577DE">
        <w:rPr>
          <w:rFonts w:eastAsia="Times New Roman"/>
          <w:i/>
          <w:sz w:val="20"/>
          <w:lang w:eastAsia="en-US"/>
        </w:rPr>
        <w:t>intellectual</w:t>
      </w:r>
      <w:proofErr w:type="spellEnd"/>
      <w:r w:rsidRPr="009577DE">
        <w:rPr>
          <w:rFonts w:eastAsia="Times New Roman"/>
          <w:i/>
          <w:sz w:val="20"/>
          <w:lang w:eastAsia="en-US"/>
        </w:rPr>
        <w:t xml:space="preserve"> </w:t>
      </w:r>
      <w:proofErr w:type="spellStart"/>
      <w:r w:rsidRPr="009577DE">
        <w:rPr>
          <w:rFonts w:eastAsia="Times New Roman"/>
          <w:i/>
          <w:sz w:val="20"/>
          <w:lang w:eastAsia="en-US"/>
        </w:rPr>
        <w:t>property</w:t>
      </w:r>
      <w:proofErr w:type="spellEnd"/>
      <w:r w:rsidRPr="009577DE">
        <w:rPr>
          <w:rFonts w:eastAsia="Times New Roman"/>
          <w:i/>
          <w:sz w:val="20"/>
          <w:lang w:eastAsia="en-US"/>
        </w:rPr>
        <w:t xml:space="preserve"> and </w:t>
      </w:r>
      <w:proofErr w:type="spellStart"/>
      <w:r w:rsidRPr="009577DE">
        <w:rPr>
          <w:rFonts w:eastAsia="Times New Roman"/>
          <w:i/>
          <w:sz w:val="20"/>
          <w:lang w:eastAsia="en-US"/>
        </w:rPr>
        <w:t>trade</w:t>
      </w:r>
      <w:proofErr w:type="spellEnd"/>
      <w:r w:rsidRPr="009577DE">
        <w:rPr>
          <w:rFonts w:eastAsia="Times New Roman"/>
          <w:i/>
          <w:sz w:val="20"/>
          <w:vertAlign w:val="superscript"/>
          <w:lang w:val="en-US" w:eastAsia="en-US"/>
        </w:rPr>
        <w:footnoteReference w:id="14"/>
      </w:r>
      <w:r w:rsidRPr="009577DE">
        <w:rPr>
          <w:rFonts w:eastAsia="Times New Roman"/>
          <w:sz w:val="20"/>
          <w:lang w:eastAsia="en-US"/>
        </w:rPr>
        <w:t xml:space="preserve"> (Promover el acceso a las tecnologías médicas y la innovación: las intersecciones de la salud pública, la propiedad intelectual y el comercio), publicado el 5 de febrero de 2013.  </w:t>
      </w:r>
    </w:p>
    <w:p w:rsidR="00B070BF" w:rsidRPr="009577DE" w:rsidRDefault="00B070BF" w:rsidP="00B070BF">
      <w:pPr>
        <w:widowControl w:val="0"/>
        <w:shd w:val="clear" w:color="auto" w:fill="FFFFFF"/>
        <w:jc w:val="both"/>
        <w:rPr>
          <w:rFonts w:eastAsia="Times New Roman"/>
          <w:bCs/>
          <w:sz w:val="20"/>
          <w:lang w:eastAsia="en-US"/>
        </w:rPr>
      </w:pPr>
    </w:p>
    <w:p w:rsidR="00B070BF" w:rsidRPr="009577DE" w:rsidRDefault="00B070BF" w:rsidP="00B070BF">
      <w:pPr>
        <w:keepNext/>
        <w:keepLines/>
        <w:widowControl w:val="0"/>
        <w:numPr>
          <w:ilvl w:val="0"/>
          <w:numId w:val="10"/>
        </w:numPr>
        <w:autoSpaceDE w:val="0"/>
        <w:autoSpaceDN w:val="0"/>
        <w:adjustRightInd w:val="0"/>
        <w:jc w:val="both"/>
        <w:rPr>
          <w:bCs/>
          <w:sz w:val="20"/>
        </w:rPr>
      </w:pPr>
      <w:r w:rsidRPr="009577DE">
        <w:rPr>
          <w:bCs/>
          <w:sz w:val="20"/>
        </w:rPr>
        <w:lastRenderedPageBreak/>
        <w:t xml:space="preserve">Por lo que se refiere a la relación entre la propiedad intelectual y las políticas en materia de competencia, en 2012 siguió creciendo el número de solicitudes presentadas por los </w:t>
      </w:r>
      <w:r w:rsidRPr="009577DE">
        <w:rPr>
          <w:sz w:val="20"/>
          <w:lang w:bidi="th-TH"/>
        </w:rPr>
        <w:t xml:space="preserve">Estados miembros para que la </w:t>
      </w:r>
      <w:r w:rsidRPr="009577DE">
        <w:rPr>
          <w:bCs/>
          <w:sz w:val="20"/>
        </w:rPr>
        <w:t>Secretaría participe en un diálogo y les ayude a comprender mejor la conexión existente entre la propiedad intelectual y la competencia.  Además, se ha establecido un mecanismo de cooperación estructurado aunque de carácter informal con otros organismos pertinentes en este ámbito, entre los cuales cabe destacar la OCDE, la UNCTAD</w:t>
      </w:r>
      <w:r>
        <w:rPr>
          <w:bCs/>
          <w:sz w:val="20"/>
        </w:rPr>
        <w:t xml:space="preserve"> y </w:t>
      </w:r>
      <w:r w:rsidRPr="009577DE">
        <w:rPr>
          <w:bCs/>
          <w:sz w:val="20"/>
        </w:rPr>
        <w:t xml:space="preserve">la OMC </w:t>
      </w:r>
      <w:r>
        <w:rPr>
          <w:bCs/>
          <w:sz w:val="20"/>
        </w:rPr>
        <w:t>así como con</w:t>
      </w:r>
      <w:r w:rsidRPr="009577DE">
        <w:rPr>
          <w:bCs/>
          <w:sz w:val="20"/>
        </w:rPr>
        <w:t xml:space="preserve"> </w:t>
      </w:r>
      <w:r w:rsidRPr="00EA0072">
        <w:rPr>
          <w:bCs/>
          <w:i/>
          <w:sz w:val="20"/>
        </w:rPr>
        <w:t xml:space="preserve">International </w:t>
      </w:r>
      <w:proofErr w:type="spellStart"/>
      <w:r w:rsidRPr="00EA0072">
        <w:rPr>
          <w:bCs/>
          <w:i/>
          <w:sz w:val="20"/>
        </w:rPr>
        <w:t>Competition</w:t>
      </w:r>
      <w:proofErr w:type="spellEnd"/>
      <w:r w:rsidRPr="00EA0072">
        <w:rPr>
          <w:bCs/>
          <w:i/>
          <w:sz w:val="20"/>
        </w:rPr>
        <w:t xml:space="preserve"> Network</w:t>
      </w:r>
      <w:r w:rsidRPr="009577DE">
        <w:rPr>
          <w:bCs/>
          <w:sz w:val="20"/>
        </w:rPr>
        <w:t>.</w:t>
      </w:r>
    </w:p>
    <w:p w:rsidR="00B070BF" w:rsidRPr="009577DE" w:rsidRDefault="00B070BF" w:rsidP="00B070BF">
      <w:pPr>
        <w:widowControl w:val="0"/>
        <w:jc w:val="both"/>
        <w:rPr>
          <w:bCs/>
          <w:sz w:val="20"/>
          <w:szCs w:val="22"/>
          <w:lang w:val="es-ES_tradnl"/>
        </w:rPr>
      </w:pPr>
    </w:p>
    <w:p w:rsidR="00B070BF" w:rsidRPr="009577DE" w:rsidRDefault="00B070BF" w:rsidP="00B070BF">
      <w:pPr>
        <w:widowControl w:val="0"/>
        <w:jc w:val="both"/>
        <w:rPr>
          <w:bCs/>
          <w:sz w:val="20"/>
          <w:szCs w:val="22"/>
          <w:lang w:val="es-ES_tradnl"/>
        </w:rPr>
      </w:pPr>
    </w:p>
    <w:p w:rsidR="00B070BF" w:rsidRPr="009577DE" w:rsidRDefault="00B070BF" w:rsidP="00B070BF">
      <w:pPr>
        <w:widowControl w:val="0"/>
        <w:jc w:val="both"/>
        <w:rPr>
          <w:bCs/>
          <w:szCs w:val="22"/>
          <w:lang w:val="es-ES_tradnl"/>
        </w:rPr>
      </w:pPr>
      <w:r w:rsidRPr="009577DE">
        <w:rPr>
          <w:bCs/>
          <w:sz w:val="20"/>
          <w:szCs w:val="22"/>
          <w:lang w:val="es-ES_tradnl"/>
        </w:rPr>
        <w:t xml:space="preserve">APLICACIÓN DE LA AGENDA PARA EL DESARROLLO </w:t>
      </w:r>
    </w:p>
    <w:p w:rsidR="00B070BF" w:rsidRPr="009577DE" w:rsidRDefault="00B070BF" w:rsidP="00B070BF">
      <w:pPr>
        <w:widowControl w:val="0"/>
        <w:autoSpaceDE w:val="0"/>
        <w:autoSpaceDN w:val="0"/>
        <w:adjustRightInd w:val="0"/>
        <w:rPr>
          <w:bCs/>
          <w:szCs w:val="22"/>
          <w:lang w:val="es-ES_tradnl"/>
        </w:rPr>
      </w:pPr>
    </w:p>
    <w:p w:rsidR="00B070BF" w:rsidRPr="009577DE" w:rsidRDefault="00B070BF" w:rsidP="00B070BF">
      <w:pPr>
        <w:widowControl w:val="0"/>
        <w:numPr>
          <w:ilvl w:val="0"/>
          <w:numId w:val="10"/>
        </w:numPr>
        <w:shd w:val="clear" w:color="auto" w:fill="FFFFFF"/>
        <w:jc w:val="both"/>
        <w:rPr>
          <w:rFonts w:eastAsia="Times New Roman"/>
          <w:sz w:val="20"/>
          <w:lang w:eastAsia="en-US"/>
        </w:rPr>
      </w:pPr>
      <w:r w:rsidRPr="009577DE">
        <w:rPr>
          <w:rFonts w:eastAsia="Times New Roman"/>
          <w:sz w:val="20"/>
          <w:lang w:val="es-ES_tradnl" w:eastAsia="en-US"/>
        </w:rPr>
        <w:t xml:space="preserve">El diseño, la planificación y la ejecución de las actividades del programa 18 se basaron en las recomendaciones pertinentes de la Agenda para el Desarrollo.  El programa contribuyó a la ejecución de la Agenda para el Desarrollo participando en las iniciativas de suministro de información sobre políticas públicas en materia de patentes relacionadas con la seguridad alimentaria, la salud y el cambio climático que forman parte del proyecto de creación de instrumentos de acceso a la información sobre patentes.  Además, el programa también tomó parte en la ejecución del proyecto sobre propiedad intelectual y políticas en materia de competencia. </w:t>
      </w:r>
      <w:r w:rsidRPr="009577DE">
        <w:rPr>
          <w:rFonts w:eastAsia="Times New Roman"/>
          <w:sz w:val="20"/>
          <w:lang w:eastAsia="en-US"/>
        </w:rPr>
        <w:t xml:space="preserve">Una vez finalizado, el proyecto fue evaluado.  En el marco de este proyecto se llevaron a cabo y fueron sometidos a debate en el CDIP los siguientes estudios: “Interacción de los organismos encargados de propiedad intelectual y derecho de la competencia: Resumen de las respuestas de los Estados miembros” (CDPI/8/INF/4); “Relación entre el agotamiento de los derechos de propiedad intelectual y las leyes de competencia” (CDPI/8/INF/5); “Análisis sobre los estudios económicos y jurídicos sobre los efectos de los derechos de P.I. como obstáculo” (CDPI/8/INF/6 </w:t>
      </w:r>
      <w:proofErr w:type="spellStart"/>
      <w:r w:rsidRPr="009577DE">
        <w:rPr>
          <w:rFonts w:eastAsia="Times New Roman"/>
          <w:sz w:val="20"/>
          <w:lang w:eastAsia="en-US"/>
        </w:rPr>
        <w:t>Corr</w:t>
      </w:r>
      <w:proofErr w:type="spellEnd"/>
      <w:r w:rsidRPr="009577DE">
        <w:rPr>
          <w:rFonts w:eastAsia="Times New Roman"/>
          <w:sz w:val="20"/>
          <w:lang w:eastAsia="en-US"/>
        </w:rPr>
        <w:t>.); y el estudio sobre el uso anticompetitivo de los procedimientos judiciales para hacer valer derechos de propiedad intelectual (P.I.): litigios temerarios (documento CDIP/9/INF/6).</w:t>
      </w:r>
    </w:p>
    <w:p w:rsidR="00B070BF" w:rsidRPr="009577DE" w:rsidRDefault="00B070BF" w:rsidP="00B070BF">
      <w:pPr>
        <w:widowControl w:val="0"/>
        <w:jc w:val="both"/>
        <w:rPr>
          <w:szCs w:val="22"/>
        </w:rPr>
      </w:pPr>
    </w:p>
    <w:p w:rsidR="00B070BF" w:rsidRPr="009577DE" w:rsidRDefault="00B070BF" w:rsidP="00B070BF">
      <w:pPr>
        <w:widowControl w:val="0"/>
        <w:jc w:val="both"/>
        <w:rPr>
          <w:szCs w:val="22"/>
        </w:rPr>
      </w:pPr>
    </w:p>
    <w:p w:rsidR="00B070BF" w:rsidRPr="00CB3668" w:rsidRDefault="00B070BF" w:rsidP="00B070BF">
      <w:pPr>
        <w:widowControl w:val="0"/>
        <w:jc w:val="both"/>
        <w:rPr>
          <w:bCs/>
          <w:sz w:val="20"/>
          <w:szCs w:val="22"/>
          <w:lang w:val="es-ES_tradnl"/>
        </w:rPr>
      </w:pPr>
      <w:r w:rsidRPr="00CB3668">
        <w:rPr>
          <w:bCs/>
          <w:sz w:val="20"/>
          <w:szCs w:val="22"/>
          <w:lang w:val="es-ES_tradnl"/>
        </w:rPr>
        <w:t>DATOS SOBRE EL RENDIMIENTO</w:t>
      </w:r>
    </w:p>
    <w:p w:rsidR="00B070BF" w:rsidRPr="009577DE" w:rsidRDefault="00B070BF" w:rsidP="00B070BF">
      <w:pPr>
        <w:widowControl w:val="0"/>
        <w:jc w:val="both"/>
        <w:rPr>
          <w:sz w:val="20"/>
          <w:szCs w:val="22"/>
        </w:rPr>
      </w:pPr>
    </w:p>
    <w:tbl>
      <w:tblPr>
        <w:tblW w:w="5000" w:type="pct"/>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670"/>
        <w:gridCol w:w="1538"/>
        <w:gridCol w:w="1750"/>
        <w:gridCol w:w="3534"/>
        <w:gridCol w:w="1079"/>
      </w:tblGrid>
      <w:tr w:rsidR="00B070BF" w:rsidRPr="009577DE" w:rsidTr="00C33D4A">
        <w:trPr>
          <w:cantSplit/>
        </w:trPr>
        <w:tc>
          <w:tcPr>
            <w:tcW w:w="5000" w:type="pct"/>
            <w:gridSpan w:val="5"/>
            <w:tcBorders>
              <w:top w:val="single" w:sz="4" w:space="0" w:color="auto"/>
              <w:bottom w:val="single" w:sz="4" w:space="0" w:color="auto"/>
            </w:tcBorders>
            <w:shd w:val="clear" w:color="auto" w:fill="CCFFFF"/>
            <w:vAlign w:val="center"/>
          </w:tcPr>
          <w:p w:rsidR="00B070BF" w:rsidRPr="009577DE" w:rsidRDefault="00B070BF" w:rsidP="00C33D4A">
            <w:pPr>
              <w:widowControl w:val="0"/>
              <w:spacing w:before="120" w:after="120"/>
              <w:ind w:left="1735" w:hanging="1735"/>
              <w:rPr>
                <w:b/>
                <w:bCs/>
                <w:sz w:val="16"/>
                <w:szCs w:val="16"/>
                <w:lang w:val="es-ES_tradnl"/>
              </w:rPr>
            </w:pPr>
            <w:r w:rsidRPr="009577DE">
              <w:rPr>
                <w:b/>
                <w:bCs/>
                <w:sz w:val="16"/>
                <w:szCs w:val="16"/>
                <w:lang w:val="es-ES_tradnl"/>
              </w:rPr>
              <w:t>Resultado previsto:</w:t>
            </w:r>
            <w:r w:rsidRPr="009577DE">
              <w:rPr>
                <w:b/>
                <w:bCs/>
                <w:sz w:val="16"/>
                <w:szCs w:val="16"/>
                <w:lang w:val="es-ES_tradnl"/>
              </w:rPr>
              <w:tab/>
            </w:r>
            <w:r w:rsidRPr="009577DE">
              <w:rPr>
                <w:bCs/>
                <w:sz w:val="16"/>
                <w:szCs w:val="16"/>
                <w:lang w:val="es-ES_tradnl"/>
              </w:rPr>
              <w:t xml:space="preserve"> Conocimiento más adecuado entre los encargados de la adopción de políticas de la relación existente entre los desafíos mundiales y la innovación y la P.I. como base para formular políticas de manera más eficaz.</w:t>
            </w:r>
          </w:p>
        </w:tc>
      </w:tr>
      <w:tr w:rsidR="00B070BF" w:rsidRPr="009577DE" w:rsidTr="00C33D4A">
        <w:trPr>
          <w:cantSplit/>
        </w:trPr>
        <w:tc>
          <w:tcPr>
            <w:tcW w:w="874" w:type="pct"/>
            <w:tcBorders>
              <w:top w:val="single" w:sz="4" w:space="0" w:color="auto"/>
            </w:tcBorders>
            <w:shd w:val="clear" w:color="auto" w:fill="auto"/>
            <w:vAlign w:val="center"/>
          </w:tcPr>
          <w:p w:rsidR="00B070BF" w:rsidRPr="009577DE" w:rsidRDefault="00B070BF" w:rsidP="00C33D4A">
            <w:pPr>
              <w:widowControl w:val="0"/>
              <w:spacing w:after="120"/>
              <w:rPr>
                <w:sz w:val="16"/>
                <w:szCs w:val="16"/>
                <w:lang w:val="es-ES_tradnl"/>
              </w:rPr>
            </w:pPr>
            <w:r w:rsidRPr="009577DE">
              <w:rPr>
                <w:b/>
                <w:bCs/>
                <w:sz w:val="16"/>
                <w:szCs w:val="16"/>
                <w:lang w:val="es-ES_tradnl"/>
              </w:rPr>
              <w:t>Indicadores de rendimiento</w:t>
            </w:r>
          </w:p>
        </w:tc>
        <w:tc>
          <w:tcPr>
            <w:tcW w:w="805" w:type="pct"/>
            <w:tcBorders>
              <w:top w:val="single" w:sz="4" w:space="0" w:color="auto"/>
            </w:tcBorders>
            <w:shd w:val="clear" w:color="auto" w:fill="C0C0C0"/>
          </w:tcPr>
          <w:p w:rsidR="00B070BF" w:rsidRPr="009577DE" w:rsidRDefault="00B070BF" w:rsidP="00C33D4A">
            <w:pPr>
              <w:widowControl w:val="0"/>
              <w:spacing w:after="120"/>
              <w:rPr>
                <w:b/>
                <w:bCs/>
                <w:sz w:val="16"/>
                <w:szCs w:val="16"/>
                <w:lang w:val="es-ES_tradnl"/>
              </w:rPr>
            </w:pPr>
            <w:r w:rsidRPr="009577DE">
              <w:rPr>
                <w:b/>
                <w:bCs/>
                <w:sz w:val="16"/>
                <w:szCs w:val="16"/>
                <w:lang w:val="es-ES_tradnl"/>
              </w:rPr>
              <w:t>Referencia (</w:t>
            </w:r>
            <w:proofErr w:type="spellStart"/>
            <w:r w:rsidRPr="009577DE">
              <w:rPr>
                <w:b/>
                <w:bCs/>
                <w:sz w:val="16"/>
                <w:szCs w:val="16"/>
                <w:lang w:val="es-ES_tradnl"/>
              </w:rPr>
              <w:t>Presup</w:t>
            </w:r>
            <w:proofErr w:type="spellEnd"/>
            <w:r w:rsidRPr="009577DE">
              <w:rPr>
                <w:b/>
                <w:bCs/>
                <w:sz w:val="16"/>
                <w:szCs w:val="16"/>
                <w:lang w:val="es-ES_tradnl"/>
              </w:rPr>
              <w:t xml:space="preserve">. por </w:t>
            </w:r>
            <w:proofErr w:type="spellStart"/>
            <w:r w:rsidRPr="009577DE">
              <w:rPr>
                <w:b/>
                <w:bCs/>
                <w:sz w:val="16"/>
                <w:szCs w:val="16"/>
                <w:lang w:val="es-ES_tradnl"/>
              </w:rPr>
              <w:t>prog</w:t>
            </w:r>
            <w:proofErr w:type="spellEnd"/>
            <w:r w:rsidRPr="009577DE">
              <w:rPr>
                <w:b/>
                <w:bCs/>
                <w:sz w:val="16"/>
                <w:szCs w:val="16"/>
                <w:lang w:val="es-ES_tradnl"/>
              </w:rPr>
              <w:t>. 2012/13)</w:t>
            </w:r>
          </w:p>
        </w:tc>
        <w:tc>
          <w:tcPr>
            <w:tcW w:w="916" w:type="pct"/>
            <w:tcBorders>
              <w:top w:val="single" w:sz="4" w:space="0" w:color="auto"/>
            </w:tcBorders>
            <w:shd w:val="clear" w:color="auto" w:fill="auto"/>
            <w:tcMar>
              <w:top w:w="110" w:type="dxa"/>
            </w:tcMar>
            <w:vAlign w:val="center"/>
          </w:tcPr>
          <w:p w:rsidR="00B070BF" w:rsidRPr="009577DE" w:rsidRDefault="00B070BF" w:rsidP="00C33D4A">
            <w:pPr>
              <w:widowControl w:val="0"/>
              <w:spacing w:after="120"/>
              <w:rPr>
                <w:b/>
                <w:sz w:val="16"/>
                <w:szCs w:val="16"/>
                <w:lang w:val="es-ES_tradnl"/>
              </w:rPr>
            </w:pPr>
            <w:r w:rsidRPr="00BF138D">
              <w:rPr>
                <w:b/>
                <w:color w:val="993300"/>
                <w:sz w:val="16"/>
                <w:szCs w:val="16"/>
                <w:lang w:val="es-ES_tradnl"/>
              </w:rPr>
              <w:t>Referencia actualizada a finales de 2011</w:t>
            </w:r>
            <w:r w:rsidRPr="009577DE">
              <w:rPr>
                <w:b/>
                <w:sz w:val="16"/>
                <w:szCs w:val="16"/>
                <w:lang w:val="es-ES_tradnl"/>
              </w:rPr>
              <w:t xml:space="preserve"> </w:t>
            </w:r>
          </w:p>
        </w:tc>
        <w:tc>
          <w:tcPr>
            <w:tcW w:w="1848" w:type="pct"/>
            <w:tcBorders>
              <w:top w:val="single" w:sz="4" w:space="0" w:color="auto"/>
            </w:tcBorders>
            <w:shd w:val="clear" w:color="auto" w:fill="FFFFFF"/>
            <w:tcMar>
              <w:top w:w="110" w:type="dxa"/>
            </w:tcMar>
            <w:vAlign w:val="center"/>
          </w:tcPr>
          <w:p w:rsidR="00B070BF" w:rsidRPr="009577DE" w:rsidRDefault="00B070BF" w:rsidP="00C33D4A">
            <w:pPr>
              <w:widowControl w:val="0"/>
              <w:spacing w:after="120"/>
              <w:rPr>
                <w:sz w:val="16"/>
                <w:szCs w:val="16"/>
                <w:lang w:val="es-ES_tradnl"/>
              </w:rPr>
            </w:pPr>
            <w:r w:rsidRPr="009577DE">
              <w:rPr>
                <w:b/>
                <w:bCs/>
                <w:sz w:val="16"/>
                <w:szCs w:val="16"/>
                <w:lang w:val="es-ES_tradnl"/>
              </w:rPr>
              <w:t>Datos sobre el rendimiento</w:t>
            </w:r>
          </w:p>
        </w:tc>
        <w:tc>
          <w:tcPr>
            <w:tcW w:w="557" w:type="pct"/>
            <w:tcBorders>
              <w:top w:val="single" w:sz="4" w:space="0" w:color="auto"/>
            </w:tcBorders>
            <w:shd w:val="clear" w:color="auto" w:fill="auto"/>
            <w:tcMar>
              <w:top w:w="110" w:type="dxa"/>
            </w:tcMar>
            <w:vAlign w:val="center"/>
          </w:tcPr>
          <w:p w:rsidR="00B070BF" w:rsidRPr="009577DE" w:rsidRDefault="00B070BF" w:rsidP="00C33D4A">
            <w:pPr>
              <w:widowControl w:val="0"/>
              <w:spacing w:after="120"/>
              <w:jc w:val="center"/>
              <w:rPr>
                <w:b/>
                <w:bCs/>
                <w:sz w:val="16"/>
                <w:szCs w:val="16"/>
                <w:lang w:val="es-ES_tradnl"/>
              </w:rPr>
            </w:pPr>
            <w:r w:rsidRPr="009577DE">
              <w:rPr>
                <w:b/>
                <w:bCs/>
                <w:sz w:val="16"/>
                <w:szCs w:val="16"/>
                <w:lang w:val="es-ES_tradnl"/>
              </w:rPr>
              <w:t>Clave de colores</w:t>
            </w:r>
          </w:p>
        </w:tc>
      </w:tr>
      <w:tr w:rsidR="00B070BF" w:rsidRPr="009577DE" w:rsidTr="00C33D4A">
        <w:trPr>
          <w:cantSplit/>
        </w:trPr>
        <w:tc>
          <w:tcPr>
            <w:tcW w:w="874" w:type="pct"/>
            <w:shd w:val="clear" w:color="auto" w:fill="auto"/>
          </w:tcPr>
          <w:p w:rsidR="00B070BF" w:rsidRPr="009577DE" w:rsidRDefault="00B070BF" w:rsidP="00C33D4A">
            <w:pPr>
              <w:widowControl w:val="0"/>
              <w:rPr>
                <w:sz w:val="16"/>
                <w:szCs w:val="16"/>
                <w:lang w:val="es-ES_tradnl"/>
              </w:rPr>
            </w:pPr>
            <w:r w:rsidRPr="009577DE">
              <w:rPr>
                <w:sz w:val="16"/>
                <w:szCs w:val="16"/>
                <w:lang w:val="es-ES_tradnl"/>
              </w:rPr>
              <w:t>Referencias a la labor de la OMPI en el ámbito de los desafíos mundiales en otros procesos de política.</w:t>
            </w:r>
          </w:p>
          <w:p w:rsidR="00B070BF" w:rsidRPr="009577DE" w:rsidRDefault="00B070BF" w:rsidP="00C33D4A">
            <w:pPr>
              <w:widowControl w:val="0"/>
              <w:rPr>
                <w:sz w:val="16"/>
                <w:szCs w:val="16"/>
                <w:lang w:val="es-ES_tradnl"/>
              </w:rPr>
            </w:pPr>
          </w:p>
          <w:p w:rsidR="00B070BF" w:rsidRPr="009577DE" w:rsidRDefault="00B070BF" w:rsidP="00C33D4A">
            <w:pPr>
              <w:widowControl w:val="0"/>
              <w:rPr>
                <w:sz w:val="16"/>
                <w:szCs w:val="16"/>
                <w:highlight w:val="yellow"/>
                <w:lang w:val="es-ES_tradnl"/>
              </w:rPr>
            </w:pPr>
            <w:r w:rsidRPr="009577DE">
              <w:rPr>
                <w:sz w:val="16"/>
                <w:szCs w:val="16"/>
                <w:lang w:val="es-ES_tradnl"/>
              </w:rPr>
              <w:t>Mayor utilización del material que se ofrece en la página web de Desafíos Mundiales.</w:t>
            </w:r>
          </w:p>
        </w:tc>
        <w:tc>
          <w:tcPr>
            <w:tcW w:w="805" w:type="pct"/>
            <w:shd w:val="clear" w:color="auto" w:fill="C0C0C0"/>
          </w:tcPr>
          <w:p w:rsidR="00B070BF" w:rsidRPr="009577DE" w:rsidRDefault="00B070BF" w:rsidP="00C33D4A">
            <w:pPr>
              <w:widowControl w:val="0"/>
              <w:rPr>
                <w:sz w:val="16"/>
                <w:szCs w:val="16"/>
                <w:lang w:val="es-ES_tradnl"/>
              </w:rPr>
            </w:pPr>
            <w:r w:rsidRPr="009577DE">
              <w:rPr>
                <w:sz w:val="16"/>
                <w:szCs w:val="16"/>
                <w:lang w:val="es-ES_tradnl"/>
              </w:rPr>
              <w:t>Por determinar.</w:t>
            </w:r>
          </w:p>
        </w:tc>
        <w:tc>
          <w:tcPr>
            <w:tcW w:w="916" w:type="pct"/>
            <w:shd w:val="clear" w:color="auto" w:fill="auto"/>
            <w:tcMar>
              <w:top w:w="110" w:type="dxa"/>
            </w:tcMar>
          </w:tcPr>
          <w:p w:rsidR="00B070BF" w:rsidRPr="009577DE" w:rsidRDefault="00B070BF" w:rsidP="00C33D4A">
            <w:pPr>
              <w:widowControl w:val="0"/>
              <w:rPr>
                <w:bCs/>
                <w:sz w:val="16"/>
                <w:szCs w:val="16"/>
                <w:lang w:val="es-ES_tradnl"/>
              </w:rPr>
            </w:pPr>
            <w:r w:rsidRPr="00F2661C">
              <w:rPr>
                <w:bCs/>
                <w:color w:val="993300"/>
                <w:sz w:val="16"/>
                <w:szCs w:val="16"/>
                <w:lang w:val="es-ES_tradnl"/>
              </w:rPr>
              <w:t>Referencias de los Estados miembros en reuniones (p. ej., las Asambleas Generales, el CDIP o el SCP), el  Consejo Ejecutivo de la Organización Mundial de la Salud (OMS), la Asamblea Mundial de la Salud y el Consejo sobre el ADPIC de la Organización Mundial del Comercio (OMC).</w:t>
            </w:r>
          </w:p>
        </w:tc>
        <w:tc>
          <w:tcPr>
            <w:tcW w:w="1848" w:type="pct"/>
            <w:shd w:val="clear" w:color="auto" w:fill="FFFFFF"/>
            <w:tcMar>
              <w:top w:w="110" w:type="dxa"/>
            </w:tcMar>
          </w:tcPr>
          <w:p w:rsidR="00B070BF" w:rsidRPr="009577DE" w:rsidRDefault="00B070BF" w:rsidP="00C33D4A">
            <w:pPr>
              <w:widowControl w:val="0"/>
              <w:rPr>
                <w:sz w:val="16"/>
                <w:szCs w:val="16"/>
                <w:lang w:val="es-ES_tradnl" w:bidi="th-TH"/>
              </w:rPr>
            </w:pPr>
            <w:r w:rsidRPr="009577DE">
              <w:rPr>
                <w:sz w:val="16"/>
                <w:szCs w:val="16"/>
                <w:lang w:val="es-ES_tradnl" w:bidi="th-TH"/>
              </w:rPr>
              <w:t>Los delegados que participan en los principales foros sobre políticas, como el SCP, el CDIP y las Asambleas Generales de la OMPI, así como en el Consejo Ejecutivo de la OMS, la Asamblea Mundial de la Salud y el Consejo sobre los ADPIC de la OMC, han expresado su apoyo continuo a la labor de la OMPI en materia de P.I. y desafíos mundiales.  WIPO GREEN forma parte del  Grupo de Trabajo sobre el Cambio Climático del Comité de Alto Nivel sobre Programas de las Naciones Unidas.</w:t>
            </w:r>
          </w:p>
          <w:p w:rsidR="00B070BF" w:rsidRPr="009577DE" w:rsidRDefault="00B070BF" w:rsidP="00C33D4A">
            <w:pPr>
              <w:widowControl w:val="0"/>
              <w:rPr>
                <w:sz w:val="16"/>
                <w:szCs w:val="16"/>
                <w:lang w:val="es-ES_tradnl"/>
              </w:rPr>
            </w:pPr>
          </w:p>
        </w:tc>
        <w:tc>
          <w:tcPr>
            <w:tcW w:w="557" w:type="pct"/>
            <w:shd w:val="clear" w:color="auto" w:fill="auto"/>
            <w:tcMar>
              <w:top w:w="110" w:type="dxa"/>
            </w:tcMar>
          </w:tcPr>
          <w:p w:rsidR="00B070BF" w:rsidRPr="009577DE" w:rsidRDefault="00B070BF" w:rsidP="00C33D4A">
            <w:pPr>
              <w:widowControl w:val="0"/>
              <w:jc w:val="center"/>
              <w:rPr>
                <w:b/>
                <w:sz w:val="16"/>
                <w:szCs w:val="16"/>
                <w:lang w:val="es-ES_tradnl"/>
              </w:rPr>
            </w:pPr>
            <w:r w:rsidRPr="009577DE">
              <w:rPr>
                <w:b/>
                <w:color w:val="008000"/>
                <w:sz w:val="16"/>
                <w:szCs w:val="16"/>
                <w:lang w:val="es-ES_tradnl"/>
              </w:rPr>
              <w:t>Progresa con normalidad</w:t>
            </w:r>
          </w:p>
          <w:p w:rsidR="00B070BF" w:rsidRPr="009577DE" w:rsidRDefault="00B070BF" w:rsidP="00C33D4A">
            <w:pPr>
              <w:widowControl w:val="0"/>
              <w:jc w:val="center"/>
              <w:rPr>
                <w:bCs/>
                <w:sz w:val="16"/>
                <w:szCs w:val="16"/>
                <w:lang w:val="es-ES_tradnl"/>
              </w:rPr>
            </w:pPr>
          </w:p>
          <w:p w:rsidR="00B070BF" w:rsidRPr="009577DE" w:rsidRDefault="00B070BF" w:rsidP="00C33D4A">
            <w:pPr>
              <w:widowControl w:val="0"/>
              <w:jc w:val="center"/>
              <w:rPr>
                <w:bCs/>
                <w:sz w:val="16"/>
                <w:szCs w:val="16"/>
                <w:lang w:val="es-ES_tradnl"/>
              </w:rPr>
            </w:pPr>
          </w:p>
        </w:tc>
      </w:tr>
      <w:tr w:rsidR="00B070BF" w:rsidRPr="009577DE" w:rsidTr="00C33D4A">
        <w:trPr>
          <w:cantSplit/>
        </w:trPr>
        <w:tc>
          <w:tcPr>
            <w:tcW w:w="874" w:type="pct"/>
            <w:shd w:val="clear" w:color="auto" w:fill="auto"/>
          </w:tcPr>
          <w:p w:rsidR="00B070BF" w:rsidRPr="009577DE" w:rsidRDefault="00B070BF" w:rsidP="00C33D4A">
            <w:pPr>
              <w:widowControl w:val="0"/>
              <w:rPr>
                <w:sz w:val="16"/>
                <w:szCs w:val="16"/>
                <w:highlight w:val="yellow"/>
                <w:lang w:val="es-ES_tradnl"/>
              </w:rPr>
            </w:pPr>
          </w:p>
        </w:tc>
        <w:tc>
          <w:tcPr>
            <w:tcW w:w="805" w:type="pct"/>
            <w:shd w:val="clear" w:color="auto" w:fill="C0C0C0"/>
          </w:tcPr>
          <w:p w:rsidR="00B070BF" w:rsidRPr="009577DE" w:rsidRDefault="00B070BF" w:rsidP="00C33D4A">
            <w:pPr>
              <w:widowControl w:val="0"/>
              <w:rPr>
                <w:sz w:val="16"/>
                <w:szCs w:val="16"/>
                <w:lang w:val="es-ES_tradnl"/>
              </w:rPr>
            </w:pPr>
            <w:r w:rsidRPr="009577DE">
              <w:rPr>
                <w:sz w:val="16"/>
                <w:szCs w:val="16"/>
                <w:lang w:val="es-ES_tradnl"/>
              </w:rPr>
              <w:t>Número de descargas (ninguna ya que la página se puso en marcha a comienzos de 2012).</w:t>
            </w:r>
          </w:p>
        </w:tc>
        <w:tc>
          <w:tcPr>
            <w:tcW w:w="916" w:type="pct"/>
            <w:shd w:val="clear" w:color="auto" w:fill="auto"/>
            <w:tcMar>
              <w:top w:w="110" w:type="dxa"/>
            </w:tcMar>
          </w:tcPr>
          <w:p w:rsidR="00B070BF" w:rsidRPr="009577DE" w:rsidRDefault="00B070BF" w:rsidP="00C33D4A">
            <w:pPr>
              <w:widowControl w:val="0"/>
              <w:rPr>
                <w:i/>
                <w:sz w:val="16"/>
                <w:szCs w:val="16"/>
                <w:highlight w:val="cyan"/>
                <w:lang w:val="es-ES_tradnl"/>
              </w:rPr>
            </w:pPr>
          </w:p>
        </w:tc>
        <w:tc>
          <w:tcPr>
            <w:tcW w:w="1848" w:type="pct"/>
            <w:shd w:val="clear" w:color="auto" w:fill="FFFFFF"/>
            <w:tcMar>
              <w:top w:w="110" w:type="dxa"/>
            </w:tcMar>
          </w:tcPr>
          <w:p w:rsidR="00B070BF" w:rsidRPr="009577DE" w:rsidRDefault="00B070BF" w:rsidP="00C33D4A">
            <w:pPr>
              <w:widowControl w:val="0"/>
              <w:rPr>
                <w:sz w:val="16"/>
                <w:szCs w:val="16"/>
                <w:lang w:val="es-ES_tradnl" w:bidi="th-TH"/>
              </w:rPr>
            </w:pPr>
            <w:r w:rsidRPr="009577DE">
              <w:rPr>
                <w:sz w:val="16"/>
                <w:szCs w:val="16"/>
                <w:lang w:val="es-ES_tradnl" w:bidi="th-TH"/>
              </w:rPr>
              <w:t>Datos:</w:t>
            </w:r>
          </w:p>
          <w:p w:rsidR="00B070BF" w:rsidRPr="009577DE" w:rsidRDefault="00B070BF" w:rsidP="00C33D4A">
            <w:pPr>
              <w:widowControl w:val="0"/>
              <w:rPr>
                <w:sz w:val="16"/>
                <w:szCs w:val="16"/>
                <w:lang w:val="es-ES_tradnl" w:bidi="th-TH"/>
              </w:rPr>
            </w:pPr>
            <w:r w:rsidRPr="009577DE">
              <w:rPr>
                <w:sz w:val="16"/>
                <w:szCs w:val="16"/>
                <w:lang w:val="es-ES_tradnl" w:bidi="th-TH"/>
              </w:rPr>
              <w:t>10.928 páginas vistas.</w:t>
            </w:r>
          </w:p>
          <w:p w:rsidR="00B070BF" w:rsidRPr="009577DE" w:rsidRDefault="00B070BF" w:rsidP="00C33D4A">
            <w:pPr>
              <w:widowControl w:val="0"/>
              <w:rPr>
                <w:sz w:val="16"/>
                <w:szCs w:val="16"/>
                <w:lang w:val="es-ES_tradnl" w:bidi="th-TH"/>
              </w:rPr>
            </w:pPr>
            <w:r w:rsidRPr="009577DE">
              <w:rPr>
                <w:sz w:val="16"/>
                <w:szCs w:val="16"/>
                <w:lang w:val="es-ES_tradnl" w:bidi="th-TH"/>
              </w:rPr>
              <w:t xml:space="preserve">463 descargas de archivos en formato </w:t>
            </w:r>
            <w:proofErr w:type="spellStart"/>
            <w:r w:rsidRPr="009577DE">
              <w:rPr>
                <w:sz w:val="16"/>
                <w:szCs w:val="16"/>
                <w:lang w:val="es-ES_tradnl" w:bidi="th-TH"/>
              </w:rPr>
              <w:t>pdf</w:t>
            </w:r>
            <w:proofErr w:type="spellEnd"/>
            <w:r w:rsidRPr="009577DE">
              <w:rPr>
                <w:sz w:val="16"/>
                <w:szCs w:val="16"/>
                <w:lang w:val="es-ES_tradnl" w:bidi="th-TH"/>
              </w:rPr>
              <w:t>.</w:t>
            </w:r>
          </w:p>
          <w:p w:rsidR="00B070BF" w:rsidRPr="009577DE" w:rsidRDefault="00B070BF" w:rsidP="00C33D4A">
            <w:pPr>
              <w:widowControl w:val="0"/>
              <w:rPr>
                <w:sz w:val="16"/>
                <w:szCs w:val="16"/>
                <w:lang w:val="es-ES_tradnl" w:bidi="th-TH"/>
              </w:rPr>
            </w:pPr>
          </w:p>
          <w:p w:rsidR="00B070BF" w:rsidRPr="009577DE" w:rsidRDefault="00B070BF" w:rsidP="00C33D4A">
            <w:pPr>
              <w:widowControl w:val="0"/>
              <w:rPr>
                <w:sz w:val="16"/>
                <w:szCs w:val="16"/>
                <w:lang w:val="es-ES_tradnl"/>
              </w:rPr>
            </w:pPr>
          </w:p>
        </w:tc>
        <w:tc>
          <w:tcPr>
            <w:tcW w:w="557" w:type="pct"/>
            <w:shd w:val="clear" w:color="auto" w:fill="auto"/>
            <w:tcMar>
              <w:top w:w="110" w:type="dxa"/>
            </w:tcMar>
          </w:tcPr>
          <w:p w:rsidR="00B070BF" w:rsidRPr="009577DE" w:rsidRDefault="00B070BF" w:rsidP="00C33D4A">
            <w:pPr>
              <w:widowControl w:val="0"/>
              <w:jc w:val="center"/>
              <w:rPr>
                <w:b/>
                <w:sz w:val="16"/>
                <w:szCs w:val="16"/>
                <w:lang w:val="es-ES_tradnl"/>
              </w:rPr>
            </w:pPr>
            <w:r w:rsidRPr="009577DE">
              <w:rPr>
                <w:b/>
                <w:color w:val="008000"/>
                <w:sz w:val="16"/>
                <w:szCs w:val="16"/>
                <w:lang w:val="es-ES_tradnl"/>
              </w:rPr>
              <w:t>Progresa con normalidad</w:t>
            </w:r>
          </w:p>
          <w:p w:rsidR="00B070BF" w:rsidRPr="009577DE" w:rsidRDefault="00B070BF" w:rsidP="00C33D4A">
            <w:pPr>
              <w:widowControl w:val="0"/>
              <w:jc w:val="center"/>
              <w:rPr>
                <w:bCs/>
                <w:sz w:val="16"/>
                <w:szCs w:val="16"/>
                <w:lang w:val="es-ES_tradnl"/>
              </w:rPr>
            </w:pPr>
          </w:p>
          <w:p w:rsidR="00B070BF" w:rsidRPr="009577DE" w:rsidRDefault="00B070BF" w:rsidP="00C33D4A">
            <w:pPr>
              <w:widowControl w:val="0"/>
              <w:jc w:val="center"/>
              <w:rPr>
                <w:bCs/>
                <w:sz w:val="16"/>
                <w:szCs w:val="16"/>
                <w:lang w:val="es-ES_tradnl"/>
              </w:rPr>
            </w:pPr>
          </w:p>
        </w:tc>
      </w:tr>
      <w:tr w:rsidR="00B070BF" w:rsidRPr="009577DE" w:rsidTr="00C33D4A">
        <w:trPr>
          <w:cantSplit/>
        </w:trPr>
        <w:tc>
          <w:tcPr>
            <w:tcW w:w="874" w:type="pct"/>
            <w:tcBorders>
              <w:bottom w:val="single" w:sz="4" w:space="0" w:color="auto"/>
            </w:tcBorders>
            <w:shd w:val="clear" w:color="auto" w:fill="auto"/>
          </w:tcPr>
          <w:p w:rsidR="00B070BF" w:rsidRPr="009577DE" w:rsidRDefault="00B070BF" w:rsidP="00C33D4A">
            <w:pPr>
              <w:widowControl w:val="0"/>
              <w:rPr>
                <w:sz w:val="16"/>
                <w:szCs w:val="16"/>
                <w:lang w:val="es-ES_tradnl"/>
              </w:rPr>
            </w:pPr>
            <w:r w:rsidRPr="009577DE">
              <w:rPr>
                <w:sz w:val="16"/>
                <w:szCs w:val="16"/>
                <w:lang w:val="es-ES_tradnl"/>
              </w:rPr>
              <w:t>Comentarios de los participantes en foros de política.</w:t>
            </w:r>
          </w:p>
        </w:tc>
        <w:tc>
          <w:tcPr>
            <w:tcW w:w="805" w:type="pct"/>
            <w:tcBorders>
              <w:bottom w:val="single" w:sz="4" w:space="0" w:color="auto"/>
            </w:tcBorders>
            <w:shd w:val="clear" w:color="auto" w:fill="C0C0C0"/>
          </w:tcPr>
          <w:p w:rsidR="00B070BF" w:rsidRPr="009577DE" w:rsidRDefault="00B070BF" w:rsidP="00C33D4A">
            <w:pPr>
              <w:widowControl w:val="0"/>
              <w:rPr>
                <w:sz w:val="16"/>
                <w:szCs w:val="16"/>
                <w:lang w:val="es-ES_tradnl"/>
              </w:rPr>
            </w:pPr>
            <w:r w:rsidRPr="009577DE">
              <w:rPr>
                <w:sz w:val="16"/>
                <w:szCs w:val="16"/>
                <w:lang w:val="es-ES_tradnl"/>
              </w:rPr>
              <w:t>Comentarios positivos de los participantes esenciales.</w:t>
            </w:r>
          </w:p>
        </w:tc>
        <w:tc>
          <w:tcPr>
            <w:tcW w:w="916" w:type="pct"/>
            <w:tcBorders>
              <w:bottom w:val="single" w:sz="4" w:space="0" w:color="auto"/>
            </w:tcBorders>
            <w:shd w:val="clear" w:color="auto" w:fill="auto"/>
            <w:tcMar>
              <w:top w:w="110" w:type="dxa"/>
            </w:tcMar>
          </w:tcPr>
          <w:p w:rsidR="00B070BF" w:rsidRPr="009577DE" w:rsidRDefault="00B070BF" w:rsidP="00C33D4A">
            <w:pPr>
              <w:widowControl w:val="0"/>
              <w:rPr>
                <w:i/>
                <w:sz w:val="16"/>
                <w:szCs w:val="16"/>
                <w:lang w:val="es-ES_tradnl"/>
              </w:rPr>
            </w:pPr>
          </w:p>
        </w:tc>
        <w:tc>
          <w:tcPr>
            <w:tcW w:w="1848" w:type="pct"/>
            <w:tcBorders>
              <w:bottom w:val="single" w:sz="4" w:space="0" w:color="auto"/>
            </w:tcBorders>
            <w:shd w:val="clear" w:color="auto" w:fill="FFFFFF"/>
            <w:tcMar>
              <w:top w:w="110" w:type="dxa"/>
            </w:tcMar>
          </w:tcPr>
          <w:p w:rsidR="00B070BF" w:rsidRPr="009577DE" w:rsidRDefault="00B070BF" w:rsidP="00C33D4A">
            <w:pPr>
              <w:widowControl w:val="0"/>
              <w:tabs>
                <w:tab w:val="num" w:pos="459"/>
              </w:tabs>
              <w:ind w:left="34"/>
              <w:rPr>
                <w:sz w:val="16"/>
                <w:szCs w:val="16"/>
                <w:lang w:val="es-ES_tradnl" w:bidi="th-TH"/>
              </w:rPr>
            </w:pPr>
            <w:r w:rsidRPr="009577DE">
              <w:rPr>
                <w:sz w:val="16"/>
                <w:szCs w:val="16"/>
                <w:lang w:val="es-ES_tradnl" w:bidi="th-TH"/>
              </w:rPr>
              <w:t xml:space="preserve">La mayoría de los participantes en dos talleres y un programa de formación expresó su satisfacción en los cuestionarios a los que respondieron y consignó opiniones personales positivas.  </w:t>
            </w:r>
          </w:p>
          <w:p w:rsidR="00B070BF" w:rsidRPr="009577DE" w:rsidRDefault="00B070BF" w:rsidP="00C33D4A">
            <w:pPr>
              <w:widowControl w:val="0"/>
              <w:rPr>
                <w:sz w:val="16"/>
                <w:szCs w:val="16"/>
                <w:lang w:val="es-ES_tradnl"/>
              </w:rPr>
            </w:pPr>
          </w:p>
        </w:tc>
        <w:tc>
          <w:tcPr>
            <w:tcW w:w="557" w:type="pct"/>
            <w:tcBorders>
              <w:bottom w:val="single" w:sz="4" w:space="0" w:color="auto"/>
            </w:tcBorders>
            <w:shd w:val="clear" w:color="auto" w:fill="auto"/>
            <w:tcMar>
              <w:top w:w="110" w:type="dxa"/>
            </w:tcMar>
          </w:tcPr>
          <w:p w:rsidR="00B070BF" w:rsidRPr="009577DE" w:rsidRDefault="00B070BF" w:rsidP="00C33D4A">
            <w:pPr>
              <w:widowControl w:val="0"/>
              <w:jc w:val="center"/>
              <w:rPr>
                <w:b/>
                <w:sz w:val="16"/>
                <w:szCs w:val="16"/>
                <w:lang w:val="es-ES_tradnl"/>
              </w:rPr>
            </w:pPr>
            <w:r w:rsidRPr="009577DE">
              <w:rPr>
                <w:b/>
                <w:color w:val="008000"/>
                <w:sz w:val="16"/>
                <w:szCs w:val="16"/>
                <w:lang w:val="es-ES_tradnl"/>
              </w:rPr>
              <w:t>Progresa con normalidad</w:t>
            </w:r>
          </w:p>
          <w:p w:rsidR="00B070BF" w:rsidRPr="009577DE" w:rsidRDefault="00B070BF" w:rsidP="00C33D4A">
            <w:pPr>
              <w:widowControl w:val="0"/>
              <w:jc w:val="center"/>
              <w:rPr>
                <w:bCs/>
                <w:sz w:val="16"/>
                <w:szCs w:val="16"/>
                <w:lang w:val="es-ES_tradnl"/>
              </w:rPr>
            </w:pPr>
          </w:p>
          <w:p w:rsidR="00B070BF" w:rsidRPr="009577DE" w:rsidRDefault="00B070BF" w:rsidP="00C33D4A">
            <w:pPr>
              <w:widowControl w:val="0"/>
              <w:jc w:val="center"/>
              <w:rPr>
                <w:bCs/>
                <w:sz w:val="16"/>
                <w:szCs w:val="16"/>
                <w:lang w:val="es-ES_tradnl"/>
              </w:rPr>
            </w:pPr>
          </w:p>
        </w:tc>
      </w:tr>
      <w:tr w:rsidR="00B070BF" w:rsidRPr="009577DE" w:rsidTr="00C33D4A">
        <w:trPr>
          <w:cantSplit/>
        </w:trPr>
        <w:tc>
          <w:tcPr>
            <w:tcW w:w="5000" w:type="pct"/>
            <w:gridSpan w:val="5"/>
            <w:tcBorders>
              <w:top w:val="single" w:sz="4" w:space="0" w:color="auto"/>
              <w:bottom w:val="single" w:sz="4" w:space="0" w:color="auto"/>
            </w:tcBorders>
            <w:shd w:val="clear" w:color="auto" w:fill="CCFFFF"/>
            <w:vAlign w:val="center"/>
          </w:tcPr>
          <w:p w:rsidR="00B070BF" w:rsidRPr="009577DE" w:rsidRDefault="00B070BF" w:rsidP="00C33D4A">
            <w:pPr>
              <w:widowControl w:val="0"/>
              <w:spacing w:before="120" w:after="120"/>
              <w:ind w:left="1735" w:hanging="1735"/>
              <w:rPr>
                <w:b/>
                <w:bCs/>
                <w:sz w:val="16"/>
                <w:szCs w:val="16"/>
                <w:lang w:val="es-ES_tradnl"/>
              </w:rPr>
            </w:pPr>
            <w:r w:rsidRPr="009577DE">
              <w:rPr>
                <w:b/>
                <w:bCs/>
                <w:sz w:val="16"/>
                <w:szCs w:val="16"/>
                <w:lang w:val="es-ES_tradnl"/>
              </w:rPr>
              <w:lastRenderedPageBreak/>
              <w:t>Resultado previsto:</w:t>
            </w:r>
            <w:r w:rsidRPr="009577DE">
              <w:rPr>
                <w:b/>
                <w:bCs/>
                <w:sz w:val="16"/>
                <w:szCs w:val="16"/>
                <w:lang w:val="es-ES_tradnl"/>
              </w:rPr>
              <w:tab/>
            </w:r>
            <w:r w:rsidRPr="009577DE">
              <w:rPr>
                <w:bCs/>
                <w:sz w:val="16"/>
                <w:szCs w:val="16"/>
                <w:lang w:val="es-ES_tradnl"/>
              </w:rPr>
              <w:t>La OMPI constituye una fuente fidedigna de apoyo, asistencia y referencia para la información sobre la innovación y la P.I. en los pertinentes procesos de políticas públicas.</w:t>
            </w:r>
          </w:p>
        </w:tc>
      </w:tr>
      <w:tr w:rsidR="00B070BF" w:rsidRPr="009577DE" w:rsidTr="00C33D4A">
        <w:trPr>
          <w:cantSplit/>
        </w:trPr>
        <w:tc>
          <w:tcPr>
            <w:tcW w:w="874" w:type="pct"/>
            <w:tcBorders>
              <w:top w:val="single" w:sz="4" w:space="0" w:color="auto"/>
            </w:tcBorders>
            <w:shd w:val="clear" w:color="auto" w:fill="auto"/>
            <w:vAlign w:val="center"/>
          </w:tcPr>
          <w:p w:rsidR="00B070BF" w:rsidRPr="009577DE" w:rsidRDefault="00B070BF" w:rsidP="00C33D4A">
            <w:pPr>
              <w:widowControl w:val="0"/>
              <w:spacing w:after="120"/>
              <w:rPr>
                <w:sz w:val="16"/>
                <w:szCs w:val="16"/>
                <w:lang w:val="es-ES_tradnl"/>
              </w:rPr>
            </w:pPr>
            <w:r w:rsidRPr="009577DE">
              <w:rPr>
                <w:b/>
                <w:bCs/>
                <w:sz w:val="16"/>
                <w:szCs w:val="16"/>
                <w:lang w:val="es-ES_tradnl"/>
              </w:rPr>
              <w:t>Indicadores de rendimiento</w:t>
            </w:r>
          </w:p>
        </w:tc>
        <w:tc>
          <w:tcPr>
            <w:tcW w:w="805" w:type="pct"/>
            <w:tcBorders>
              <w:top w:val="single" w:sz="4" w:space="0" w:color="auto"/>
            </w:tcBorders>
            <w:shd w:val="clear" w:color="auto" w:fill="C0C0C0"/>
          </w:tcPr>
          <w:p w:rsidR="00B070BF" w:rsidRPr="009577DE" w:rsidRDefault="00B070BF" w:rsidP="00C33D4A">
            <w:pPr>
              <w:widowControl w:val="0"/>
              <w:spacing w:after="120"/>
              <w:rPr>
                <w:b/>
                <w:bCs/>
                <w:sz w:val="16"/>
                <w:szCs w:val="16"/>
                <w:lang w:val="es-ES_tradnl"/>
              </w:rPr>
            </w:pPr>
            <w:r w:rsidRPr="009577DE">
              <w:rPr>
                <w:b/>
                <w:bCs/>
                <w:sz w:val="16"/>
                <w:szCs w:val="16"/>
                <w:lang w:val="es-ES_tradnl"/>
              </w:rPr>
              <w:t>Referencia (</w:t>
            </w:r>
            <w:proofErr w:type="spellStart"/>
            <w:r w:rsidRPr="009577DE">
              <w:rPr>
                <w:b/>
                <w:bCs/>
                <w:sz w:val="16"/>
                <w:szCs w:val="16"/>
                <w:lang w:val="es-ES_tradnl"/>
              </w:rPr>
              <w:t>Presup</w:t>
            </w:r>
            <w:proofErr w:type="spellEnd"/>
            <w:r w:rsidRPr="009577DE">
              <w:rPr>
                <w:b/>
                <w:bCs/>
                <w:sz w:val="16"/>
                <w:szCs w:val="16"/>
                <w:lang w:val="es-ES_tradnl"/>
              </w:rPr>
              <w:t xml:space="preserve">. por </w:t>
            </w:r>
            <w:proofErr w:type="spellStart"/>
            <w:r w:rsidRPr="009577DE">
              <w:rPr>
                <w:b/>
                <w:bCs/>
                <w:sz w:val="16"/>
                <w:szCs w:val="16"/>
                <w:lang w:val="es-ES_tradnl"/>
              </w:rPr>
              <w:t>prog</w:t>
            </w:r>
            <w:proofErr w:type="spellEnd"/>
            <w:r w:rsidRPr="009577DE">
              <w:rPr>
                <w:b/>
                <w:bCs/>
                <w:sz w:val="16"/>
                <w:szCs w:val="16"/>
                <w:lang w:val="es-ES_tradnl"/>
              </w:rPr>
              <w:t>. 2012/13)</w:t>
            </w:r>
          </w:p>
        </w:tc>
        <w:tc>
          <w:tcPr>
            <w:tcW w:w="916" w:type="pct"/>
            <w:tcBorders>
              <w:top w:val="single" w:sz="4" w:space="0" w:color="auto"/>
            </w:tcBorders>
            <w:shd w:val="clear" w:color="auto" w:fill="auto"/>
            <w:tcMar>
              <w:top w:w="110" w:type="dxa"/>
            </w:tcMar>
            <w:vAlign w:val="center"/>
          </w:tcPr>
          <w:p w:rsidR="00B070BF" w:rsidRPr="009577DE" w:rsidRDefault="00B070BF" w:rsidP="00C33D4A">
            <w:pPr>
              <w:widowControl w:val="0"/>
              <w:spacing w:after="120"/>
              <w:rPr>
                <w:b/>
                <w:sz w:val="16"/>
                <w:szCs w:val="16"/>
                <w:lang w:val="es-ES_tradnl"/>
              </w:rPr>
            </w:pPr>
            <w:r w:rsidRPr="00BF138D">
              <w:rPr>
                <w:b/>
                <w:color w:val="993300"/>
                <w:sz w:val="16"/>
                <w:szCs w:val="16"/>
                <w:lang w:val="es-ES_tradnl"/>
              </w:rPr>
              <w:t>Referencia actualizada a finales de 2011</w:t>
            </w:r>
          </w:p>
        </w:tc>
        <w:tc>
          <w:tcPr>
            <w:tcW w:w="1848" w:type="pct"/>
            <w:tcBorders>
              <w:top w:val="single" w:sz="4" w:space="0" w:color="auto"/>
            </w:tcBorders>
            <w:shd w:val="clear" w:color="auto" w:fill="FFFFFF"/>
            <w:tcMar>
              <w:top w:w="110" w:type="dxa"/>
            </w:tcMar>
            <w:vAlign w:val="center"/>
          </w:tcPr>
          <w:p w:rsidR="00B070BF" w:rsidRPr="009577DE" w:rsidRDefault="00B070BF" w:rsidP="00C33D4A">
            <w:pPr>
              <w:widowControl w:val="0"/>
              <w:spacing w:after="120"/>
              <w:rPr>
                <w:sz w:val="16"/>
                <w:szCs w:val="16"/>
                <w:lang w:val="es-ES_tradnl"/>
              </w:rPr>
            </w:pPr>
            <w:r w:rsidRPr="009577DE">
              <w:rPr>
                <w:b/>
                <w:bCs/>
                <w:sz w:val="16"/>
                <w:szCs w:val="16"/>
                <w:lang w:val="es-ES_tradnl"/>
              </w:rPr>
              <w:t>Datos sobre el rendimiento</w:t>
            </w:r>
          </w:p>
        </w:tc>
        <w:tc>
          <w:tcPr>
            <w:tcW w:w="557" w:type="pct"/>
            <w:tcBorders>
              <w:top w:val="single" w:sz="4" w:space="0" w:color="auto"/>
            </w:tcBorders>
            <w:shd w:val="clear" w:color="auto" w:fill="auto"/>
            <w:tcMar>
              <w:top w:w="110" w:type="dxa"/>
            </w:tcMar>
            <w:vAlign w:val="center"/>
          </w:tcPr>
          <w:p w:rsidR="00B070BF" w:rsidRPr="009577DE" w:rsidRDefault="00B070BF" w:rsidP="00C33D4A">
            <w:pPr>
              <w:widowControl w:val="0"/>
              <w:spacing w:after="120"/>
              <w:jc w:val="center"/>
              <w:rPr>
                <w:b/>
                <w:bCs/>
                <w:sz w:val="16"/>
                <w:szCs w:val="16"/>
                <w:lang w:val="es-ES_tradnl"/>
              </w:rPr>
            </w:pPr>
            <w:r w:rsidRPr="009577DE">
              <w:rPr>
                <w:b/>
                <w:bCs/>
                <w:sz w:val="16"/>
                <w:szCs w:val="16"/>
                <w:lang w:val="es-ES_tradnl"/>
              </w:rPr>
              <w:t>Clave de colores</w:t>
            </w:r>
          </w:p>
        </w:tc>
      </w:tr>
      <w:tr w:rsidR="00B070BF" w:rsidRPr="009577DE" w:rsidTr="00C33D4A">
        <w:trPr>
          <w:cantSplit/>
        </w:trPr>
        <w:tc>
          <w:tcPr>
            <w:tcW w:w="874" w:type="pct"/>
            <w:tcBorders>
              <w:bottom w:val="single" w:sz="4" w:space="0" w:color="auto"/>
            </w:tcBorders>
            <w:shd w:val="clear" w:color="auto" w:fill="auto"/>
          </w:tcPr>
          <w:p w:rsidR="00B070BF" w:rsidRPr="009577DE" w:rsidRDefault="00B070BF" w:rsidP="00C33D4A">
            <w:pPr>
              <w:widowControl w:val="0"/>
              <w:rPr>
                <w:sz w:val="16"/>
                <w:szCs w:val="16"/>
                <w:lang w:val="es-ES_tradnl"/>
              </w:rPr>
            </w:pPr>
            <w:r w:rsidRPr="009577DE">
              <w:rPr>
                <w:sz w:val="16"/>
                <w:szCs w:val="16"/>
                <w:lang w:val="es-ES_tradnl"/>
              </w:rPr>
              <w:t>Número y diversidad de peticiones concretas de Estados miembros y organizaciones internacionales que solicitan aportaciones de la OMPI en relación con la P.I. y las cuestiones mundiales de política pública.</w:t>
            </w:r>
          </w:p>
        </w:tc>
        <w:tc>
          <w:tcPr>
            <w:tcW w:w="805" w:type="pct"/>
            <w:tcBorders>
              <w:bottom w:val="single" w:sz="4" w:space="0" w:color="auto"/>
            </w:tcBorders>
            <w:shd w:val="clear" w:color="auto" w:fill="C0C0C0"/>
          </w:tcPr>
          <w:p w:rsidR="00B070BF" w:rsidRPr="009577DE" w:rsidRDefault="00B070BF" w:rsidP="00C33D4A">
            <w:pPr>
              <w:widowControl w:val="0"/>
              <w:rPr>
                <w:sz w:val="16"/>
                <w:szCs w:val="16"/>
                <w:lang w:val="es-ES_tradnl"/>
              </w:rPr>
            </w:pPr>
            <w:r w:rsidRPr="009577DE">
              <w:rPr>
                <w:sz w:val="16"/>
                <w:szCs w:val="16"/>
                <w:lang w:val="es-ES_tradnl"/>
              </w:rPr>
              <w:t>Una petición formal (OMS).</w:t>
            </w:r>
          </w:p>
        </w:tc>
        <w:tc>
          <w:tcPr>
            <w:tcW w:w="916" w:type="pct"/>
            <w:tcBorders>
              <w:bottom w:val="single" w:sz="4" w:space="0" w:color="auto"/>
            </w:tcBorders>
            <w:shd w:val="clear" w:color="auto" w:fill="auto"/>
            <w:tcMar>
              <w:top w:w="110" w:type="dxa"/>
            </w:tcMar>
          </w:tcPr>
          <w:p w:rsidR="00B070BF" w:rsidRPr="009577DE" w:rsidRDefault="00B070BF" w:rsidP="00C33D4A">
            <w:pPr>
              <w:widowControl w:val="0"/>
              <w:rPr>
                <w:i/>
                <w:sz w:val="16"/>
                <w:szCs w:val="16"/>
                <w:lang w:val="es-ES_tradnl"/>
              </w:rPr>
            </w:pPr>
          </w:p>
        </w:tc>
        <w:tc>
          <w:tcPr>
            <w:tcW w:w="1848" w:type="pct"/>
            <w:tcBorders>
              <w:bottom w:val="single" w:sz="4" w:space="0" w:color="auto"/>
            </w:tcBorders>
            <w:shd w:val="clear" w:color="auto" w:fill="FFFFFF"/>
            <w:tcMar>
              <w:top w:w="110" w:type="dxa"/>
            </w:tcMar>
          </w:tcPr>
          <w:p w:rsidR="00B070BF" w:rsidRPr="009577DE" w:rsidRDefault="00B070BF" w:rsidP="00C33D4A">
            <w:pPr>
              <w:widowControl w:val="0"/>
              <w:rPr>
                <w:sz w:val="16"/>
                <w:szCs w:val="16"/>
                <w:lang w:val="es-ES_tradnl" w:bidi="th-TH"/>
              </w:rPr>
            </w:pPr>
            <w:r w:rsidRPr="009577DE">
              <w:rPr>
                <w:sz w:val="16"/>
                <w:szCs w:val="16"/>
                <w:lang w:val="es-ES_tradnl" w:bidi="th-TH"/>
              </w:rPr>
              <w:t xml:space="preserve">En el marco de este programa se recibió una petición para la organización conjunta de una actividad sobre la P.I. y el cambio climático del Programa </w:t>
            </w:r>
            <w:proofErr w:type="spellStart"/>
            <w:r w:rsidRPr="009577DE">
              <w:rPr>
                <w:sz w:val="16"/>
                <w:szCs w:val="16"/>
                <w:lang w:val="es-ES_tradnl" w:bidi="th-TH"/>
              </w:rPr>
              <w:t>Infodev</w:t>
            </w:r>
            <w:proofErr w:type="spellEnd"/>
            <w:r w:rsidRPr="009577DE">
              <w:rPr>
                <w:sz w:val="16"/>
                <w:szCs w:val="16"/>
                <w:lang w:val="es-ES_tradnl" w:bidi="th-TH"/>
              </w:rPr>
              <w:t xml:space="preserve"> del Banco Mundial en el Centro de Innovación Climática de </w:t>
            </w:r>
            <w:proofErr w:type="spellStart"/>
            <w:r w:rsidRPr="009577DE">
              <w:rPr>
                <w:sz w:val="16"/>
                <w:szCs w:val="16"/>
                <w:lang w:val="es-ES_tradnl" w:bidi="th-TH"/>
              </w:rPr>
              <w:t>Kenya</w:t>
            </w:r>
            <w:proofErr w:type="spellEnd"/>
            <w:r w:rsidRPr="009577DE">
              <w:rPr>
                <w:sz w:val="16"/>
                <w:szCs w:val="16"/>
                <w:lang w:val="es-ES_tradnl" w:bidi="th-TH"/>
              </w:rPr>
              <w:t>.  A solicitud de un centro de excelencia de la Red Africana para la Innovación en materia de Medicamentos y Medios Diagnósticos (ANDI), y en cooperación con el programa 30, se organizó en Ginebra un programa adaptado de formación sobre cómo negociar licencias tecnológicas los días 1 y 2 de noviembre de 2012.</w:t>
            </w:r>
          </w:p>
          <w:p w:rsidR="00B070BF" w:rsidRPr="009577DE" w:rsidRDefault="00B070BF" w:rsidP="00C33D4A">
            <w:pPr>
              <w:widowControl w:val="0"/>
              <w:rPr>
                <w:sz w:val="16"/>
                <w:szCs w:val="16"/>
                <w:lang w:val="es-ES_tradnl" w:bidi="th-TH"/>
              </w:rPr>
            </w:pPr>
          </w:p>
          <w:p w:rsidR="00B070BF" w:rsidRPr="009577DE" w:rsidRDefault="00B070BF" w:rsidP="00C33D4A">
            <w:pPr>
              <w:widowControl w:val="0"/>
              <w:rPr>
                <w:sz w:val="16"/>
                <w:szCs w:val="16"/>
                <w:lang w:val="es-ES_tradnl"/>
              </w:rPr>
            </w:pPr>
          </w:p>
        </w:tc>
        <w:tc>
          <w:tcPr>
            <w:tcW w:w="557" w:type="pct"/>
            <w:tcBorders>
              <w:bottom w:val="single" w:sz="4" w:space="0" w:color="auto"/>
            </w:tcBorders>
            <w:shd w:val="clear" w:color="auto" w:fill="auto"/>
            <w:tcMar>
              <w:top w:w="110" w:type="dxa"/>
            </w:tcMar>
          </w:tcPr>
          <w:p w:rsidR="00B070BF" w:rsidRPr="009577DE" w:rsidRDefault="00B070BF" w:rsidP="00C33D4A">
            <w:pPr>
              <w:widowControl w:val="0"/>
              <w:jc w:val="center"/>
              <w:rPr>
                <w:b/>
                <w:sz w:val="16"/>
                <w:szCs w:val="16"/>
                <w:lang w:val="es-ES_tradnl"/>
              </w:rPr>
            </w:pPr>
            <w:r w:rsidRPr="009577DE">
              <w:rPr>
                <w:b/>
                <w:color w:val="008000"/>
                <w:sz w:val="16"/>
                <w:szCs w:val="16"/>
                <w:lang w:val="es-ES_tradnl"/>
              </w:rPr>
              <w:t>Progresa con normalidad</w:t>
            </w:r>
          </w:p>
          <w:p w:rsidR="00B070BF" w:rsidRPr="009577DE" w:rsidRDefault="00B070BF" w:rsidP="00C33D4A">
            <w:pPr>
              <w:widowControl w:val="0"/>
              <w:jc w:val="center"/>
              <w:rPr>
                <w:bCs/>
                <w:sz w:val="16"/>
                <w:szCs w:val="16"/>
                <w:lang w:val="es-ES_tradnl"/>
              </w:rPr>
            </w:pPr>
          </w:p>
          <w:p w:rsidR="00B070BF" w:rsidRPr="009577DE" w:rsidRDefault="00B070BF" w:rsidP="00C33D4A">
            <w:pPr>
              <w:widowControl w:val="0"/>
              <w:jc w:val="center"/>
              <w:rPr>
                <w:bCs/>
                <w:sz w:val="16"/>
                <w:szCs w:val="16"/>
                <w:lang w:val="es-ES_tradnl"/>
              </w:rPr>
            </w:pPr>
          </w:p>
        </w:tc>
      </w:tr>
      <w:tr w:rsidR="00B070BF" w:rsidRPr="009577DE" w:rsidTr="00C33D4A">
        <w:trPr>
          <w:cantSplit/>
        </w:trPr>
        <w:tc>
          <w:tcPr>
            <w:tcW w:w="5000" w:type="pct"/>
            <w:gridSpan w:val="5"/>
            <w:tcBorders>
              <w:top w:val="single" w:sz="4" w:space="0" w:color="auto"/>
              <w:bottom w:val="single" w:sz="4" w:space="0" w:color="auto"/>
            </w:tcBorders>
            <w:shd w:val="clear" w:color="auto" w:fill="CCFFFF"/>
            <w:vAlign w:val="center"/>
          </w:tcPr>
          <w:p w:rsidR="00B070BF" w:rsidRPr="009577DE" w:rsidRDefault="00B070BF" w:rsidP="00C33D4A">
            <w:pPr>
              <w:widowControl w:val="0"/>
              <w:spacing w:before="120" w:after="120"/>
              <w:ind w:left="1735" w:hanging="1735"/>
              <w:rPr>
                <w:b/>
                <w:bCs/>
                <w:sz w:val="16"/>
                <w:szCs w:val="16"/>
                <w:lang w:val="es-ES_tradnl"/>
              </w:rPr>
            </w:pPr>
            <w:r w:rsidRPr="009577DE">
              <w:rPr>
                <w:b/>
                <w:bCs/>
                <w:sz w:val="16"/>
                <w:szCs w:val="16"/>
                <w:lang w:val="es-ES_tradnl"/>
              </w:rPr>
              <w:t>Resultado previsto:</w:t>
            </w:r>
            <w:r w:rsidRPr="009577DE">
              <w:rPr>
                <w:b/>
                <w:bCs/>
                <w:sz w:val="16"/>
                <w:szCs w:val="16"/>
                <w:lang w:val="es-ES_tradnl"/>
              </w:rPr>
              <w:tab/>
            </w:r>
            <w:r w:rsidRPr="009577DE">
              <w:rPr>
                <w:bCs/>
                <w:sz w:val="16"/>
                <w:szCs w:val="16"/>
                <w:lang w:val="es-ES_tradnl"/>
              </w:rPr>
              <w:t>Las herramientas de P.I. se utilizan para la transferencia de tecnología por parte de países desarrollados a países en desarrollo, especialmente los países menos adelantados, para responder a los desafíos mundiales.</w:t>
            </w:r>
          </w:p>
        </w:tc>
      </w:tr>
      <w:tr w:rsidR="00B070BF" w:rsidRPr="009577DE" w:rsidTr="00C33D4A">
        <w:trPr>
          <w:cantSplit/>
        </w:trPr>
        <w:tc>
          <w:tcPr>
            <w:tcW w:w="874" w:type="pct"/>
            <w:tcBorders>
              <w:top w:val="single" w:sz="4" w:space="0" w:color="auto"/>
            </w:tcBorders>
            <w:shd w:val="clear" w:color="auto" w:fill="auto"/>
            <w:vAlign w:val="center"/>
          </w:tcPr>
          <w:p w:rsidR="00B070BF" w:rsidRPr="009577DE" w:rsidRDefault="00B070BF" w:rsidP="00C33D4A">
            <w:pPr>
              <w:widowControl w:val="0"/>
              <w:spacing w:after="120"/>
              <w:rPr>
                <w:sz w:val="16"/>
                <w:szCs w:val="16"/>
                <w:lang w:val="es-ES_tradnl"/>
              </w:rPr>
            </w:pPr>
            <w:r w:rsidRPr="009577DE">
              <w:rPr>
                <w:b/>
                <w:bCs/>
                <w:sz w:val="16"/>
                <w:szCs w:val="16"/>
                <w:lang w:val="es-ES_tradnl"/>
              </w:rPr>
              <w:t>Indicadores de rendimiento</w:t>
            </w:r>
          </w:p>
        </w:tc>
        <w:tc>
          <w:tcPr>
            <w:tcW w:w="805" w:type="pct"/>
            <w:tcBorders>
              <w:top w:val="single" w:sz="4" w:space="0" w:color="auto"/>
            </w:tcBorders>
            <w:shd w:val="clear" w:color="auto" w:fill="C0C0C0"/>
          </w:tcPr>
          <w:p w:rsidR="00B070BF" w:rsidRPr="009577DE" w:rsidRDefault="00B070BF" w:rsidP="00C33D4A">
            <w:pPr>
              <w:widowControl w:val="0"/>
              <w:spacing w:after="120"/>
              <w:rPr>
                <w:b/>
                <w:bCs/>
                <w:sz w:val="16"/>
                <w:szCs w:val="16"/>
                <w:lang w:val="es-ES_tradnl"/>
              </w:rPr>
            </w:pPr>
            <w:r w:rsidRPr="009577DE">
              <w:rPr>
                <w:b/>
                <w:bCs/>
                <w:sz w:val="16"/>
                <w:szCs w:val="16"/>
                <w:lang w:val="es-ES_tradnl"/>
              </w:rPr>
              <w:t>Referencia (</w:t>
            </w:r>
            <w:proofErr w:type="spellStart"/>
            <w:r w:rsidRPr="009577DE">
              <w:rPr>
                <w:b/>
                <w:bCs/>
                <w:sz w:val="16"/>
                <w:szCs w:val="16"/>
                <w:lang w:val="es-ES_tradnl"/>
              </w:rPr>
              <w:t>Presup</w:t>
            </w:r>
            <w:proofErr w:type="spellEnd"/>
            <w:r w:rsidRPr="009577DE">
              <w:rPr>
                <w:b/>
                <w:bCs/>
                <w:sz w:val="16"/>
                <w:szCs w:val="16"/>
                <w:lang w:val="es-ES_tradnl"/>
              </w:rPr>
              <w:t xml:space="preserve">. por </w:t>
            </w:r>
            <w:proofErr w:type="spellStart"/>
            <w:r w:rsidRPr="009577DE">
              <w:rPr>
                <w:b/>
                <w:bCs/>
                <w:sz w:val="16"/>
                <w:szCs w:val="16"/>
                <w:lang w:val="es-ES_tradnl"/>
              </w:rPr>
              <w:t>prog</w:t>
            </w:r>
            <w:proofErr w:type="spellEnd"/>
            <w:r w:rsidRPr="009577DE">
              <w:rPr>
                <w:b/>
                <w:bCs/>
                <w:sz w:val="16"/>
                <w:szCs w:val="16"/>
                <w:lang w:val="es-ES_tradnl"/>
              </w:rPr>
              <w:t>. 2012/13)</w:t>
            </w:r>
          </w:p>
        </w:tc>
        <w:tc>
          <w:tcPr>
            <w:tcW w:w="916" w:type="pct"/>
            <w:tcBorders>
              <w:top w:val="single" w:sz="4" w:space="0" w:color="auto"/>
            </w:tcBorders>
            <w:shd w:val="clear" w:color="auto" w:fill="auto"/>
            <w:tcMar>
              <w:top w:w="110" w:type="dxa"/>
            </w:tcMar>
            <w:vAlign w:val="center"/>
          </w:tcPr>
          <w:p w:rsidR="00B070BF" w:rsidRPr="009577DE" w:rsidRDefault="00B070BF" w:rsidP="00C33D4A">
            <w:pPr>
              <w:widowControl w:val="0"/>
              <w:spacing w:after="120"/>
              <w:rPr>
                <w:b/>
                <w:sz w:val="16"/>
                <w:szCs w:val="16"/>
                <w:lang w:val="es-ES_tradnl"/>
              </w:rPr>
            </w:pPr>
            <w:r w:rsidRPr="00BF138D">
              <w:rPr>
                <w:b/>
                <w:color w:val="993300"/>
                <w:sz w:val="16"/>
                <w:szCs w:val="16"/>
                <w:lang w:val="es-ES_tradnl"/>
              </w:rPr>
              <w:t>Referencia actualizada a finales de 2011</w:t>
            </w:r>
            <w:r w:rsidRPr="009577DE">
              <w:rPr>
                <w:b/>
                <w:sz w:val="16"/>
                <w:szCs w:val="16"/>
                <w:lang w:val="es-ES_tradnl"/>
              </w:rPr>
              <w:t xml:space="preserve"> </w:t>
            </w:r>
          </w:p>
        </w:tc>
        <w:tc>
          <w:tcPr>
            <w:tcW w:w="1848" w:type="pct"/>
            <w:tcBorders>
              <w:top w:val="single" w:sz="4" w:space="0" w:color="auto"/>
            </w:tcBorders>
            <w:shd w:val="clear" w:color="auto" w:fill="FFFFFF"/>
            <w:tcMar>
              <w:top w:w="110" w:type="dxa"/>
            </w:tcMar>
            <w:vAlign w:val="center"/>
          </w:tcPr>
          <w:p w:rsidR="00B070BF" w:rsidRPr="009577DE" w:rsidRDefault="00B070BF" w:rsidP="00C33D4A">
            <w:pPr>
              <w:widowControl w:val="0"/>
              <w:spacing w:after="120"/>
              <w:rPr>
                <w:sz w:val="16"/>
                <w:szCs w:val="16"/>
                <w:lang w:val="es-ES_tradnl"/>
              </w:rPr>
            </w:pPr>
            <w:r w:rsidRPr="009577DE">
              <w:rPr>
                <w:b/>
                <w:bCs/>
                <w:sz w:val="16"/>
                <w:szCs w:val="16"/>
                <w:lang w:val="es-ES_tradnl"/>
              </w:rPr>
              <w:t>Datos sobre el rendimiento</w:t>
            </w:r>
          </w:p>
        </w:tc>
        <w:tc>
          <w:tcPr>
            <w:tcW w:w="557" w:type="pct"/>
            <w:tcBorders>
              <w:top w:val="single" w:sz="4" w:space="0" w:color="auto"/>
            </w:tcBorders>
            <w:shd w:val="clear" w:color="auto" w:fill="auto"/>
            <w:tcMar>
              <w:top w:w="110" w:type="dxa"/>
            </w:tcMar>
            <w:vAlign w:val="center"/>
          </w:tcPr>
          <w:p w:rsidR="00B070BF" w:rsidRPr="009577DE" w:rsidRDefault="00B070BF" w:rsidP="00C33D4A">
            <w:pPr>
              <w:widowControl w:val="0"/>
              <w:spacing w:after="120"/>
              <w:jc w:val="center"/>
              <w:rPr>
                <w:b/>
                <w:bCs/>
                <w:sz w:val="16"/>
                <w:szCs w:val="16"/>
                <w:lang w:val="es-ES_tradnl"/>
              </w:rPr>
            </w:pPr>
            <w:r w:rsidRPr="009577DE">
              <w:rPr>
                <w:b/>
                <w:bCs/>
                <w:sz w:val="16"/>
                <w:szCs w:val="16"/>
                <w:lang w:val="es-ES_tradnl"/>
              </w:rPr>
              <w:t>Clave de colores</w:t>
            </w:r>
          </w:p>
        </w:tc>
      </w:tr>
      <w:tr w:rsidR="00B070BF" w:rsidRPr="009577DE" w:rsidTr="00C33D4A">
        <w:trPr>
          <w:cantSplit/>
        </w:trPr>
        <w:tc>
          <w:tcPr>
            <w:tcW w:w="874" w:type="pct"/>
            <w:shd w:val="clear" w:color="auto" w:fill="auto"/>
          </w:tcPr>
          <w:p w:rsidR="00B070BF" w:rsidRPr="009577DE" w:rsidRDefault="00B070BF" w:rsidP="00C33D4A">
            <w:pPr>
              <w:widowControl w:val="0"/>
              <w:rPr>
                <w:sz w:val="16"/>
                <w:szCs w:val="16"/>
                <w:lang w:val="es-ES_tradnl"/>
              </w:rPr>
            </w:pPr>
            <w:r w:rsidRPr="009577DE">
              <w:rPr>
                <w:sz w:val="16"/>
                <w:szCs w:val="16"/>
                <w:lang w:val="es-ES_tradnl"/>
              </w:rPr>
              <w:t>Número de participantes en plataformas de P.I.</w:t>
            </w:r>
          </w:p>
          <w:p w:rsidR="00B070BF" w:rsidRPr="009577DE" w:rsidRDefault="00B070BF" w:rsidP="00C33D4A">
            <w:pPr>
              <w:widowControl w:val="0"/>
              <w:rPr>
                <w:sz w:val="16"/>
                <w:szCs w:val="16"/>
                <w:lang w:val="es-ES_tradnl"/>
              </w:rPr>
            </w:pPr>
          </w:p>
          <w:p w:rsidR="00B070BF" w:rsidRPr="009577DE" w:rsidRDefault="00B070BF" w:rsidP="00C33D4A">
            <w:pPr>
              <w:widowControl w:val="0"/>
              <w:rPr>
                <w:sz w:val="16"/>
                <w:szCs w:val="16"/>
                <w:lang w:val="es-ES_tradnl"/>
              </w:rPr>
            </w:pPr>
          </w:p>
        </w:tc>
        <w:tc>
          <w:tcPr>
            <w:tcW w:w="805" w:type="pct"/>
            <w:shd w:val="clear" w:color="auto" w:fill="C0C0C0"/>
          </w:tcPr>
          <w:p w:rsidR="00B070BF" w:rsidRPr="009577DE" w:rsidRDefault="00B070BF" w:rsidP="00C33D4A">
            <w:pPr>
              <w:widowControl w:val="0"/>
              <w:rPr>
                <w:sz w:val="16"/>
                <w:szCs w:val="16"/>
                <w:lang w:val="es-ES_tradnl"/>
              </w:rPr>
            </w:pPr>
            <w:r w:rsidRPr="009577DE">
              <w:rPr>
                <w:sz w:val="16"/>
                <w:szCs w:val="16"/>
                <w:lang w:val="es-ES_tradnl"/>
              </w:rPr>
              <w:t>0</w:t>
            </w:r>
            <w:r w:rsidRPr="009577DE">
              <w:rPr>
                <w:sz w:val="16"/>
                <w:szCs w:val="16"/>
                <w:lang w:val="es-ES_tradnl"/>
              </w:rPr>
              <w:br/>
            </w:r>
            <w:r w:rsidRPr="009577DE">
              <w:rPr>
                <w:sz w:val="16"/>
                <w:szCs w:val="16"/>
                <w:lang w:val="es-ES_tradnl"/>
              </w:rPr>
              <w:br/>
            </w:r>
            <w:r w:rsidRPr="009577DE">
              <w:rPr>
                <w:sz w:val="16"/>
                <w:szCs w:val="16"/>
                <w:lang w:val="es-ES_tradnl"/>
              </w:rPr>
              <w:br/>
            </w:r>
          </w:p>
        </w:tc>
        <w:tc>
          <w:tcPr>
            <w:tcW w:w="916" w:type="pct"/>
            <w:shd w:val="clear" w:color="auto" w:fill="auto"/>
            <w:tcMar>
              <w:top w:w="110" w:type="dxa"/>
            </w:tcMar>
          </w:tcPr>
          <w:p w:rsidR="00B070BF" w:rsidRPr="00F2661C" w:rsidRDefault="00B070BF" w:rsidP="00C33D4A">
            <w:pPr>
              <w:widowControl w:val="0"/>
              <w:rPr>
                <w:color w:val="993300"/>
                <w:sz w:val="16"/>
                <w:szCs w:val="16"/>
                <w:lang w:val="es-ES_tradnl"/>
              </w:rPr>
            </w:pPr>
            <w:r w:rsidRPr="00F2661C">
              <w:rPr>
                <w:color w:val="993300"/>
                <w:sz w:val="16"/>
                <w:szCs w:val="16"/>
                <w:lang w:val="es-ES_tradnl"/>
              </w:rPr>
              <w:t xml:space="preserve">WIPO </w:t>
            </w:r>
            <w:proofErr w:type="spellStart"/>
            <w:r w:rsidRPr="00F2661C">
              <w:rPr>
                <w:color w:val="993300"/>
                <w:sz w:val="16"/>
                <w:szCs w:val="16"/>
                <w:lang w:val="es-ES_tradnl"/>
              </w:rPr>
              <w:t>Re:Search</w:t>
            </w:r>
            <w:proofErr w:type="spellEnd"/>
            <w:r w:rsidRPr="00F2661C">
              <w:rPr>
                <w:color w:val="993300"/>
                <w:sz w:val="16"/>
                <w:szCs w:val="16"/>
                <w:lang w:val="es-ES_tradnl"/>
              </w:rPr>
              <w:t xml:space="preserve">: </w:t>
            </w:r>
            <w:r w:rsidRPr="00F2661C">
              <w:rPr>
                <w:color w:val="993300"/>
                <w:sz w:val="16"/>
                <w:szCs w:val="16"/>
                <w:lang w:val="es-ES_tradnl"/>
              </w:rPr>
              <w:br/>
              <w:t>31 participantes</w:t>
            </w:r>
          </w:p>
          <w:p w:rsidR="00B070BF" w:rsidRPr="00F2661C" w:rsidRDefault="00B070BF" w:rsidP="00C33D4A">
            <w:pPr>
              <w:widowControl w:val="0"/>
              <w:rPr>
                <w:color w:val="993300"/>
                <w:sz w:val="16"/>
                <w:szCs w:val="16"/>
                <w:lang w:val="es-ES_tradnl"/>
              </w:rPr>
            </w:pPr>
          </w:p>
          <w:p w:rsidR="00B070BF" w:rsidRPr="009577DE" w:rsidRDefault="00B070BF" w:rsidP="00C33D4A">
            <w:pPr>
              <w:widowControl w:val="0"/>
              <w:rPr>
                <w:sz w:val="16"/>
                <w:szCs w:val="16"/>
                <w:lang w:val="es-ES_tradnl"/>
              </w:rPr>
            </w:pPr>
            <w:r w:rsidRPr="00F2661C">
              <w:rPr>
                <w:color w:val="993300"/>
                <w:sz w:val="16"/>
                <w:szCs w:val="16"/>
                <w:lang w:val="es-ES_tradnl"/>
              </w:rPr>
              <w:t xml:space="preserve">WIPO GREEN: </w:t>
            </w:r>
            <w:r w:rsidRPr="00F2661C">
              <w:rPr>
                <w:color w:val="993300"/>
                <w:sz w:val="16"/>
                <w:szCs w:val="16"/>
                <w:lang w:val="es-ES_tradnl"/>
              </w:rPr>
              <w:br/>
              <w:t>14 participantes</w:t>
            </w:r>
            <w:r w:rsidRPr="00F2661C">
              <w:rPr>
                <w:color w:val="993300"/>
                <w:sz w:val="16"/>
                <w:szCs w:val="16"/>
                <w:lang w:val="es-ES_tradnl"/>
              </w:rPr>
              <w:br/>
            </w:r>
          </w:p>
        </w:tc>
        <w:tc>
          <w:tcPr>
            <w:tcW w:w="1848" w:type="pct"/>
            <w:shd w:val="clear" w:color="auto" w:fill="FFFFFF"/>
            <w:tcMar>
              <w:top w:w="110" w:type="dxa"/>
            </w:tcMar>
          </w:tcPr>
          <w:p w:rsidR="00B070BF" w:rsidRPr="009577DE" w:rsidRDefault="00B070BF" w:rsidP="00C33D4A">
            <w:pPr>
              <w:widowControl w:val="0"/>
              <w:rPr>
                <w:sz w:val="16"/>
                <w:szCs w:val="16"/>
                <w:lang w:val="es-ES_tradnl" w:bidi="th-TH"/>
              </w:rPr>
            </w:pPr>
            <w:r w:rsidRPr="009577DE">
              <w:rPr>
                <w:sz w:val="16"/>
                <w:szCs w:val="16"/>
                <w:lang w:val="es-ES_tradnl" w:bidi="th-TH"/>
              </w:rPr>
              <w:t xml:space="preserve">WIPO </w:t>
            </w:r>
            <w:proofErr w:type="spellStart"/>
            <w:r w:rsidRPr="009577DE">
              <w:rPr>
                <w:sz w:val="16"/>
                <w:szCs w:val="16"/>
                <w:lang w:val="es-ES_tradnl" w:bidi="th-TH"/>
              </w:rPr>
              <w:t>Re:Search</w:t>
            </w:r>
            <w:proofErr w:type="spellEnd"/>
            <w:r w:rsidRPr="009577DE">
              <w:rPr>
                <w:sz w:val="16"/>
                <w:szCs w:val="16"/>
                <w:lang w:val="es-ES_tradnl" w:bidi="th-TH"/>
              </w:rPr>
              <w:t>:  61 miembros (proveedores, usuarios y colaboradores) (en total).</w:t>
            </w:r>
          </w:p>
          <w:p w:rsidR="00B070BF" w:rsidRPr="009577DE" w:rsidRDefault="00B070BF" w:rsidP="00C33D4A">
            <w:pPr>
              <w:widowControl w:val="0"/>
              <w:rPr>
                <w:sz w:val="16"/>
                <w:szCs w:val="16"/>
                <w:lang w:val="es-ES_tradnl" w:bidi="th-TH"/>
              </w:rPr>
            </w:pPr>
          </w:p>
          <w:p w:rsidR="00B070BF" w:rsidRPr="009577DE" w:rsidRDefault="00B070BF" w:rsidP="00C33D4A">
            <w:pPr>
              <w:widowControl w:val="0"/>
              <w:rPr>
                <w:sz w:val="16"/>
                <w:szCs w:val="16"/>
                <w:lang w:val="es-ES_tradnl" w:bidi="th-TH"/>
              </w:rPr>
            </w:pPr>
            <w:r w:rsidRPr="009577DE">
              <w:rPr>
                <w:sz w:val="16"/>
                <w:szCs w:val="16"/>
                <w:lang w:val="es-ES_tradnl" w:bidi="th-TH"/>
              </w:rPr>
              <w:t xml:space="preserve">WIPO GREEN:  20 participantes (organismos que colaboran, proveedores de tecnología y personas que buscan tecnología) (en total).  </w:t>
            </w:r>
          </w:p>
          <w:p w:rsidR="00B070BF" w:rsidRPr="009577DE" w:rsidRDefault="00B070BF" w:rsidP="00C33D4A">
            <w:pPr>
              <w:widowControl w:val="0"/>
              <w:rPr>
                <w:sz w:val="16"/>
                <w:szCs w:val="16"/>
                <w:lang w:val="es-ES_tradnl"/>
              </w:rPr>
            </w:pPr>
          </w:p>
        </w:tc>
        <w:tc>
          <w:tcPr>
            <w:tcW w:w="557" w:type="pct"/>
            <w:shd w:val="clear" w:color="auto" w:fill="auto"/>
            <w:tcMar>
              <w:top w:w="110" w:type="dxa"/>
            </w:tcMar>
          </w:tcPr>
          <w:p w:rsidR="00B070BF" w:rsidRPr="009577DE" w:rsidRDefault="00B070BF" w:rsidP="00C33D4A">
            <w:pPr>
              <w:widowControl w:val="0"/>
              <w:jc w:val="center"/>
              <w:rPr>
                <w:b/>
                <w:sz w:val="16"/>
                <w:szCs w:val="16"/>
                <w:lang w:val="es-ES_tradnl"/>
              </w:rPr>
            </w:pPr>
            <w:r w:rsidRPr="009577DE">
              <w:rPr>
                <w:b/>
                <w:color w:val="008000"/>
                <w:sz w:val="16"/>
                <w:szCs w:val="16"/>
                <w:lang w:val="es-ES_tradnl"/>
              </w:rPr>
              <w:t>Progresa con normalidad</w:t>
            </w:r>
          </w:p>
          <w:p w:rsidR="00B070BF" w:rsidRPr="009577DE" w:rsidRDefault="00B070BF" w:rsidP="00C33D4A">
            <w:pPr>
              <w:widowControl w:val="0"/>
              <w:jc w:val="center"/>
              <w:rPr>
                <w:b/>
                <w:sz w:val="16"/>
                <w:szCs w:val="16"/>
                <w:lang w:val="es-ES_tradnl"/>
              </w:rPr>
            </w:pPr>
          </w:p>
          <w:p w:rsidR="00B070BF" w:rsidRPr="009577DE" w:rsidRDefault="00B070BF" w:rsidP="00C33D4A">
            <w:pPr>
              <w:widowControl w:val="0"/>
              <w:jc w:val="center"/>
              <w:rPr>
                <w:b/>
                <w:sz w:val="16"/>
                <w:szCs w:val="16"/>
                <w:lang w:val="es-ES_tradnl"/>
              </w:rPr>
            </w:pPr>
          </w:p>
        </w:tc>
      </w:tr>
      <w:tr w:rsidR="00B070BF" w:rsidRPr="009577DE" w:rsidTr="00C33D4A">
        <w:trPr>
          <w:cantSplit/>
        </w:trPr>
        <w:tc>
          <w:tcPr>
            <w:tcW w:w="874" w:type="pct"/>
            <w:tcBorders>
              <w:bottom w:val="single" w:sz="4" w:space="0" w:color="auto"/>
            </w:tcBorders>
            <w:shd w:val="clear" w:color="auto" w:fill="auto"/>
          </w:tcPr>
          <w:p w:rsidR="00B070BF" w:rsidRPr="009577DE" w:rsidRDefault="00B070BF" w:rsidP="00C33D4A">
            <w:pPr>
              <w:widowControl w:val="0"/>
              <w:rPr>
                <w:sz w:val="16"/>
                <w:szCs w:val="16"/>
                <w:lang w:val="es-ES_tradnl"/>
              </w:rPr>
            </w:pPr>
            <w:r w:rsidRPr="009577DE">
              <w:rPr>
                <w:sz w:val="16"/>
                <w:szCs w:val="16"/>
                <w:lang w:val="es-ES_tradnl"/>
              </w:rPr>
              <w:t>Número de transacciones realizadas por medio de la(s) plataforma(s).</w:t>
            </w:r>
          </w:p>
          <w:p w:rsidR="00B070BF" w:rsidRPr="009577DE" w:rsidRDefault="00B070BF" w:rsidP="00C33D4A">
            <w:pPr>
              <w:widowControl w:val="0"/>
              <w:rPr>
                <w:sz w:val="16"/>
                <w:szCs w:val="16"/>
                <w:lang w:val="es-ES_tradnl"/>
              </w:rPr>
            </w:pPr>
          </w:p>
        </w:tc>
        <w:tc>
          <w:tcPr>
            <w:tcW w:w="805" w:type="pct"/>
            <w:tcBorders>
              <w:bottom w:val="single" w:sz="4" w:space="0" w:color="auto"/>
            </w:tcBorders>
            <w:shd w:val="clear" w:color="auto" w:fill="C0C0C0"/>
          </w:tcPr>
          <w:p w:rsidR="00B070BF" w:rsidRPr="009577DE" w:rsidRDefault="00B070BF" w:rsidP="00C33D4A">
            <w:pPr>
              <w:widowControl w:val="0"/>
              <w:rPr>
                <w:sz w:val="16"/>
                <w:szCs w:val="16"/>
                <w:lang w:val="es-ES_tradnl"/>
              </w:rPr>
            </w:pPr>
            <w:r w:rsidRPr="009577DE">
              <w:rPr>
                <w:sz w:val="16"/>
                <w:szCs w:val="16"/>
                <w:lang w:val="es-ES_tradnl"/>
              </w:rPr>
              <w:t>0</w:t>
            </w:r>
          </w:p>
        </w:tc>
        <w:tc>
          <w:tcPr>
            <w:tcW w:w="916" w:type="pct"/>
            <w:tcBorders>
              <w:bottom w:val="single" w:sz="4" w:space="0" w:color="auto"/>
            </w:tcBorders>
            <w:shd w:val="clear" w:color="auto" w:fill="auto"/>
            <w:tcMar>
              <w:top w:w="110" w:type="dxa"/>
            </w:tcMar>
          </w:tcPr>
          <w:p w:rsidR="00B070BF" w:rsidRPr="009577DE" w:rsidRDefault="00B070BF" w:rsidP="00C33D4A">
            <w:pPr>
              <w:widowControl w:val="0"/>
              <w:rPr>
                <w:sz w:val="16"/>
                <w:szCs w:val="16"/>
                <w:lang w:val="es-ES_tradnl"/>
              </w:rPr>
            </w:pPr>
          </w:p>
        </w:tc>
        <w:tc>
          <w:tcPr>
            <w:tcW w:w="1848" w:type="pct"/>
            <w:tcBorders>
              <w:bottom w:val="single" w:sz="4" w:space="0" w:color="auto"/>
            </w:tcBorders>
            <w:shd w:val="clear" w:color="auto" w:fill="FFFFFF"/>
            <w:tcMar>
              <w:top w:w="110" w:type="dxa"/>
            </w:tcMar>
          </w:tcPr>
          <w:p w:rsidR="00B070BF" w:rsidRPr="009577DE" w:rsidRDefault="00B070BF" w:rsidP="00C33D4A">
            <w:pPr>
              <w:widowControl w:val="0"/>
              <w:rPr>
                <w:sz w:val="16"/>
                <w:szCs w:val="16"/>
                <w:lang w:val="es-ES_tradnl" w:bidi="th-TH"/>
              </w:rPr>
            </w:pPr>
            <w:r w:rsidRPr="009577DE">
              <w:rPr>
                <w:sz w:val="16"/>
                <w:szCs w:val="16"/>
                <w:lang w:val="es-ES_tradnl" w:bidi="th-TH"/>
              </w:rPr>
              <w:t xml:space="preserve">WIPO </w:t>
            </w:r>
            <w:proofErr w:type="spellStart"/>
            <w:r w:rsidRPr="009577DE">
              <w:rPr>
                <w:sz w:val="16"/>
                <w:szCs w:val="16"/>
                <w:lang w:val="es-ES_tradnl" w:bidi="th-TH"/>
              </w:rPr>
              <w:t>Re:Search</w:t>
            </w:r>
            <w:proofErr w:type="spellEnd"/>
            <w:r w:rsidRPr="009577DE">
              <w:rPr>
                <w:sz w:val="16"/>
                <w:szCs w:val="16"/>
                <w:lang w:val="es-ES_tradnl" w:bidi="th-TH"/>
              </w:rPr>
              <w:t xml:space="preserve">:  13 colaboraciones a finales de 2012. </w:t>
            </w:r>
          </w:p>
          <w:p w:rsidR="00B070BF" w:rsidRPr="009577DE" w:rsidRDefault="00B070BF" w:rsidP="00C33D4A">
            <w:pPr>
              <w:widowControl w:val="0"/>
              <w:rPr>
                <w:sz w:val="16"/>
                <w:szCs w:val="16"/>
                <w:lang w:val="es-ES_tradnl" w:bidi="th-TH"/>
              </w:rPr>
            </w:pPr>
          </w:p>
          <w:p w:rsidR="00B070BF" w:rsidRPr="009577DE" w:rsidRDefault="00B070BF" w:rsidP="00C33D4A">
            <w:pPr>
              <w:widowControl w:val="0"/>
              <w:rPr>
                <w:sz w:val="16"/>
                <w:szCs w:val="16"/>
                <w:lang w:val="es-ES_tradnl" w:bidi="th-TH"/>
              </w:rPr>
            </w:pPr>
            <w:r w:rsidRPr="009577DE">
              <w:rPr>
                <w:sz w:val="16"/>
                <w:szCs w:val="16"/>
                <w:lang w:val="es-ES_tradnl" w:bidi="th-TH"/>
              </w:rPr>
              <w:t>WIPO GREEN:  Ninguna transacción.</w:t>
            </w:r>
          </w:p>
          <w:p w:rsidR="00B070BF" w:rsidRPr="009577DE" w:rsidRDefault="00B070BF" w:rsidP="00C33D4A">
            <w:pPr>
              <w:widowControl w:val="0"/>
              <w:rPr>
                <w:sz w:val="16"/>
                <w:szCs w:val="16"/>
                <w:lang w:val="es-ES_tradnl"/>
              </w:rPr>
            </w:pPr>
          </w:p>
        </w:tc>
        <w:tc>
          <w:tcPr>
            <w:tcW w:w="557" w:type="pct"/>
            <w:tcBorders>
              <w:bottom w:val="single" w:sz="4" w:space="0" w:color="auto"/>
            </w:tcBorders>
            <w:shd w:val="clear" w:color="auto" w:fill="auto"/>
            <w:tcMar>
              <w:top w:w="110" w:type="dxa"/>
            </w:tcMar>
          </w:tcPr>
          <w:p w:rsidR="00B070BF" w:rsidRPr="009577DE" w:rsidRDefault="00B070BF" w:rsidP="00C33D4A">
            <w:pPr>
              <w:widowControl w:val="0"/>
              <w:jc w:val="center"/>
              <w:rPr>
                <w:b/>
                <w:sz w:val="16"/>
                <w:szCs w:val="16"/>
                <w:lang w:val="es-ES_tradnl"/>
              </w:rPr>
            </w:pPr>
            <w:r w:rsidRPr="009577DE">
              <w:rPr>
                <w:b/>
                <w:color w:val="008000"/>
                <w:sz w:val="16"/>
                <w:szCs w:val="16"/>
                <w:lang w:val="es-ES_tradnl"/>
              </w:rPr>
              <w:t>Progresa con normalidad</w:t>
            </w:r>
          </w:p>
          <w:p w:rsidR="00B070BF" w:rsidRPr="009577DE" w:rsidRDefault="00B070BF" w:rsidP="00C33D4A">
            <w:pPr>
              <w:widowControl w:val="0"/>
              <w:jc w:val="center"/>
              <w:rPr>
                <w:b/>
                <w:sz w:val="16"/>
                <w:szCs w:val="16"/>
                <w:lang w:val="es-ES_tradnl"/>
              </w:rPr>
            </w:pPr>
          </w:p>
          <w:p w:rsidR="00B070BF" w:rsidRPr="009577DE" w:rsidRDefault="00B070BF" w:rsidP="00C33D4A">
            <w:pPr>
              <w:widowControl w:val="0"/>
              <w:jc w:val="center"/>
              <w:rPr>
                <w:b/>
                <w:sz w:val="16"/>
                <w:szCs w:val="16"/>
                <w:lang w:val="es-ES_tradnl"/>
              </w:rPr>
            </w:pPr>
          </w:p>
        </w:tc>
      </w:tr>
      <w:tr w:rsidR="00B070BF" w:rsidRPr="009577DE" w:rsidTr="00C33D4A">
        <w:trPr>
          <w:cantSplit/>
        </w:trPr>
        <w:tc>
          <w:tcPr>
            <w:tcW w:w="5000" w:type="pct"/>
            <w:gridSpan w:val="5"/>
            <w:tcBorders>
              <w:top w:val="single" w:sz="4" w:space="0" w:color="auto"/>
              <w:bottom w:val="single" w:sz="4" w:space="0" w:color="auto"/>
            </w:tcBorders>
            <w:shd w:val="clear" w:color="auto" w:fill="CCFFFF"/>
            <w:vAlign w:val="center"/>
          </w:tcPr>
          <w:p w:rsidR="00B070BF" w:rsidRPr="009577DE" w:rsidRDefault="00B070BF" w:rsidP="00C33D4A">
            <w:pPr>
              <w:widowControl w:val="0"/>
              <w:spacing w:before="120" w:after="120"/>
              <w:ind w:left="1735" w:hanging="1735"/>
              <w:rPr>
                <w:b/>
                <w:bCs/>
                <w:sz w:val="16"/>
                <w:szCs w:val="16"/>
                <w:lang w:val="es-ES_tradnl"/>
              </w:rPr>
            </w:pPr>
            <w:r w:rsidRPr="009577DE">
              <w:rPr>
                <w:b/>
                <w:bCs/>
                <w:sz w:val="16"/>
                <w:szCs w:val="16"/>
                <w:lang w:val="es-ES_tradnl"/>
              </w:rPr>
              <w:t>Resultado previsto:</w:t>
            </w:r>
            <w:r w:rsidRPr="009577DE">
              <w:rPr>
                <w:b/>
                <w:bCs/>
                <w:sz w:val="16"/>
                <w:szCs w:val="16"/>
                <w:lang w:val="es-ES_tradnl"/>
              </w:rPr>
              <w:tab/>
            </w:r>
            <w:r w:rsidRPr="009577DE">
              <w:rPr>
                <w:bCs/>
                <w:sz w:val="16"/>
                <w:szCs w:val="16"/>
                <w:lang w:val="es-ES_tradnl"/>
              </w:rPr>
              <w:t>La OMPI es el foro pertinente para analizar y debatir cuestiones en el ámbito de la P.I. y la política de competencia.</w:t>
            </w:r>
          </w:p>
        </w:tc>
      </w:tr>
      <w:tr w:rsidR="00B070BF" w:rsidRPr="009577DE" w:rsidTr="00C33D4A">
        <w:trPr>
          <w:cantSplit/>
        </w:trPr>
        <w:tc>
          <w:tcPr>
            <w:tcW w:w="874" w:type="pct"/>
            <w:tcBorders>
              <w:top w:val="single" w:sz="4" w:space="0" w:color="auto"/>
            </w:tcBorders>
            <w:shd w:val="clear" w:color="auto" w:fill="auto"/>
            <w:vAlign w:val="center"/>
          </w:tcPr>
          <w:p w:rsidR="00B070BF" w:rsidRPr="009577DE" w:rsidRDefault="00B070BF" w:rsidP="00C33D4A">
            <w:pPr>
              <w:widowControl w:val="0"/>
              <w:spacing w:after="120"/>
              <w:rPr>
                <w:sz w:val="16"/>
                <w:szCs w:val="16"/>
                <w:lang w:val="es-ES_tradnl"/>
              </w:rPr>
            </w:pPr>
            <w:r w:rsidRPr="009577DE">
              <w:rPr>
                <w:b/>
                <w:bCs/>
                <w:sz w:val="16"/>
                <w:szCs w:val="16"/>
                <w:lang w:val="es-ES_tradnl"/>
              </w:rPr>
              <w:t>Indicadores de rendimiento</w:t>
            </w:r>
          </w:p>
        </w:tc>
        <w:tc>
          <w:tcPr>
            <w:tcW w:w="805" w:type="pct"/>
            <w:tcBorders>
              <w:top w:val="single" w:sz="4" w:space="0" w:color="auto"/>
            </w:tcBorders>
            <w:shd w:val="clear" w:color="auto" w:fill="C0C0C0"/>
          </w:tcPr>
          <w:p w:rsidR="00B070BF" w:rsidRPr="009577DE" w:rsidRDefault="00B070BF" w:rsidP="00C33D4A">
            <w:pPr>
              <w:widowControl w:val="0"/>
              <w:spacing w:after="120"/>
              <w:rPr>
                <w:b/>
                <w:bCs/>
                <w:sz w:val="16"/>
                <w:szCs w:val="16"/>
                <w:lang w:val="es-ES_tradnl"/>
              </w:rPr>
            </w:pPr>
            <w:r w:rsidRPr="009577DE">
              <w:rPr>
                <w:b/>
                <w:bCs/>
                <w:sz w:val="16"/>
                <w:szCs w:val="16"/>
                <w:lang w:val="es-ES_tradnl"/>
              </w:rPr>
              <w:t>Referencia (</w:t>
            </w:r>
            <w:proofErr w:type="spellStart"/>
            <w:r w:rsidRPr="009577DE">
              <w:rPr>
                <w:b/>
                <w:bCs/>
                <w:sz w:val="16"/>
                <w:szCs w:val="16"/>
                <w:lang w:val="es-ES_tradnl"/>
              </w:rPr>
              <w:t>Presup</w:t>
            </w:r>
            <w:proofErr w:type="spellEnd"/>
            <w:r w:rsidRPr="009577DE">
              <w:rPr>
                <w:b/>
                <w:bCs/>
                <w:sz w:val="16"/>
                <w:szCs w:val="16"/>
                <w:lang w:val="es-ES_tradnl"/>
              </w:rPr>
              <w:t xml:space="preserve">. por </w:t>
            </w:r>
            <w:proofErr w:type="spellStart"/>
            <w:r w:rsidRPr="009577DE">
              <w:rPr>
                <w:b/>
                <w:bCs/>
                <w:sz w:val="16"/>
                <w:szCs w:val="16"/>
                <w:lang w:val="es-ES_tradnl"/>
              </w:rPr>
              <w:t>prog</w:t>
            </w:r>
            <w:proofErr w:type="spellEnd"/>
            <w:r w:rsidRPr="009577DE">
              <w:rPr>
                <w:b/>
                <w:bCs/>
                <w:sz w:val="16"/>
                <w:szCs w:val="16"/>
                <w:lang w:val="es-ES_tradnl"/>
              </w:rPr>
              <w:t>. 2012/13)</w:t>
            </w:r>
          </w:p>
        </w:tc>
        <w:tc>
          <w:tcPr>
            <w:tcW w:w="916" w:type="pct"/>
            <w:tcBorders>
              <w:top w:val="single" w:sz="4" w:space="0" w:color="auto"/>
            </w:tcBorders>
            <w:shd w:val="clear" w:color="auto" w:fill="auto"/>
            <w:tcMar>
              <w:top w:w="110" w:type="dxa"/>
            </w:tcMar>
            <w:vAlign w:val="center"/>
          </w:tcPr>
          <w:p w:rsidR="00B070BF" w:rsidRPr="009577DE" w:rsidRDefault="00B070BF" w:rsidP="00C33D4A">
            <w:pPr>
              <w:widowControl w:val="0"/>
              <w:spacing w:after="120"/>
              <w:rPr>
                <w:b/>
                <w:sz w:val="16"/>
                <w:szCs w:val="16"/>
                <w:lang w:val="es-ES_tradnl"/>
              </w:rPr>
            </w:pPr>
            <w:r w:rsidRPr="00BF138D">
              <w:rPr>
                <w:b/>
                <w:color w:val="993300"/>
                <w:sz w:val="16"/>
                <w:szCs w:val="16"/>
                <w:lang w:val="es-ES_tradnl"/>
              </w:rPr>
              <w:t>Referencia actualizada a finales de 2011</w:t>
            </w:r>
            <w:r w:rsidRPr="009577DE">
              <w:rPr>
                <w:b/>
                <w:sz w:val="16"/>
                <w:szCs w:val="16"/>
                <w:lang w:val="es-ES_tradnl"/>
              </w:rPr>
              <w:t xml:space="preserve"> </w:t>
            </w:r>
          </w:p>
        </w:tc>
        <w:tc>
          <w:tcPr>
            <w:tcW w:w="1848" w:type="pct"/>
            <w:tcBorders>
              <w:top w:val="single" w:sz="4" w:space="0" w:color="auto"/>
            </w:tcBorders>
            <w:shd w:val="clear" w:color="auto" w:fill="FFFFFF"/>
            <w:tcMar>
              <w:top w:w="110" w:type="dxa"/>
            </w:tcMar>
            <w:vAlign w:val="center"/>
          </w:tcPr>
          <w:p w:rsidR="00B070BF" w:rsidRPr="009577DE" w:rsidRDefault="00B070BF" w:rsidP="00C33D4A">
            <w:pPr>
              <w:widowControl w:val="0"/>
              <w:spacing w:after="120"/>
              <w:rPr>
                <w:sz w:val="16"/>
                <w:szCs w:val="16"/>
                <w:lang w:val="es-ES_tradnl"/>
              </w:rPr>
            </w:pPr>
            <w:r w:rsidRPr="009577DE">
              <w:rPr>
                <w:b/>
                <w:bCs/>
                <w:sz w:val="16"/>
                <w:szCs w:val="16"/>
                <w:lang w:val="es-ES_tradnl"/>
              </w:rPr>
              <w:t>Datos sobre el rendimiento</w:t>
            </w:r>
          </w:p>
        </w:tc>
        <w:tc>
          <w:tcPr>
            <w:tcW w:w="557" w:type="pct"/>
            <w:tcBorders>
              <w:top w:val="single" w:sz="4" w:space="0" w:color="auto"/>
            </w:tcBorders>
            <w:shd w:val="clear" w:color="auto" w:fill="auto"/>
            <w:tcMar>
              <w:top w:w="110" w:type="dxa"/>
            </w:tcMar>
            <w:vAlign w:val="center"/>
          </w:tcPr>
          <w:p w:rsidR="00B070BF" w:rsidRPr="009577DE" w:rsidRDefault="00B070BF" w:rsidP="00C33D4A">
            <w:pPr>
              <w:widowControl w:val="0"/>
              <w:spacing w:after="120"/>
              <w:jc w:val="center"/>
              <w:rPr>
                <w:b/>
                <w:bCs/>
                <w:sz w:val="16"/>
                <w:szCs w:val="16"/>
                <w:lang w:val="es-ES_tradnl"/>
              </w:rPr>
            </w:pPr>
            <w:r w:rsidRPr="009577DE">
              <w:rPr>
                <w:b/>
                <w:bCs/>
                <w:sz w:val="16"/>
                <w:szCs w:val="16"/>
                <w:lang w:val="es-ES_tradnl"/>
              </w:rPr>
              <w:t>Clave de colores</w:t>
            </w:r>
          </w:p>
        </w:tc>
      </w:tr>
      <w:tr w:rsidR="00B070BF" w:rsidRPr="009577DE" w:rsidTr="00C33D4A">
        <w:trPr>
          <w:cantSplit/>
        </w:trPr>
        <w:tc>
          <w:tcPr>
            <w:tcW w:w="874" w:type="pct"/>
            <w:shd w:val="clear" w:color="auto" w:fill="auto"/>
          </w:tcPr>
          <w:p w:rsidR="00B070BF" w:rsidRPr="009577DE" w:rsidRDefault="00B070BF" w:rsidP="00C33D4A">
            <w:pPr>
              <w:widowControl w:val="0"/>
              <w:rPr>
                <w:sz w:val="16"/>
                <w:szCs w:val="16"/>
                <w:lang w:val="es-ES_tradnl"/>
              </w:rPr>
            </w:pPr>
            <w:r w:rsidRPr="009577DE">
              <w:rPr>
                <w:sz w:val="16"/>
                <w:szCs w:val="16"/>
                <w:lang w:val="es-ES_tradnl"/>
              </w:rPr>
              <w:t>Número de países que solicitan aportaciones concretas de la OMPI en relación con la P.I. y las cuestiones relativas al Derecho de competencia.</w:t>
            </w:r>
          </w:p>
        </w:tc>
        <w:tc>
          <w:tcPr>
            <w:tcW w:w="805" w:type="pct"/>
            <w:shd w:val="clear" w:color="auto" w:fill="C0C0C0"/>
          </w:tcPr>
          <w:p w:rsidR="00B070BF" w:rsidRPr="009577DE" w:rsidRDefault="00B070BF" w:rsidP="00C33D4A">
            <w:pPr>
              <w:widowControl w:val="0"/>
              <w:rPr>
                <w:sz w:val="16"/>
                <w:szCs w:val="16"/>
                <w:lang w:val="es-ES_tradnl"/>
              </w:rPr>
            </w:pPr>
            <w:r w:rsidRPr="009577DE">
              <w:rPr>
                <w:sz w:val="16"/>
                <w:szCs w:val="16"/>
                <w:lang w:val="es-ES_tradnl"/>
              </w:rPr>
              <w:t>Dos peticiones (en diciembre de 2010).</w:t>
            </w:r>
          </w:p>
        </w:tc>
        <w:tc>
          <w:tcPr>
            <w:tcW w:w="916" w:type="pct"/>
            <w:shd w:val="clear" w:color="auto" w:fill="auto"/>
            <w:tcMar>
              <w:top w:w="110" w:type="dxa"/>
            </w:tcMar>
          </w:tcPr>
          <w:p w:rsidR="00B070BF" w:rsidRPr="009577DE" w:rsidRDefault="00B070BF" w:rsidP="00C33D4A">
            <w:pPr>
              <w:widowControl w:val="0"/>
              <w:rPr>
                <w:sz w:val="16"/>
                <w:szCs w:val="16"/>
                <w:highlight w:val="cyan"/>
                <w:lang w:val="es-ES_tradnl"/>
              </w:rPr>
            </w:pPr>
          </w:p>
        </w:tc>
        <w:tc>
          <w:tcPr>
            <w:tcW w:w="1848" w:type="pct"/>
            <w:shd w:val="clear" w:color="auto" w:fill="FFFFFF"/>
            <w:tcMar>
              <w:top w:w="110" w:type="dxa"/>
            </w:tcMar>
          </w:tcPr>
          <w:p w:rsidR="00B070BF" w:rsidRPr="009577DE" w:rsidRDefault="00B070BF" w:rsidP="00C33D4A">
            <w:pPr>
              <w:widowControl w:val="0"/>
              <w:rPr>
                <w:sz w:val="16"/>
                <w:szCs w:val="16"/>
                <w:lang w:val="es-ES_tradnl" w:bidi="th-TH"/>
              </w:rPr>
            </w:pPr>
            <w:r w:rsidRPr="009577DE">
              <w:rPr>
                <w:sz w:val="16"/>
                <w:szCs w:val="16"/>
                <w:lang w:val="es-ES_tradnl" w:bidi="th-TH"/>
              </w:rPr>
              <w:t>Se organizaron cinco reuniones en Estados miembros sobre cuestiones específicas de P.I. y competencia y un proyecto de legislación sobre competencia desleal y Derecho de competencia.</w:t>
            </w:r>
          </w:p>
          <w:p w:rsidR="00B070BF" w:rsidRPr="009577DE" w:rsidRDefault="00B070BF" w:rsidP="00C33D4A">
            <w:pPr>
              <w:widowControl w:val="0"/>
              <w:rPr>
                <w:sz w:val="16"/>
                <w:szCs w:val="16"/>
                <w:lang w:val="es-ES_tradnl"/>
              </w:rPr>
            </w:pPr>
            <w:r w:rsidRPr="009577DE" w:rsidDel="001E76FB">
              <w:rPr>
                <w:sz w:val="16"/>
                <w:szCs w:val="16"/>
                <w:lang w:val="es-ES_tradnl"/>
              </w:rPr>
              <w:t xml:space="preserve"> </w:t>
            </w:r>
          </w:p>
        </w:tc>
        <w:tc>
          <w:tcPr>
            <w:tcW w:w="557" w:type="pct"/>
            <w:shd w:val="clear" w:color="auto" w:fill="auto"/>
            <w:tcMar>
              <w:top w:w="110" w:type="dxa"/>
            </w:tcMar>
          </w:tcPr>
          <w:p w:rsidR="00B070BF" w:rsidRPr="009577DE" w:rsidRDefault="00B070BF" w:rsidP="00C33D4A">
            <w:pPr>
              <w:widowControl w:val="0"/>
              <w:jc w:val="center"/>
              <w:rPr>
                <w:b/>
                <w:sz w:val="16"/>
                <w:szCs w:val="16"/>
                <w:lang w:val="es-ES_tradnl"/>
              </w:rPr>
            </w:pPr>
            <w:r w:rsidRPr="009577DE">
              <w:rPr>
                <w:b/>
                <w:color w:val="008000"/>
                <w:sz w:val="16"/>
                <w:szCs w:val="16"/>
                <w:lang w:val="es-ES_tradnl"/>
              </w:rPr>
              <w:t>Progresa con normalidad</w:t>
            </w:r>
          </w:p>
          <w:p w:rsidR="00B070BF" w:rsidRPr="009577DE" w:rsidRDefault="00B070BF" w:rsidP="00C33D4A">
            <w:pPr>
              <w:widowControl w:val="0"/>
              <w:jc w:val="center"/>
              <w:rPr>
                <w:b/>
                <w:sz w:val="16"/>
                <w:szCs w:val="16"/>
                <w:lang w:val="es-ES_tradnl"/>
              </w:rPr>
            </w:pPr>
          </w:p>
          <w:p w:rsidR="00B070BF" w:rsidRPr="009577DE" w:rsidRDefault="00B070BF" w:rsidP="00C33D4A">
            <w:pPr>
              <w:widowControl w:val="0"/>
              <w:jc w:val="center"/>
              <w:rPr>
                <w:b/>
                <w:sz w:val="16"/>
                <w:szCs w:val="16"/>
                <w:lang w:val="es-ES_tradnl"/>
              </w:rPr>
            </w:pPr>
          </w:p>
        </w:tc>
      </w:tr>
      <w:tr w:rsidR="00B070BF" w:rsidRPr="009577DE" w:rsidTr="00C33D4A">
        <w:trPr>
          <w:cantSplit/>
        </w:trPr>
        <w:tc>
          <w:tcPr>
            <w:tcW w:w="874" w:type="pct"/>
            <w:shd w:val="clear" w:color="auto" w:fill="auto"/>
          </w:tcPr>
          <w:p w:rsidR="00B070BF" w:rsidRPr="009577DE" w:rsidRDefault="00B070BF" w:rsidP="00C33D4A">
            <w:pPr>
              <w:widowControl w:val="0"/>
              <w:rPr>
                <w:sz w:val="16"/>
                <w:szCs w:val="16"/>
                <w:lang w:val="es-ES_tradnl"/>
              </w:rPr>
            </w:pPr>
            <w:r w:rsidRPr="009577DE">
              <w:rPr>
                <w:sz w:val="16"/>
                <w:szCs w:val="16"/>
                <w:lang w:val="es-ES_tradnl"/>
              </w:rPr>
              <w:t>Número y diversidad de sectores interesados (oficinas de P.I., autoridades encargadas de cuestiones de competencia, OIG y ONG) que entablan diálogo con la OMPI.</w:t>
            </w:r>
          </w:p>
        </w:tc>
        <w:tc>
          <w:tcPr>
            <w:tcW w:w="805" w:type="pct"/>
            <w:shd w:val="clear" w:color="auto" w:fill="C0C0C0"/>
          </w:tcPr>
          <w:p w:rsidR="00B070BF" w:rsidRPr="009577DE" w:rsidRDefault="00B070BF" w:rsidP="00C33D4A">
            <w:pPr>
              <w:widowControl w:val="0"/>
              <w:rPr>
                <w:sz w:val="16"/>
                <w:szCs w:val="16"/>
                <w:lang w:val="es-ES_tradnl"/>
              </w:rPr>
            </w:pPr>
            <w:r w:rsidRPr="009577DE">
              <w:rPr>
                <w:sz w:val="16"/>
                <w:szCs w:val="16"/>
                <w:lang w:val="es-ES_tradnl"/>
              </w:rPr>
              <w:t>Diálogo entablado con cinco administraciones nacionales encargadas de la competencia (de tres Estados miembros y tres OIG).</w:t>
            </w:r>
          </w:p>
        </w:tc>
        <w:tc>
          <w:tcPr>
            <w:tcW w:w="916" w:type="pct"/>
            <w:shd w:val="clear" w:color="auto" w:fill="auto"/>
            <w:tcMar>
              <w:top w:w="110" w:type="dxa"/>
            </w:tcMar>
          </w:tcPr>
          <w:p w:rsidR="00B070BF" w:rsidRPr="009577DE" w:rsidRDefault="00B070BF" w:rsidP="00C33D4A">
            <w:pPr>
              <w:widowControl w:val="0"/>
              <w:rPr>
                <w:sz w:val="16"/>
                <w:szCs w:val="16"/>
                <w:lang w:val="es-ES_tradnl"/>
              </w:rPr>
            </w:pPr>
          </w:p>
        </w:tc>
        <w:tc>
          <w:tcPr>
            <w:tcW w:w="1848" w:type="pct"/>
            <w:shd w:val="clear" w:color="auto" w:fill="FFFFFF"/>
            <w:tcMar>
              <w:top w:w="110" w:type="dxa"/>
            </w:tcMar>
          </w:tcPr>
          <w:p w:rsidR="00B070BF" w:rsidRPr="009577DE" w:rsidRDefault="00B070BF" w:rsidP="00C33D4A">
            <w:pPr>
              <w:widowControl w:val="0"/>
              <w:rPr>
                <w:sz w:val="16"/>
                <w:szCs w:val="16"/>
                <w:lang w:val="es-ES_tradnl" w:bidi="th-TH"/>
              </w:rPr>
            </w:pPr>
            <w:r w:rsidRPr="009577DE">
              <w:rPr>
                <w:sz w:val="16"/>
                <w:szCs w:val="16"/>
                <w:lang w:val="es-ES_tradnl" w:bidi="th-TH"/>
              </w:rPr>
              <w:t>Se organizaron 13 talleres y reuniones en los que participaron 10 autoridades de competencia.  Establecimiento del International IP&amp;C Club (con la UNCTAD, la OMC y la OCDE) con carácter oficioso y permanente.</w:t>
            </w:r>
          </w:p>
          <w:p w:rsidR="00B070BF" w:rsidRPr="009577DE" w:rsidRDefault="00B070BF" w:rsidP="00C33D4A">
            <w:pPr>
              <w:widowControl w:val="0"/>
              <w:rPr>
                <w:sz w:val="16"/>
                <w:szCs w:val="16"/>
                <w:lang w:val="es-ES_tradnl" w:bidi="th-TH"/>
              </w:rPr>
            </w:pPr>
          </w:p>
          <w:p w:rsidR="00B070BF" w:rsidRPr="009577DE" w:rsidRDefault="00B070BF" w:rsidP="00C33D4A">
            <w:pPr>
              <w:widowControl w:val="0"/>
              <w:rPr>
                <w:sz w:val="16"/>
                <w:szCs w:val="16"/>
                <w:lang w:val="es-ES_tradnl" w:bidi="th-TH"/>
              </w:rPr>
            </w:pPr>
          </w:p>
          <w:p w:rsidR="00B070BF" w:rsidRPr="009577DE" w:rsidRDefault="00B070BF" w:rsidP="00C33D4A">
            <w:pPr>
              <w:widowControl w:val="0"/>
              <w:rPr>
                <w:sz w:val="16"/>
                <w:szCs w:val="16"/>
                <w:lang w:val="es-ES_tradnl"/>
              </w:rPr>
            </w:pPr>
          </w:p>
        </w:tc>
        <w:tc>
          <w:tcPr>
            <w:tcW w:w="557" w:type="pct"/>
            <w:shd w:val="clear" w:color="auto" w:fill="auto"/>
            <w:tcMar>
              <w:top w:w="110" w:type="dxa"/>
            </w:tcMar>
          </w:tcPr>
          <w:p w:rsidR="00B070BF" w:rsidRPr="009577DE" w:rsidRDefault="00B070BF" w:rsidP="00C33D4A">
            <w:pPr>
              <w:widowControl w:val="0"/>
              <w:jc w:val="center"/>
              <w:rPr>
                <w:b/>
                <w:sz w:val="16"/>
                <w:szCs w:val="16"/>
                <w:lang w:val="es-ES_tradnl"/>
              </w:rPr>
            </w:pPr>
            <w:r w:rsidRPr="009577DE">
              <w:rPr>
                <w:b/>
                <w:color w:val="008000"/>
                <w:sz w:val="16"/>
                <w:szCs w:val="16"/>
                <w:lang w:val="es-ES_tradnl"/>
              </w:rPr>
              <w:t>Progresa con normalidad</w:t>
            </w:r>
          </w:p>
          <w:p w:rsidR="00B070BF" w:rsidRPr="009577DE" w:rsidRDefault="00B070BF" w:rsidP="00C33D4A">
            <w:pPr>
              <w:widowControl w:val="0"/>
              <w:jc w:val="center"/>
              <w:rPr>
                <w:b/>
                <w:sz w:val="16"/>
                <w:szCs w:val="16"/>
                <w:lang w:val="es-ES_tradnl"/>
              </w:rPr>
            </w:pPr>
          </w:p>
          <w:p w:rsidR="00B070BF" w:rsidRPr="009577DE" w:rsidRDefault="00B070BF" w:rsidP="00C33D4A">
            <w:pPr>
              <w:widowControl w:val="0"/>
              <w:jc w:val="center"/>
              <w:rPr>
                <w:b/>
                <w:sz w:val="16"/>
                <w:szCs w:val="16"/>
                <w:lang w:val="es-ES_tradnl"/>
              </w:rPr>
            </w:pPr>
          </w:p>
        </w:tc>
      </w:tr>
    </w:tbl>
    <w:p w:rsidR="00B070BF" w:rsidRPr="009577DE" w:rsidRDefault="00B070BF" w:rsidP="00B070BF">
      <w:pPr>
        <w:widowControl w:val="0"/>
        <w:jc w:val="both"/>
        <w:rPr>
          <w:szCs w:val="22"/>
        </w:rPr>
      </w:pPr>
    </w:p>
    <w:p w:rsidR="00B070BF" w:rsidRPr="009577DE" w:rsidRDefault="00B070BF" w:rsidP="00B070BF">
      <w:pPr>
        <w:widowControl w:val="0"/>
        <w:rPr>
          <w:sz w:val="18"/>
          <w:szCs w:val="18"/>
          <w:lang w:val="es-ES_tradnl"/>
        </w:rPr>
      </w:pPr>
    </w:p>
    <w:p w:rsidR="00B070BF" w:rsidRPr="009577DE" w:rsidRDefault="00B070BF" w:rsidP="00B070BF">
      <w:pPr>
        <w:widowControl w:val="0"/>
        <w:rPr>
          <w:sz w:val="20"/>
          <w:szCs w:val="22"/>
          <w:lang w:val="es-ES_tradnl"/>
        </w:rPr>
      </w:pPr>
      <w:r w:rsidRPr="009577DE">
        <w:rPr>
          <w:sz w:val="20"/>
          <w:szCs w:val="22"/>
          <w:lang w:val="es-ES_tradnl"/>
        </w:rPr>
        <w:t>PRESUPUESTO Y GASTOS REALES</w:t>
      </w:r>
    </w:p>
    <w:p w:rsidR="00B070BF" w:rsidRPr="006964C6" w:rsidRDefault="00B070BF" w:rsidP="00B070BF">
      <w:pPr>
        <w:widowControl w:val="0"/>
        <w:rPr>
          <w:sz w:val="20"/>
          <w:lang w:val="es-ES_tradnl"/>
        </w:rPr>
      </w:pPr>
    </w:p>
    <w:p w:rsidR="00B070BF" w:rsidRPr="006964C6" w:rsidRDefault="00B070BF" w:rsidP="00B070BF">
      <w:pPr>
        <w:widowControl w:val="0"/>
        <w:jc w:val="center"/>
        <w:rPr>
          <w:sz w:val="20"/>
          <w:lang w:val="es-ES_tradnl"/>
        </w:rPr>
      </w:pPr>
      <w:r w:rsidRPr="006964C6">
        <w:rPr>
          <w:sz w:val="20"/>
          <w:lang w:val="es-ES_tradnl"/>
        </w:rPr>
        <w:t>Presupuesto y gastos reales (por resultado)</w:t>
      </w:r>
    </w:p>
    <w:p w:rsidR="00B070BF" w:rsidRPr="009577DE" w:rsidRDefault="00B070BF" w:rsidP="00B070BF">
      <w:pPr>
        <w:widowControl w:val="0"/>
        <w:jc w:val="center"/>
        <w:rPr>
          <w:szCs w:val="22"/>
          <w:lang w:val="es-ES_tradnl"/>
        </w:rPr>
      </w:pPr>
      <w:r w:rsidRPr="006964C6">
        <w:rPr>
          <w:i/>
          <w:iCs/>
          <w:sz w:val="20"/>
          <w:lang w:val="es-ES_tradnl"/>
        </w:rPr>
        <w:t>(en miles de francos suizos)</w:t>
      </w:r>
      <w:r w:rsidRPr="006964C6">
        <w:rPr>
          <w:i/>
          <w:iCs/>
          <w:sz w:val="20"/>
          <w:lang w:val="es-ES_tradnl"/>
        </w:rPr>
        <w:br/>
      </w:r>
      <w:r w:rsidRPr="006964C6">
        <w:rPr>
          <w:i/>
          <w:iCs/>
          <w:sz w:val="20"/>
          <w:lang w:val="es-ES_tradnl"/>
        </w:rPr>
        <w:br/>
      </w:r>
      <w:r w:rsidRPr="009577DE">
        <w:rPr>
          <w:noProof/>
          <w:lang w:val="en-US" w:eastAsia="en-US"/>
        </w:rPr>
        <w:drawing>
          <wp:inline distT="0" distB="0" distL="0" distR="0" wp14:anchorId="091C7914" wp14:editId="245DB84D">
            <wp:extent cx="5902325" cy="2410460"/>
            <wp:effectExtent l="0" t="0" r="3175" b="8890"/>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902325" cy="2410460"/>
                    </a:xfrm>
                    <a:prstGeom prst="rect">
                      <a:avLst/>
                    </a:prstGeom>
                    <a:noFill/>
                    <a:ln>
                      <a:noFill/>
                    </a:ln>
                  </pic:spPr>
                </pic:pic>
              </a:graphicData>
            </a:graphic>
          </wp:inline>
        </w:drawing>
      </w:r>
    </w:p>
    <w:p w:rsidR="00B070BF" w:rsidRPr="006964C6" w:rsidRDefault="00B070BF" w:rsidP="00B070BF">
      <w:pPr>
        <w:widowControl w:val="0"/>
        <w:jc w:val="center"/>
        <w:rPr>
          <w:sz w:val="20"/>
          <w:lang w:val="es-ES_tradnl"/>
        </w:rPr>
      </w:pPr>
    </w:p>
    <w:p w:rsidR="00B070BF" w:rsidRPr="006964C6" w:rsidRDefault="00B070BF" w:rsidP="00B070BF">
      <w:pPr>
        <w:widowControl w:val="0"/>
        <w:jc w:val="center"/>
        <w:rPr>
          <w:sz w:val="20"/>
          <w:lang w:val="es-ES_tradnl"/>
        </w:rPr>
      </w:pPr>
    </w:p>
    <w:p w:rsidR="00B070BF" w:rsidRPr="009577DE" w:rsidRDefault="00B070BF" w:rsidP="00B070BF">
      <w:pPr>
        <w:widowControl w:val="0"/>
        <w:jc w:val="center"/>
        <w:rPr>
          <w:sz w:val="20"/>
          <w:lang w:val="es-ES_tradnl"/>
        </w:rPr>
      </w:pPr>
      <w:r w:rsidRPr="006964C6">
        <w:rPr>
          <w:sz w:val="20"/>
          <w:lang w:val="es-ES_tradnl"/>
        </w:rPr>
        <w:t>Presupuesto y gastos reales (de personal y no relativos al personal)</w:t>
      </w:r>
      <w:r w:rsidRPr="006964C6">
        <w:rPr>
          <w:sz w:val="20"/>
          <w:lang w:val="es-ES_tradnl"/>
        </w:rPr>
        <w:br/>
      </w:r>
      <w:r w:rsidRPr="006964C6">
        <w:rPr>
          <w:i/>
          <w:sz w:val="20"/>
          <w:lang w:val="es-ES_tradnl"/>
        </w:rPr>
        <w:t>(en miles de francos suizos)</w:t>
      </w:r>
      <w:r w:rsidRPr="006964C6">
        <w:rPr>
          <w:sz w:val="20"/>
          <w:lang w:val="es-ES_tradnl"/>
        </w:rPr>
        <w:br/>
      </w:r>
      <w:r w:rsidRPr="006964C6">
        <w:rPr>
          <w:sz w:val="20"/>
          <w:lang w:val="es-ES_tradnl"/>
        </w:rPr>
        <w:br/>
      </w:r>
      <w:r w:rsidRPr="009577DE">
        <w:rPr>
          <w:noProof/>
          <w:lang w:val="en-US" w:eastAsia="en-US"/>
        </w:rPr>
        <w:drawing>
          <wp:inline distT="0" distB="0" distL="0" distR="0" wp14:anchorId="3A74391D" wp14:editId="17BFF0E5">
            <wp:extent cx="5902325" cy="1235075"/>
            <wp:effectExtent l="0" t="0" r="3175" b="3175"/>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902325" cy="1235075"/>
                    </a:xfrm>
                    <a:prstGeom prst="rect">
                      <a:avLst/>
                    </a:prstGeom>
                    <a:noFill/>
                    <a:ln>
                      <a:noFill/>
                    </a:ln>
                  </pic:spPr>
                </pic:pic>
              </a:graphicData>
            </a:graphic>
          </wp:inline>
        </w:drawing>
      </w:r>
    </w:p>
    <w:p w:rsidR="00B070BF" w:rsidRPr="009577DE" w:rsidRDefault="00B070BF" w:rsidP="00B070BF">
      <w:pPr>
        <w:widowControl w:val="0"/>
        <w:rPr>
          <w:sz w:val="16"/>
          <w:szCs w:val="16"/>
          <w:lang w:val="es-ES_tradnl"/>
        </w:rPr>
      </w:pPr>
    </w:p>
    <w:p w:rsidR="00B070BF" w:rsidRPr="009577DE" w:rsidRDefault="00B070BF" w:rsidP="00B070BF">
      <w:pPr>
        <w:widowControl w:val="0"/>
        <w:rPr>
          <w:sz w:val="16"/>
          <w:szCs w:val="16"/>
          <w:lang w:val="es-ES_tradnl"/>
        </w:rPr>
      </w:pPr>
      <w:r w:rsidRPr="007C3E0F">
        <w:rPr>
          <w:sz w:val="16"/>
          <w:szCs w:val="16"/>
          <w:lang w:val="es-ES_tradnl"/>
        </w:rPr>
        <w:t>NOTAS:</w:t>
      </w:r>
    </w:p>
    <w:p w:rsidR="00B070BF" w:rsidRPr="009577DE" w:rsidRDefault="00B070BF" w:rsidP="00B070BF">
      <w:pPr>
        <w:widowControl w:val="0"/>
        <w:rPr>
          <w:sz w:val="16"/>
          <w:szCs w:val="16"/>
          <w:lang w:val="es-ES_tradnl"/>
        </w:rPr>
      </w:pPr>
    </w:p>
    <w:p w:rsidR="00B070BF" w:rsidRPr="009577DE" w:rsidRDefault="00B070BF" w:rsidP="00B070BF">
      <w:pPr>
        <w:widowControl w:val="0"/>
        <w:autoSpaceDE w:val="0"/>
        <w:autoSpaceDN w:val="0"/>
        <w:adjustRightInd w:val="0"/>
        <w:rPr>
          <w:sz w:val="16"/>
          <w:szCs w:val="16"/>
          <w:lang w:val="es-ES_tradnl"/>
        </w:rPr>
      </w:pPr>
      <w:r w:rsidRPr="009577DE">
        <w:rPr>
          <w:sz w:val="16"/>
          <w:szCs w:val="16"/>
          <w:lang w:val="es-ES_tradnl"/>
        </w:rPr>
        <w:t>1) El presupuesto después de las transferencias refleja el presupuesto de los programas ajustado después de las transferencias efectuadas en 2012/13 en virtud del artículo 5.5 del Reglamento Financiero.</w:t>
      </w:r>
    </w:p>
    <w:p w:rsidR="00B070BF" w:rsidRPr="009577DE" w:rsidRDefault="00B070BF" w:rsidP="00B070BF">
      <w:pPr>
        <w:widowControl w:val="0"/>
        <w:autoSpaceDE w:val="0"/>
        <w:autoSpaceDN w:val="0"/>
        <w:adjustRightInd w:val="0"/>
        <w:rPr>
          <w:sz w:val="16"/>
          <w:szCs w:val="16"/>
          <w:lang w:val="es-ES_tradnl"/>
        </w:rPr>
      </w:pPr>
    </w:p>
    <w:p w:rsidR="00B070BF" w:rsidRPr="009577DE" w:rsidRDefault="00B070BF" w:rsidP="00B070BF">
      <w:pPr>
        <w:widowControl w:val="0"/>
        <w:autoSpaceDE w:val="0"/>
        <w:autoSpaceDN w:val="0"/>
        <w:adjustRightInd w:val="0"/>
        <w:rPr>
          <w:sz w:val="16"/>
          <w:szCs w:val="16"/>
          <w:lang w:val="es-ES_tradnl"/>
        </w:rPr>
      </w:pPr>
      <w:r w:rsidRPr="009577DE">
        <w:rPr>
          <w:sz w:val="16"/>
          <w:szCs w:val="16"/>
          <w:lang w:val="es-ES_tradnl"/>
        </w:rPr>
        <w:t xml:space="preserve">2) La asignación para el personal del presupuesto de 2012/13 después de las transferencias representa los gastos reales efectuados hasta el 31 de marzo de 2013 y los importes presupuestados para los nueve meses restantes de 2013, sobre la base de costos estándar. </w:t>
      </w:r>
    </w:p>
    <w:p w:rsidR="00B070BF" w:rsidRPr="009577DE" w:rsidRDefault="00B070BF" w:rsidP="00B070BF">
      <w:pPr>
        <w:widowControl w:val="0"/>
        <w:autoSpaceDE w:val="0"/>
        <w:autoSpaceDN w:val="0"/>
        <w:adjustRightInd w:val="0"/>
        <w:rPr>
          <w:sz w:val="16"/>
          <w:szCs w:val="16"/>
          <w:lang w:val="es-ES_tradnl"/>
        </w:rPr>
      </w:pPr>
    </w:p>
    <w:p w:rsidR="00B070BF" w:rsidRPr="009577DE" w:rsidRDefault="00B070BF" w:rsidP="00B070BF">
      <w:pPr>
        <w:widowControl w:val="0"/>
        <w:autoSpaceDE w:val="0"/>
        <w:autoSpaceDN w:val="0"/>
        <w:adjustRightInd w:val="0"/>
        <w:rPr>
          <w:sz w:val="16"/>
          <w:szCs w:val="16"/>
          <w:lang w:val="es-ES_tradnl"/>
        </w:rPr>
      </w:pPr>
      <w:r w:rsidRPr="009577DE">
        <w:rPr>
          <w:sz w:val="16"/>
          <w:szCs w:val="16"/>
          <w:lang w:val="es-ES_tradnl"/>
        </w:rPr>
        <w:t>3) La asignación no relativa al personal del presupuesto de 2012/13 después de las transferencias refleja los ajustes a la baja efectuados para aumentar la eficacia en función de los costos, de conformidad con el compromiso de la Organización de reducir gastos por un importe de 10,2 millones de francos suizos en el bienio 2012/13.</w:t>
      </w:r>
    </w:p>
    <w:p w:rsidR="00B070BF" w:rsidRPr="009577DE" w:rsidRDefault="00B070BF" w:rsidP="00B070BF">
      <w:pPr>
        <w:widowControl w:val="0"/>
        <w:rPr>
          <w:sz w:val="20"/>
          <w:lang w:val="es-ES_tradnl"/>
        </w:rPr>
      </w:pPr>
    </w:p>
    <w:p w:rsidR="00B070BF" w:rsidRPr="009577DE" w:rsidRDefault="00B070BF" w:rsidP="00B070BF">
      <w:pPr>
        <w:widowControl w:val="0"/>
        <w:rPr>
          <w:sz w:val="20"/>
          <w:lang w:val="es-ES_tradnl"/>
        </w:rPr>
      </w:pPr>
    </w:p>
    <w:p w:rsidR="00B070BF" w:rsidRPr="009577DE" w:rsidRDefault="00B070BF" w:rsidP="00B070BF">
      <w:pPr>
        <w:widowControl w:val="0"/>
        <w:rPr>
          <w:sz w:val="20"/>
          <w:u w:val="single"/>
          <w:lang w:val="es-ES_tradnl"/>
        </w:rPr>
      </w:pPr>
      <w:r>
        <w:rPr>
          <w:sz w:val="20"/>
          <w:lang w:val="es-ES_tradnl"/>
        </w:rPr>
        <w:t xml:space="preserve">A.  </w:t>
      </w:r>
      <w:r w:rsidRPr="009577DE">
        <w:rPr>
          <w:sz w:val="20"/>
          <w:u w:val="single"/>
          <w:lang w:val="es-ES_tradnl"/>
        </w:rPr>
        <w:t xml:space="preserve">Presupuesto </w:t>
      </w:r>
      <w:r>
        <w:rPr>
          <w:sz w:val="20"/>
          <w:u w:val="single"/>
          <w:lang w:val="es-ES_tradnl"/>
        </w:rPr>
        <w:t>2012/13</w:t>
      </w:r>
      <w:r w:rsidRPr="009577DE">
        <w:rPr>
          <w:sz w:val="20"/>
          <w:u w:val="single"/>
          <w:lang w:val="es-ES_tradnl"/>
        </w:rPr>
        <w:t xml:space="preserve"> después de las transferencias</w:t>
      </w:r>
    </w:p>
    <w:p w:rsidR="00B070BF" w:rsidRPr="009577DE" w:rsidRDefault="00B070BF" w:rsidP="00B070BF">
      <w:pPr>
        <w:widowControl w:val="0"/>
        <w:rPr>
          <w:sz w:val="20"/>
          <w:u w:val="single"/>
          <w:lang w:val="es-ES_tradnl"/>
        </w:rPr>
      </w:pPr>
    </w:p>
    <w:p w:rsidR="00B070BF" w:rsidRPr="009577DE" w:rsidRDefault="00B070BF" w:rsidP="00B070BF">
      <w:pPr>
        <w:widowControl w:val="0"/>
        <w:numPr>
          <w:ilvl w:val="0"/>
          <w:numId w:val="10"/>
        </w:numPr>
        <w:shd w:val="clear" w:color="auto" w:fill="FFFFFF"/>
        <w:jc w:val="both"/>
        <w:rPr>
          <w:rFonts w:eastAsia="Batang"/>
          <w:sz w:val="20"/>
          <w:lang w:val="es-ES_tradnl" w:eastAsia="ko-KR"/>
        </w:rPr>
      </w:pPr>
      <w:r w:rsidRPr="009577DE">
        <w:rPr>
          <w:rFonts w:eastAsia="Batang"/>
          <w:sz w:val="20"/>
          <w:lang w:val="es-ES_tradnl" w:eastAsia="ko-KR"/>
        </w:rPr>
        <w:t>La asignación ajustada de recursos relativos a los resultados VII.1 (Conocimiento más adecuado de la relación existente entre los desafíos mundiales y la innovación y la P.I.), VII. 2 (La OMPI constituye una fuente fidedigna de información sobre la innovación y la P.I.) y VII.3 (Las herramientas de P.I. se utilizan para la transferencia de tecnología) se debe a un aumento de los recursos destinados al resultado VII.1 (Conocimiento más adecuado de la relación existente entre los desafíos mundiales y la innovación y la P.I) y al resultado VII. 2 (La OMPI constituye una fuente fidedigna de información sobre la innovación y la P.I.) a fin de atender las peticiones reiteradas para que la OMPI contribuya y participe en procesos de política pública, seminarios, talleres y conferencias.  A pesar de los considerables avances realizados, la concepción y puesta en marcha de las plataformas de P.I. han sufrido algunas demoras respecto de los planes originales, como se observa en el ajuste a la baja de los recursos destinados al resultado VII.3 (Las herramientas de P.I. se utilizan para la transferencia de tecnología).</w:t>
      </w:r>
    </w:p>
    <w:p w:rsidR="00B070BF" w:rsidRPr="009577DE" w:rsidRDefault="00B070BF" w:rsidP="00B070BF">
      <w:pPr>
        <w:widowControl w:val="0"/>
        <w:jc w:val="both"/>
        <w:rPr>
          <w:rFonts w:eastAsia="Batang"/>
          <w:sz w:val="20"/>
          <w:lang w:val="es-ES_tradnl" w:eastAsia="ko-KR"/>
        </w:rPr>
      </w:pPr>
    </w:p>
    <w:p w:rsidR="00B070BF" w:rsidRPr="009577DE" w:rsidRDefault="00B070BF" w:rsidP="00B070BF">
      <w:pPr>
        <w:widowControl w:val="0"/>
        <w:jc w:val="both"/>
        <w:rPr>
          <w:rFonts w:eastAsia="Batang"/>
          <w:sz w:val="20"/>
          <w:u w:val="single"/>
          <w:lang w:val="es-ES_tradnl" w:eastAsia="ko-KR"/>
        </w:rPr>
      </w:pPr>
      <w:r w:rsidRPr="009577DE">
        <w:rPr>
          <w:rFonts w:eastAsia="Batang"/>
          <w:sz w:val="20"/>
          <w:lang w:val="es-ES_tradnl" w:eastAsia="ko-KR"/>
        </w:rPr>
        <w:lastRenderedPageBreak/>
        <w:t xml:space="preserve">B. </w:t>
      </w:r>
      <w:r>
        <w:rPr>
          <w:rFonts w:eastAsia="Batang"/>
          <w:sz w:val="20"/>
          <w:lang w:val="es-ES_tradnl" w:eastAsia="ko-KR"/>
        </w:rPr>
        <w:t xml:space="preserve"> </w:t>
      </w:r>
      <w:r w:rsidRPr="009577DE">
        <w:rPr>
          <w:rFonts w:eastAsia="Batang"/>
          <w:sz w:val="20"/>
          <w:u w:val="single"/>
          <w:lang w:val="es-ES_tradnl" w:eastAsia="ko-KR"/>
        </w:rPr>
        <w:t>Utilización del presupuesto 2012</w:t>
      </w:r>
    </w:p>
    <w:p w:rsidR="00B070BF" w:rsidRPr="009577DE" w:rsidRDefault="00B070BF" w:rsidP="00B070BF">
      <w:pPr>
        <w:widowControl w:val="0"/>
        <w:jc w:val="both"/>
        <w:rPr>
          <w:rFonts w:eastAsia="Batang"/>
          <w:sz w:val="20"/>
          <w:lang w:val="es-ES_tradnl" w:eastAsia="ko-KR"/>
        </w:rPr>
      </w:pPr>
    </w:p>
    <w:p w:rsidR="00B070BF" w:rsidRPr="009577DE" w:rsidRDefault="00B070BF" w:rsidP="00B070BF">
      <w:pPr>
        <w:widowControl w:val="0"/>
        <w:numPr>
          <w:ilvl w:val="0"/>
          <w:numId w:val="10"/>
        </w:numPr>
        <w:shd w:val="clear" w:color="auto" w:fill="FFFFFF"/>
        <w:jc w:val="both"/>
        <w:rPr>
          <w:rFonts w:eastAsia="Batang"/>
          <w:sz w:val="20"/>
          <w:lang w:val="es-ES_tradnl" w:eastAsia="ko-KR"/>
        </w:rPr>
      </w:pPr>
      <w:r w:rsidRPr="009577DE">
        <w:rPr>
          <w:rFonts w:eastAsia="Batang"/>
          <w:sz w:val="20"/>
          <w:lang w:val="es-ES_tradnl" w:eastAsia="ko-KR"/>
        </w:rPr>
        <w:t>La utilización del presupuesto se mantiene entre el 40% y el 60% en el primer año del bienio y progresa con normalidad.</w:t>
      </w:r>
    </w:p>
    <w:p w:rsidR="00B070BF" w:rsidRPr="009577DE" w:rsidRDefault="00B070BF" w:rsidP="00B070BF">
      <w:pPr>
        <w:widowControl w:val="0"/>
        <w:jc w:val="both"/>
        <w:rPr>
          <w:szCs w:val="22"/>
          <w:lang w:val="es-ES_tradnl"/>
        </w:rPr>
      </w:pPr>
    </w:p>
    <w:p w:rsidR="00B070BF" w:rsidRPr="009577DE" w:rsidRDefault="00B070BF" w:rsidP="00B070BF">
      <w:pPr>
        <w:pStyle w:val="Heading2"/>
        <w:tabs>
          <w:tab w:val="left" w:pos="2835"/>
        </w:tabs>
        <w:rPr>
          <w:b/>
        </w:rPr>
      </w:pPr>
      <w:r w:rsidRPr="009577DE">
        <w:br w:type="page"/>
      </w:r>
      <w:bookmarkStart w:id="50" w:name="_Toc359846805"/>
      <w:bookmarkStart w:id="51" w:name="_Toc359949329"/>
      <w:r w:rsidRPr="009577DE">
        <w:rPr>
          <w:b/>
        </w:rPr>
        <w:lastRenderedPageBreak/>
        <w:t>PROGRAMA 19</w:t>
      </w:r>
      <w:r w:rsidRPr="009577DE">
        <w:rPr>
          <w:b/>
        </w:rPr>
        <w:tab/>
        <w:t>COMUNICACIONES</w:t>
      </w:r>
      <w:bookmarkEnd w:id="50"/>
      <w:bookmarkEnd w:id="51"/>
    </w:p>
    <w:p w:rsidR="00B070BF" w:rsidRPr="009577DE" w:rsidRDefault="00B070BF" w:rsidP="00B070BF">
      <w:pPr>
        <w:widowControl w:val="0"/>
        <w:rPr>
          <w:bCs/>
          <w:sz w:val="20"/>
        </w:rPr>
      </w:pPr>
    </w:p>
    <w:p w:rsidR="00B070BF" w:rsidRPr="009577DE" w:rsidRDefault="00B070BF" w:rsidP="00B070BF">
      <w:pPr>
        <w:widowControl w:val="0"/>
        <w:rPr>
          <w:bCs/>
          <w:sz w:val="20"/>
        </w:rPr>
      </w:pPr>
    </w:p>
    <w:p w:rsidR="00B070BF" w:rsidRPr="009577DE" w:rsidRDefault="00B070BF" w:rsidP="00B070BF">
      <w:pPr>
        <w:widowControl w:val="0"/>
        <w:tabs>
          <w:tab w:val="left" w:pos="2268"/>
        </w:tabs>
        <w:rPr>
          <w:b/>
          <w:szCs w:val="22"/>
        </w:rPr>
      </w:pPr>
      <w:r w:rsidRPr="009577DE">
        <w:rPr>
          <w:b/>
          <w:szCs w:val="22"/>
        </w:rPr>
        <w:t>Director del Programa</w:t>
      </w:r>
      <w:r w:rsidRPr="009577DE">
        <w:rPr>
          <w:szCs w:val="22"/>
        </w:rPr>
        <w:tab/>
      </w:r>
      <w:r w:rsidRPr="009577DE">
        <w:rPr>
          <w:b/>
          <w:szCs w:val="22"/>
        </w:rPr>
        <w:t>Sr. J. C. Wichard</w:t>
      </w:r>
    </w:p>
    <w:p w:rsidR="00B070BF" w:rsidRPr="009577DE" w:rsidRDefault="00B070BF" w:rsidP="00B070BF">
      <w:pPr>
        <w:widowControl w:val="0"/>
        <w:rPr>
          <w:sz w:val="20"/>
        </w:rPr>
      </w:pPr>
    </w:p>
    <w:p w:rsidR="00B070BF" w:rsidRPr="009577DE" w:rsidRDefault="00B070BF" w:rsidP="00B070BF">
      <w:pPr>
        <w:widowControl w:val="0"/>
        <w:rPr>
          <w:bCs/>
          <w:sz w:val="20"/>
        </w:rPr>
      </w:pPr>
    </w:p>
    <w:p w:rsidR="00B070BF" w:rsidRPr="009577DE" w:rsidRDefault="00B070BF" w:rsidP="00B070BF">
      <w:pPr>
        <w:widowControl w:val="0"/>
        <w:spacing w:line="260" w:lineRule="atLeast"/>
        <w:rPr>
          <w:bCs/>
          <w:szCs w:val="22"/>
          <w:lang w:val="es-ES_tradnl"/>
        </w:rPr>
      </w:pPr>
      <w:r w:rsidRPr="009577DE">
        <w:rPr>
          <w:bCs/>
          <w:sz w:val="20"/>
          <w:szCs w:val="22"/>
        </w:rPr>
        <w:t>RESEÑA DE LOS AVANCES LOG</w:t>
      </w:r>
      <w:r w:rsidRPr="009577DE">
        <w:rPr>
          <w:bCs/>
          <w:sz w:val="20"/>
          <w:szCs w:val="22"/>
          <w:lang w:val="es-ES_tradnl"/>
        </w:rPr>
        <w:t>RADOS EN 2012</w:t>
      </w:r>
    </w:p>
    <w:p w:rsidR="00B070BF" w:rsidRPr="009577DE" w:rsidRDefault="00B070BF" w:rsidP="00B070BF">
      <w:pPr>
        <w:widowControl w:val="0"/>
        <w:jc w:val="both"/>
        <w:rPr>
          <w:szCs w:val="22"/>
          <w:lang w:val="es-ES_tradnl"/>
        </w:rPr>
      </w:pPr>
    </w:p>
    <w:p w:rsidR="00B070BF" w:rsidRPr="009577DE" w:rsidRDefault="00B070BF" w:rsidP="00B070BF">
      <w:pPr>
        <w:widowControl w:val="0"/>
        <w:numPr>
          <w:ilvl w:val="0"/>
          <w:numId w:val="11"/>
        </w:numPr>
        <w:autoSpaceDE w:val="0"/>
        <w:autoSpaceDN w:val="0"/>
        <w:adjustRightInd w:val="0"/>
        <w:jc w:val="both"/>
        <w:rPr>
          <w:sz w:val="20"/>
          <w:lang w:val="es-ES_tradnl"/>
        </w:rPr>
      </w:pPr>
      <w:r w:rsidRPr="009577DE">
        <w:rPr>
          <w:sz w:val="20"/>
          <w:lang w:val="es-ES_tradnl"/>
        </w:rPr>
        <w:t xml:space="preserve">El programa 19 avanzó de forma considerable durante 2012 en la puesta en marcha de las principales estrategias diseñadas para mejorar la distribución y la calidad de los contenidos producidos por la OMPI; para aumentar la visibilidad y la información disponible acerca de la labor que desempeña la Organización; y para generar una cultura propia en materia de comunicación y servicios.   Se logró avanzar en una serie de proyectos clave de mejora estratégica de las comunicaciones por Internet, de la imagen institucional, del servicio al cliente y de las comunicaciones a nivel interno. Además, se constató un aumento exponencial en el número de personas que acceden en todo el mundo a los contenidos exclusivos de la OMPI.  </w:t>
      </w:r>
    </w:p>
    <w:p w:rsidR="00B070BF" w:rsidRPr="009577DE" w:rsidRDefault="00B070BF" w:rsidP="00B070BF">
      <w:pPr>
        <w:widowControl w:val="0"/>
        <w:autoSpaceDE w:val="0"/>
        <w:autoSpaceDN w:val="0"/>
        <w:adjustRightInd w:val="0"/>
        <w:jc w:val="both"/>
        <w:rPr>
          <w:sz w:val="20"/>
          <w:lang w:val="es-ES_tradnl"/>
        </w:rPr>
      </w:pPr>
    </w:p>
    <w:p w:rsidR="00B070BF" w:rsidRPr="009577DE" w:rsidRDefault="00B070BF" w:rsidP="00B070BF">
      <w:pPr>
        <w:widowControl w:val="0"/>
        <w:numPr>
          <w:ilvl w:val="0"/>
          <w:numId w:val="11"/>
        </w:numPr>
        <w:autoSpaceDE w:val="0"/>
        <w:autoSpaceDN w:val="0"/>
        <w:adjustRightInd w:val="0"/>
        <w:jc w:val="both"/>
        <w:rPr>
          <w:sz w:val="20"/>
          <w:lang w:val="es-ES_tradnl"/>
        </w:rPr>
      </w:pPr>
      <w:r w:rsidRPr="009577DE">
        <w:rPr>
          <w:sz w:val="20"/>
          <w:lang w:val="es-ES_tradnl"/>
        </w:rPr>
        <w:t xml:space="preserve">Durante la segunda fase de la estrategia de la OMPI para los medios sociales, se crearon nuevos canales para facilitar la participación directa de las partes interesadas y </w:t>
      </w:r>
      <w:r w:rsidRPr="009577DE">
        <w:rPr>
          <w:sz w:val="20"/>
          <w:u w:val="single"/>
          <w:lang w:val="es-ES_tradnl"/>
        </w:rPr>
        <w:t>mejorar la distribución</w:t>
      </w:r>
      <w:r w:rsidRPr="009577DE">
        <w:rPr>
          <w:sz w:val="20"/>
          <w:lang w:val="es-ES_tradnl"/>
        </w:rPr>
        <w:t xml:space="preserve"> de los contenidos creados por la Organización para audiencias más amplias y especializadas: gracias a la presencia oficial de la OMPI en </w:t>
      </w:r>
      <w:proofErr w:type="spellStart"/>
      <w:r w:rsidRPr="009577DE">
        <w:rPr>
          <w:sz w:val="20"/>
          <w:lang w:val="es-ES_tradnl"/>
        </w:rPr>
        <w:t>Twitter</w:t>
      </w:r>
      <w:proofErr w:type="spellEnd"/>
      <w:r w:rsidRPr="009577DE">
        <w:rPr>
          <w:sz w:val="20"/>
          <w:lang w:val="es-ES_tradnl"/>
        </w:rPr>
        <w:t xml:space="preserve">, </w:t>
      </w:r>
      <w:proofErr w:type="spellStart"/>
      <w:r w:rsidRPr="009577DE">
        <w:rPr>
          <w:sz w:val="20"/>
          <w:lang w:val="es-ES_tradnl"/>
        </w:rPr>
        <w:t>Flickr</w:t>
      </w:r>
      <w:proofErr w:type="spellEnd"/>
      <w:r w:rsidRPr="009577DE">
        <w:rPr>
          <w:sz w:val="20"/>
          <w:lang w:val="es-ES_tradnl"/>
        </w:rPr>
        <w:t xml:space="preserve"> (intercambio de fotografías) y </w:t>
      </w:r>
      <w:proofErr w:type="spellStart"/>
      <w:r w:rsidRPr="009577DE">
        <w:rPr>
          <w:sz w:val="20"/>
          <w:lang w:val="es-ES_tradnl"/>
        </w:rPr>
        <w:t>Scribd</w:t>
      </w:r>
      <w:proofErr w:type="spellEnd"/>
      <w:r w:rsidRPr="009577DE">
        <w:rPr>
          <w:sz w:val="20"/>
          <w:lang w:val="es-ES_tradnl"/>
        </w:rPr>
        <w:t xml:space="preserve"> (intercambio de publicaciones) a partir de marzo de 2012, se generaron en </w:t>
      </w:r>
      <w:proofErr w:type="spellStart"/>
      <w:r w:rsidRPr="009577DE">
        <w:rPr>
          <w:sz w:val="20"/>
          <w:lang w:val="es-ES_tradnl"/>
        </w:rPr>
        <w:t>Twitter</w:t>
      </w:r>
      <w:proofErr w:type="spellEnd"/>
      <w:r w:rsidRPr="009577DE">
        <w:rPr>
          <w:sz w:val="20"/>
          <w:lang w:val="es-ES_tradnl"/>
        </w:rPr>
        <w:t xml:space="preserve"> más de 5,5 millones de impresiones potenciales de la OMPI, y su influencia en las redes sociales (medida por </w:t>
      </w:r>
      <w:proofErr w:type="spellStart"/>
      <w:r w:rsidRPr="009577DE">
        <w:rPr>
          <w:i/>
          <w:sz w:val="20"/>
          <w:lang w:val="es-ES_tradnl"/>
        </w:rPr>
        <w:t>Klout</w:t>
      </w:r>
      <w:proofErr w:type="spellEnd"/>
      <w:r w:rsidRPr="009577DE">
        <w:rPr>
          <w:sz w:val="20"/>
          <w:lang w:val="es-ES_tradnl"/>
        </w:rPr>
        <w:t>) ascendió a 62 a finales de año, superando a muchas instituciones similares cuya presencia en las redes sociales data de más tiempo. También se amplió el canal de YouTube de la Organización, aumentando el uso de vídeo como mecanismo fundamental para la distribución de contenidos dirigido a facilitar el acceso abierto a sus seminarios, reuniones y actos relacionados con la prensa.</w:t>
      </w:r>
    </w:p>
    <w:p w:rsidR="00B070BF" w:rsidRPr="009577DE" w:rsidRDefault="00B070BF" w:rsidP="00B070BF">
      <w:pPr>
        <w:widowControl w:val="0"/>
        <w:autoSpaceDE w:val="0"/>
        <w:autoSpaceDN w:val="0"/>
        <w:adjustRightInd w:val="0"/>
        <w:jc w:val="both"/>
        <w:rPr>
          <w:sz w:val="20"/>
          <w:lang w:val="es-ES_tradnl"/>
        </w:rPr>
      </w:pPr>
    </w:p>
    <w:p w:rsidR="00B070BF" w:rsidRPr="009577DE" w:rsidRDefault="00B070BF" w:rsidP="00B070BF">
      <w:pPr>
        <w:widowControl w:val="0"/>
        <w:numPr>
          <w:ilvl w:val="0"/>
          <w:numId w:val="11"/>
        </w:numPr>
        <w:autoSpaceDE w:val="0"/>
        <w:autoSpaceDN w:val="0"/>
        <w:adjustRightInd w:val="0"/>
        <w:jc w:val="both"/>
        <w:rPr>
          <w:sz w:val="20"/>
        </w:rPr>
      </w:pPr>
      <w:r w:rsidRPr="009577DE">
        <w:rPr>
          <w:sz w:val="20"/>
          <w:lang w:val="es-ES_tradnl"/>
        </w:rPr>
        <w:t xml:space="preserve">Se sentaron las bases para llevar a cabo una completa remodelación del sitio Web de la OMPI con el fin de adaptarse a las necesidades de las partes interesadas en la Organización.  Durante la fase de revisión se eliminaron los contenidos redundantes; se crearon sitios nuevos o se mejoraron las páginas dedicadas a 14 áreas (incluidas dos bases de datos); y se añadieron páginas de recursos sobre los perfiles de países que alojan contenidos dinámicos sobre más de 190 países procedentes de alrededor de veinte bases de datos subyacentes de la Organización, incluyendo datos estadísticos, información sobre la utilización de servicios, actividades de cooperación, casos prácticos, fotografías de eventos, etc. </w:t>
      </w:r>
      <w:r w:rsidRPr="009577DE">
        <w:rPr>
          <w:sz w:val="20"/>
        </w:rPr>
        <w:t>Se contrató además a tres expertos de reconocido prestigio para dirigir el desarrollo y la puesta en marcha durante 2013 de una estrategia de experiencia de usuario, una nueva arquitectura de la información y un diseño más ágil.</w:t>
      </w:r>
    </w:p>
    <w:p w:rsidR="00B070BF" w:rsidRPr="009577DE" w:rsidRDefault="00B070BF" w:rsidP="00B070BF">
      <w:pPr>
        <w:widowControl w:val="0"/>
        <w:autoSpaceDE w:val="0"/>
        <w:autoSpaceDN w:val="0"/>
        <w:adjustRightInd w:val="0"/>
        <w:jc w:val="both"/>
        <w:rPr>
          <w:sz w:val="20"/>
        </w:rPr>
      </w:pPr>
    </w:p>
    <w:p w:rsidR="00B070BF" w:rsidRPr="009577DE" w:rsidRDefault="00B070BF" w:rsidP="00B070BF">
      <w:pPr>
        <w:widowControl w:val="0"/>
        <w:numPr>
          <w:ilvl w:val="0"/>
          <w:numId w:val="11"/>
        </w:numPr>
        <w:autoSpaceDE w:val="0"/>
        <w:autoSpaceDN w:val="0"/>
        <w:adjustRightInd w:val="0"/>
        <w:jc w:val="both"/>
        <w:rPr>
          <w:sz w:val="20"/>
        </w:rPr>
      </w:pPr>
      <w:r w:rsidRPr="009577DE">
        <w:rPr>
          <w:sz w:val="20"/>
        </w:rPr>
        <w:t xml:space="preserve">La elaboración de </w:t>
      </w:r>
      <w:r w:rsidRPr="009577DE">
        <w:rPr>
          <w:sz w:val="20"/>
          <w:u w:val="single"/>
        </w:rPr>
        <w:t>contenidos de calidad</w:t>
      </w:r>
      <w:r w:rsidRPr="009577DE">
        <w:rPr>
          <w:sz w:val="20"/>
        </w:rPr>
        <w:t xml:space="preserve"> exclusivos y accesibles continuó siendo una actividad prioritaria. Se estableció una política de publicaciones y una comisión de publicaciones responsable de garantizar que todas las publicaciones de la OMPI cumplen con ciertas normas de calidad, pertinencia y utilidad. En respuesta a la demanda generalizada de comunicaciones más visuales, se diseñaron infografías llamativas y ricas en información con objeto de mejorar el acceso a los datos exclusivos que contienen algunos informes clave de la OMPI. El programa invirtió en la producción de contenidos fotográficos de calidad, creando galerías de imágenes en </w:t>
      </w:r>
      <w:proofErr w:type="spellStart"/>
      <w:r w:rsidRPr="009577DE">
        <w:rPr>
          <w:sz w:val="20"/>
        </w:rPr>
        <w:t>Flickr</w:t>
      </w:r>
      <w:proofErr w:type="spellEnd"/>
      <w:r w:rsidRPr="009577DE">
        <w:rPr>
          <w:sz w:val="20"/>
        </w:rPr>
        <w:t xml:space="preserve"> que aportan una visión gráfica y diferente de las actividades y eventos organizados por la OMPI. Durante los primeros nueve meses desde su fecha de creación, estas imágenes fueron consultadas más de 150.000 veces. El nuevo diseño del Informe del Director General a las Asambleas, que incorpora una narrativa en paralelo (“El año en imágenes”), hizo de ésta una publicación más eficaz para divulgar los logros alcanzados durante el año. El diseño gráfico también desempeñó un papel esencial en la actualización de la emblemática Revista de la OMPI, que suscitó comentarios muy positivos tanto en </w:t>
      </w:r>
      <w:proofErr w:type="spellStart"/>
      <w:r w:rsidRPr="009577DE">
        <w:rPr>
          <w:sz w:val="20"/>
        </w:rPr>
        <w:t>Twitter</w:t>
      </w:r>
      <w:proofErr w:type="spellEnd"/>
      <w:r w:rsidRPr="009577DE">
        <w:rPr>
          <w:sz w:val="20"/>
        </w:rPr>
        <w:t xml:space="preserve"> como por parte de los lectores de la versión impresa. Se crearon en total 24 vídeos nuevos, con más contenidos de tipo periodístico y noticias sobre la propiedad intelectual. Las cifras de visitantes en YouTube se dispararon gracias a la incorporación de las animaciones de “</w:t>
      </w:r>
      <w:proofErr w:type="spellStart"/>
      <w:r w:rsidRPr="009577DE">
        <w:rPr>
          <w:i/>
          <w:sz w:val="20"/>
        </w:rPr>
        <w:t>Pororo</w:t>
      </w:r>
      <w:proofErr w:type="spellEnd"/>
      <w:r w:rsidRPr="009577DE">
        <w:rPr>
          <w:sz w:val="20"/>
        </w:rPr>
        <w:t>” para niños, concluyendo el año con un incremento del número de visitas al canal superior al 400</w:t>
      </w:r>
      <w:r>
        <w:rPr>
          <w:sz w:val="20"/>
        </w:rPr>
        <w:t>%</w:t>
      </w:r>
      <w:r w:rsidRPr="009577DE">
        <w:rPr>
          <w:sz w:val="20"/>
        </w:rPr>
        <w:t xml:space="preserve"> con respecto al año 2011.</w:t>
      </w:r>
    </w:p>
    <w:p w:rsidR="00B070BF" w:rsidRPr="009577DE" w:rsidRDefault="00B070BF" w:rsidP="00B070BF">
      <w:pPr>
        <w:widowControl w:val="0"/>
        <w:autoSpaceDE w:val="0"/>
        <w:autoSpaceDN w:val="0"/>
        <w:adjustRightInd w:val="0"/>
        <w:jc w:val="both"/>
        <w:rPr>
          <w:sz w:val="20"/>
        </w:rPr>
      </w:pPr>
    </w:p>
    <w:p w:rsidR="00B070BF" w:rsidRPr="009577DE" w:rsidRDefault="00B070BF" w:rsidP="00B070BF">
      <w:pPr>
        <w:widowControl w:val="0"/>
        <w:numPr>
          <w:ilvl w:val="0"/>
          <w:numId w:val="11"/>
        </w:numPr>
        <w:autoSpaceDE w:val="0"/>
        <w:autoSpaceDN w:val="0"/>
        <w:adjustRightInd w:val="0"/>
        <w:jc w:val="both"/>
        <w:rPr>
          <w:sz w:val="20"/>
        </w:rPr>
      </w:pPr>
      <w:r w:rsidRPr="009577DE">
        <w:rPr>
          <w:sz w:val="20"/>
        </w:rPr>
        <w:t xml:space="preserve">Con objeto de aumentar la </w:t>
      </w:r>
      <w:r w:rsidRPr="009577DE">
        <w:rPr>
          <w:sz w:val="20"/>
          <w:u w:val="single"/>
        </w:rPr>
        <w:t>visibilidad</w:t>
      </w:r>
      <w:r w:rsidRPr="009577DE">
        <w:rPr>
          <w:sz w:val="20"/>
        </w:rPr>
        <w:t xml:space="preserve"> y difundir la labor que realiza la OMPI, seguimos trabajando en pos de una estrategia más integral para divulgar los principales eventos, productos y logros de la Organización. Por este motivo se </w:t>
      </w:r>
      <w:r w:rsidRPr="005E4DF5">
        <w:rPr>
          <w:sz w:val="20"/>
        </w:rPr>
        <w:t xml:space="preserve">adoptó una estructura más lógica para la transmisión de mensajes; se </w:t>
      </w:r>
      <w:r w:rsidRPr="005E4DF5">
        <w:rPr>
          <w:sz w:val="20"/>
        </w:rPr>
        <w:lastRenderedPageBreak/>
        <w:t>crearon contenidos originales y adaptados (editoriales, visuales y para la web) en seis idiomas; se cultivaron las relaciones con la prensa y las partes interesadas de la Organización</w:t>
      </w:r>
      <w:r w:rsidRPr="009577DE">
        <w:rPr>
          <w:sz w:val="20"/>
        </w:rPr>
        <w:t>; se invitó a personalidades conocidas a actuar como portavoces de la Organización; y se diseminaron contenidos empleando diversos canales.  Gracias a estos esfuerzos se logró una cobertura mediática notable a nivel internacional de la adopción del Tratado de Beijing; la publicación de Indicadores mundiales de P.I. (se produjo un aumento del 230</w:t>
      </w:r>
      <w:r>
        <w:rPr>
          <w:sz w:val="20"/>
        </w:rPr>
        <w:t>%</w:t>
      </w:r>
      <w:r w:rsidRPr="009577DE">
        <w:rPr>
          <w:sz w:val="20"/>
        </w:rPr>
        <w:t xml:space="preserve"> en el número de consultas del comunicado de prensa de 2012 con respecto a la cifra </w:t>
      </w:r>
      <w:r>
        <w:rPr>
          <w:sz w:val="20"/>
        </w:rPr>
        <w:t>d</w:t>
      </w:r>
      <w:r w:rsidRPr="009577DE">
        <w:rPr>
          <w:sz w:val="20"/>
        </w:rPr>
        <w:t>e 2011); y la publicación del Índice mundial de innovación (un incremento del 435</w:t>
      </w:r>
      <w:r>
        <w:rPr>
          <w:sz w:val="20"/>
        </w:rPr>
        <w:t>%</w:t>
      </w:r>
      <w:r w:rsidRPr="009577DE">
        <w:rPr>
          <w:sz w:val="20"/>
        </w:rPr>
        <w:t xml:space="preserve"> con respecto a 2011). </w:t>
      </w:r>
    </w:p>
    <w:p w:rsidR="00B070BF" w:rsidRPr="009577DE" w:rsidRDefault="00B070BF" w:rsidP="00B070BF">
      <w:pPr>
        <w:widowControl w:val="0"/>
        <w:autoSpaceDE w:val="0"/>
        <w:autoSpaceDN w:val="0"/>
        <w:adjustRightInd w:val="0"/>
        <w:jc w:val="both"/>
        <w:rPr>
          <w:sz w:val="20"/>
        </w:rPr>
      </w:pPr>
    </w:p>
    <w:p w:rsidR="00B070BF" w:rsidRPr="009577DE" w:rsidRDefault="00B070BF" w:rsidP="00B070BF">
      <w:pPr>
        <w:widowControl w:val="0"/>
        <w:numPr>
          <w:ilvl w:val="0"/>
          <w:numId w:val="11"/>
        </w:numPr>
        <w:autoSpaceDE w:val="0"/>
        <w:autoSpaceDN w:val="0"/>
        <w:adjustRightInd w:val="0"/>
        <w:jc w:val="both"/>
        <w:rPr>
          <w:sz w:val="20"/>
        </w:rPr>
      </w:pPr>
      <w:r w:rsidRPr="009577DE">
        <w:rPr>
          <w:sz w:val="20"/>
        </w:rPr>
        <w:t xml:space="preserve">De todas las actividades anuales de </w:t>
      </w:r>
      <w:r w:rsidRPr="009577DE">
        <w:rPr>
          <w:sz w:val="20"/>
          <w:u w:val="single"/>
        </w:rPr>
        <w:t>divulgación</w:t>
      </w:r>
      <w:r w:rsidRPr="009577DE">
        <w:rPr>
          <w:sz w:val="20"/>
        </w:rPr>
        <w:t xml:space="preserve"> desarrolladas por la OMPI, la más popular es la campaña del Día Mundial de la Propiedad Intelectual. Con objeto de reforzar el compromiso y el sentido de apropiación entre el público en general, la OMPI prestó una especial atención a las comunicaciones basadas en las redes sociales. Más de 5.000 personas se sumaron a la campaña del Día Mundial de la P.I. en Facebook (el doble que en 2011), de las cuales un gran número procedían de </w:t>
      </w:r>
      <w:r w:rsidRPr="009577DE">
        <w:rPr>
          <w:rFonts w:eastAsia="MS Mincho" w:cs="ArialMT"/>
          <w:sz w:val="20"/>
          <w:lang w:eastAsia="ja-JP" w:bidi="th-TH"/>
        </w:rPr>
        <w:t>países en desarrollo</w:t>
      </w:r>
      <w:r w:rsidRPr="009577DE">
        <w:rPr>
          <w:sz w:val="20"/>
        </w:rPr>
        <w:t xml:space="preserve">. El “alcance semanal de la página del Día Mundial de la Propiedad Intelectual en Facebook” superó las 86.000 personas, y el </w:t>
      </w:r>
      <w:proofErr w:type="spellStart"/>
      <w:r w:rsidRPr="009577DE">
        <w:rPr>
          <w:sz w:val="20"/>
        </w:rPr>
        <w:t>tweet</w:t>
      </w:r>
      <w:proofErr w:type="spellEnd"/>
      <w:r w:rsidRPr="009577DE">
        <w:rPr>
          <w:sz w:val="20"/>
        </w:rPr>
        <w:t xml:space="preserve"> más popular con motivo de estas celebraciones alcanzó 1,05 millones de impresiones potenciales. La OMPI aprovechó la exposición dedicada a las patentes de Steve Jobs en el Día Mundial de la P.I. para crear una serie de contenidos interesantes (editoriales, de diseño, fotográficos, de vídeo y de web) sobre el tema “</w:t>
      </w:r>
      <w:r w:rsidRPr="009577DE">
        <w:rPr>
          <w:i/>
          <w:sz w:val="20"/>
        </w:rPr>
        <w:t>Innovadores visionarios”,</w:t>
      </w:r>
      <w:r w:rsidRPr="009577DE">
        <w:rPr>
          <w:sz w:val="20"/>
        </w:rPr>
        <w:t xml:space="preserve"> ampliamente difundido en la prensa, Internet y las redes sociales.  El programa de premios de la OMPI concedió además 220 galardones a las actividades de divulgación de ámbito nacional más destacadas de 2012. En respuesta a las solicitudes formuladas por los </w:t>
      </w:r>
      <w:r w:rsidRPr="009577DE">
        <w:rPr>
          <w:sz w:val="20"/>
          <w:lang w:bidi="th-TH"/>
        </w:rPr>
        <w:t>Estados miembros,</w:t>
      </w:r>
      <w:r w:rsidRPr="009577DE">
        <w:rPr>
          <w:sz w:val="20"/>
        </w:rPr>
        <w:t xml:space="preserve"> se inauguraron 26 bibliotecas depositarias en varios países en desarrollo y en transición.  La OMPI involucró a la comunidad ginebrina en eventos culturales diseñados para poner de manifiesto la conexión existente entre la propiedad intelectual y la producción cultural, entre los cuales cabe mencionar el festival de cine indio, que logró llenar la Sala A durante cuatro noches consecutivas. </w:t>
      </w:r>
    </w:p>
    <w:p w:rsidR="00B070BF" w:rsidRPr="009577DE" w:rsidRDefault="00B070BF" w:rsidP="00B070BF">
      <w:pPr>
        <w:widowControl w:val="0"/>
        <w:autoSpaceDE w:val="0"/>
        <w:autoSpaceDN w:val="0"/>
        <w:adjustRightInd w:val="0"/>
        <w:jc w:val="both"/>
        <w:rPr>
          <w:sz w:val="20"/>
        </w:rPr>
      </w:pPr>
    </w:p>
    <w:p w:rsidR="00B070BF" w:rsidRPr="009577DE" w:rsidRDefault="00B070BF" w:rsidP="00B070BF">
      <w:pPr>
        <w:widowControl w:val="0"/>
        <w:numPr>
          <w:ilvl w:val="0"/>
          <w:numId w:val="11"/>
        </w:numPr>
        <w:autoSpaceDE w:val="0"/>
        <w:autoSpaceDN w:val="0"/>
        <w:adjustRightInd w:val="0"/>
        <w:jc w:val="both"/>
        <w:rPr>
          <w:sz w:val="20"/>
        </w:rPr>
      </w:pPr>
      <w:r w:rsidRPr="009577DE">
        <w:rPr>
          <w:sz w:val="20"/>
        </w:rPr>
        <w:t xml:space="preserve">El programa llevó a cabo un proyecto estratégico para definir y articular los elementos que conforman la “marca” o </w:t>
      </w:r>
      <w:r w:rsidRPr="009577DE">
        <w:rPr>
          <w:sz w:val="20"/>
          <w:u w:val="single"/>
        </w:rPr>
        <w:t>imagen institucional</w:t>
      </w:r>
      <w:r w:rsidRPr="009577DE">
        <w:rPr>
          <w:sz w:val="20"/>
        </w:rPr>
        <w:t xml:space="preserve"> de la OMPI. El proyecto arrancó con una encuesta sobre las impresiones acerca de la OMPI (la primera en la historia de la Organización) destinada a conocer mejor la opinión que tienen de la institución las partes interesadas internas y externas y a identificar los principales desafíos existentes en materia de comunicaciones. Se elaboró un plan estratégico para 2013 cuyo objetivo es aumentar la claridad y la coherencia con que se expresan a nivel tanto verbal como visual la identidad, la función, la misión, la visión y los valores de la Organización en sus comunicaciones externas e internas. </w:t>
      </w:r>
    </w:p>
    <w:p w:rsidR="00B070BF" w:rsidRPr="009577DE" w:rsidRDefault="00B070BF" w:rsidP="00B070BF">
      <w:pPr>
        <w:widowControl w:val="0"/>
        <w:autoSpaceDE w:val="0"/>
        <w:autoSpaceDN w:val="0"/>
        <w:adjustRightInd w:val="0"/>
        <w:jc w:val="both"/>
        <w:rPr>
          <w:sz w:val="20"/>
        </w:rPr>
      </w:pPr>
    </w:p>
    <w:p w:rsidR="00B070BF" w:rsidRPr="009577DE" w:rsidRDefault="00B070BF" w:rsidP="00B070BF">
      <w:pPr>
        <w:widowControl w:val="0"/>
        <w:numPr>
          <w:ilvl w:val="0"/>
          <w:numId w:val="11"/>
        </w:numPr>
        <w:autoSpaceDE w:val="0"/>
        <w:autoSpaceDN w:val="0"/>
        <w:adjustRightInd w:val="0"/>
        <w:jc w:val="both"/>
        <w:rPr>
          <w:b/>
          <w:sz w:val="20"/>
        </w:rPr>
      </w:pPr>
      <w:r w:rsidRPr="009577DE">
        <w:rPr>
          <w:sz w:val="20"/>
        </w:rPr>
        <w:t xml:space="preserve">El programa contribuyó a mejorar las </w:t>
      </w:r>
      <w:r w:rsidRPr="009577DE">
        <w:rPr>
          <w:sz w:val="20"/>
          <w:u w:val="single"/>
        </w:rPr>
        <w:t>comunicaciones internas</w:t>
      </w:r>
      <w:r w:rsidRPr="009577DE">
        <w:rPr>
          <w:sz w:val="20"/>
        </w:rPr>
        <w:t xml:space="preserve"> a lo largo y ancho de la Organización mediante la puesta en práctica de las recomendaciones formuladas por su personal en el marco de la iniciativa en materia de comunicaciones internas del PAE. Las actuaciones resultantes se centraron primero en fomentar el compromiso del personal a través de mecanismos concretos concebidos para facilitar las comunicaciones horizontales de carácter informal entre los distintos sectores y superar la cultura de “compartimentos estancos”; y luego en establecer unas comunicaciones verticales más regulares y directas entre la directiva y el personal a todos los niveles. Los comentarios recibidos de los empleados de la Organización fueron muy positivos: el 75</w:t>
      </w:r>
      <w:r>
        <w:rPr>
          <w:sz w:val="20"/>
        </w:rPr>
        <w:t>%</w:t>
      </w:r>
      <w:r w:rsidRPr="009577DE">
        <w:rPr>
          <w:sz w:val="20"/>
        </w:rPr>
        <w:t xml:space="preserve"> de los entrevistados durante una encuesta realizada a nivel interno afirmó que la iniciativa mensual “Novedades” había contribuido a mejorar las comunicaciones internas en la OMPI y la mayoría de los encuestados valoró también de forma positiva la puesta en marcha de otras diez iniciativas.</w:t>
      </w:r>
    </w:p>
    <w:p w:rsidR="00B070BF" w:rsidRPr="009577DE" w:rsidRDefault="00B070BF" w:rsidP="00B070BF">
      <w:pPr>
        <w:widowControl w:val="0"/>
        <w:autoSpaceDE w:val="0"/>
        <w:autoSpaceDN w:val="0"/>
        <w:adjustRightInd w:val="0"/>
        <w:jc w:val="both"/>
        <w:rPr>
          <w:sz w:val="20"/>
        </w:rPr>
      </w:pPr>
    </w:p>
    <w:p w:rsidR="00B070BF" w:rsidRPr="009577DE" w:rsidRDefault="00B070BF" w:rsidP="00B070BF">
      <w:pPr>
        <w:widowControl w:val="0"/>
        <w:numPr>
          <w:ilvl w:val="0"/>
          <w:numId w:val="11"/>
        </w:numPr>
        <w:autoSpaceDE w:val="0"/>
        <w:autoSpaceDN w:val="0"/>
        <w:adjustRightInd w:val="0"/>
        <w:jc w:val="both"/>
        <w:rPr>
          <w:sz w:val="20"/>
        </w:rPr>
      </w:pPr>
      <w:r w:rsidRPr="009577DE">
        <w:rPr>
          <w:sz w:val="20"/>
        </w:rPr>
        <w:t xml:space="preserve">El centro de </w:t>
      </w:r>
      <w:r w:rsidRPr="009577DE">
        <w:rPr>
          <w:sz w:val="20"/>
          <w:u w:val="single"/>
        </w:rPr>
        <w:t>servicios al cliente</w:t>
      </w:r>
      <w:r w:rsidRPr="009577DE">
        <w:rPr>
          <w:sz w:val="20"/>
        </w:rPr>
        <w:t xml:space="preserve"> atendió a más de 6.000 consultas. Se lograron avances considerables en la atención que presta el personal por teléfono, Internet y correo electrónico, y en particular su capacidad de respuesta a las consultas registradas, estableciéndose un servicio accesible las 24 horas del día que deriva a las oficinas externas de la OMPI las consultas recibidas fuera del horario de atención al público. Se puso en marcha un programa de formación destinado a mejorar la sensibilización y las habilidades del personal que recibió una buena acogida; y se facilitaron herramientas y guías prácticas para aumentar su rendimiento. En 2012 recibieron formación más de 250 empleados. Los efectos positivos del programa de servicio al cliente pudieron constatarse en los resultados de las encuestas externas, en el aumento de las tasas de respuesta por vía telefónica y en la reducción del número de quejas recibidas con relación al servicio. Si bien la falta de un modelo básico de gobernanza en todo lo relacionado con los servicios al cliente se ha traducido en una coordinación intersectorial deficiente, las conclusiones de la encuesta sobre prioridades centrales al personal, parte del PAE, revelaron la existencia de una corriente de cambio cultural que ponen de relieve las valoraciones positivas del personal acerca de la prestación óptima de servicios de la OMPI (del 53</w:t>
      </w:r>
      <w:r>
        <w:rPr>
          <w:sz w:val="20"/>
        </w:rPr>
        <w:t>%</w:t>
      </w:r>
      <w:r w:rsidRPr="009577DE">
        <w:rPr>
          <w:sz w:val="20"/>
        </w:rPr>
        <w:t xml:space="preserve"> </w:t>
      </w:r>
      <w:r w:rsidRPr="009577DE">
        <w:rPr>
          <w:sz w:val="20"/>
        </w:rPr>
        <w:lastRenderedPageBreak/>
        <w:t>en</w:t>
      </w:r>
      <w:r>
        <w:rPr>
          <w:sz w:val="20"/>
        </w:rPr>
        <w:t> </w:t>
      </w:r>
      <w:r w:rsidRPr="009577DE">
        <w:rPr>
          <w:sz w:val="20"/>
        </w:rPr>
        <w:t>2011 al 61</w:t>
      </w:r>
      <w:r>
        <w:rPr>
          <w:sz w:val="20"/>
        </w:rPr>
        <w:t>%</w:t>
      </w:r>
      <w:r w:rsidRPr="009577DE">
        <w:rPr>
          <w:sz w:val="20"/>
        </w:rPr>
        <w:t xml:space="preserve"> en 2012). La primera encuesta realizada por la Organización para medir el grado de satisfacción de los clientes externos con respecto a la prestación de servicios de la OMPI recurrió a una nueva metodología para evaluar los cocientes de satisfacción entre los clientes de Madrid, La Haya y Finanzas, y generó valores de referencia reales para muchos indicadores.</w:t>
      </w:r>
    </w:p>
    <w:p w:rsidR="00B070BF" w:rsidRPr="009577DE" w:rsidRDefault="00B070BF" w:rsidP="00B070BF">
      <w:pPr>
        <w:widowControl w:val="0"/>
        <w:autoSpaceDE w:val="0"/>
        <w:autoSpaceDN w:val="0"/>
        <w:adjustRightInd w:val="0"/>
        <w:rPr>
          <w:i/>
          <w:szCs w:val="22"/>
        </w:rPr>
      </w:pPr>
    </w:p>
    <w:p w:rsidR="00B070BF" w:rsidRPr="009577DE" w:rsidRDefault="00B070BF" w:rsidP="00B070BF">
      <w:pPr>
        <w:widowControl w:val="0"/>
        <w:autoSpaceDE w:val="0"/>
        <w:autoSpaceDN w:val="0"/>
        <w:adjustRightInd w:val="0"/>
        <w:rPr>
          <w:i/>
          <w:szCs w:val="22"/>
        </w:rPr>
      </w:pPr>
    </w:p>
    <w:p w:rsidR="00B070BF" w:rsidRPr="009577DE" w:rsidRDefault="00B070BF" w:rsidP="00B070BF">
      <w:pPr>
        <w:widowControl w:val="0"/>
        <w:jc w:val="both"/>
        <w:rPr>
          <w:bCs/>
          <w:szCs w:val="22"/>
          <w:lang w:val="es-ES_tradnl"/>
        </w:rPr>
      </w:pPr>
      <w:r w:rsidRPr="009577DE">
        <w:rPr>
          <w:bCs/>
          <w:sz w:val="20"/>
          <w:szCs w:val="22"/>
          <w:lang w:val="es-ES_tradnl"/>
        </w:rPr>
        <w:t xml:space="preserve">APLICACIÓN DE LA AGENDA PARA EL DESARROLLO </w:t>
      </w:r>
    </w:p>
    <w:p w:rsidR="00B070BF" w:rsidRPr="009577DE" w:rsidRDefault="00B070BF" w:rsidP="00B070BF">
      <w:pPr>
        <w:widowControl w:val="0"/>
        <w:jc w:val="both"/>
        <w:rPr>
          <w:bCs/>
          <w:szCs w:val="22"/>
          <w:lang w:val="es-ES_tradnl"/>
        </w:rPr>
      </w:pPr>
    </w:p>
    <w:p w:rsidR="00B070BF" w:rsidRPr="009577DE" w:rsidRDefault="00B070BF" w:rsidP="00B070BF">
      <w:pPr>
        <w:widowControl w:val="0"/>
        <w:numPr>
          <w:ilvl w:val="0"/>
          <w:numId w:val="11"/>
        </w:numPr>
        <w:autoSpaceDE w:val="0"/>
        <w:autoSpaceDN w:val="0"/>
        <w:adjustRightInd w:val="0"/>
        <w:jc w:val="both"/>
        <w:rPr>
          <w:bCs/>
          <w:sz w:val="20"/>
          <w:lang w:val="es-ES_tradnl"/>
        </w:rPr>
      </w:pPr>
      <w:r w:rsidRPr="009577DE">
        <w:rPr>
          <w:bCs/>
          <w:sz w:val="20"/>
          <w:lang w:val="es-ES_tradnl"/>
        </w:rPr>
        <w:t xml:space="preserve">El diseño, la planificación y la ejecución de las actividades del programa 19 se basaron en las recomendaciones pertinentes de la Agenda para el Desarrollo. Se diseñaron actividades específicamente destinadas a mejorar el grado de sensibilización en los </w:t>
      </w:r>
      <w:r w:rsidRPr="009577DE">
        <w:rPr>
          <w:rFonts w:eastAsia="MS Mincho" w:cs="ArialMT"/>
          <w:sz w:val="20"/>
          <w:lang w:val="es-ES_tradnl" w:eastAsia="ja-JP" w:bidi="th-TH"/>
        </w:rPr>
        <w:t>países en desarrollo</w:t>
      </w:r>
      <w:r w:rsidRPr="009577DE">
        <w:rPr>
          <w:bCs/>
          <w:sz w:val="20"/>
          <w:lang w:val="es-ES_tradnl"/>
        </w:rPr>
        <w:t xml:space="preserve"> y los PMA acerca de la importancia y las ventajas que entraña el sistema de derechos de propiedad intelectual. La OMPI siguió ampliando la base de datos de casos prácticos </w:t>
      </w:r>
      <w:r w:rsidRPr="009577DE">
        <w:rPr>
          <w:bCs/>
          <w:i/>
          <w:sz w:val="20"/>
          <w:lang w:val="es-ES_tradnl"/>
        </w:rPr>
        <w:t xml:space="preserve">IP </w:t>
      </w:r>
      <w:proofErr w:type="spellStart"/>
      <w:r w:rsidRPr="009577DE">
        <w:rPr>
          <w:bCs/>
          <w:i/>
          <w:sz w:val="20"/>
          <w:lang w:val="es-ES_tradnl"/>
        </w:rPr>
        <w:t>Advantage</w:t>
      </w:r>
      <w:proofErr w:type="spellEnd"/>
      <w:r w:rsidRPr="009577DE">
        <w:rPr>
          <w:bCs/>
          <w:sz w:val="20"/>
          <w:lang w:val="es-ES_tradnl"/>
        </w:rPr>
        <w:t>, una iniciativa de la Agenda para el Desarrollo respaldada por el CDIP.  Asimismo, facilitó apoyo a las comunicaciones (editoriales, diseño, vídeo e Internet) relacionadas con numerosos productos derivados de la Agenda para el Desarrollo y con los resultados obtenidos gracias a otros programas de la Organización.</w:t>
      </w:r>
    </w:p>
    <w:p w:rsidR="00B070BF" w:rsidRPr="003F2245" w:rsidRDefault="00B070BF" w:rsidP="00B070BF">
      <w:pPr>
        <w:widowControl w:val="0"/>
        <w:autoSpaceDE w:val="0"/>
        <w:autoSpaceDN w:val="0"/>
        <w:adjustRightInd w:val="0"/>
        <w:rPr>
          <w:bCs/>
          <w:sz w:val="20"/>
          <w:lang w:val="es-ES_tradnl"/>
        </w:rPr>
      </w:pPr>
    </w:p>
    <w:p w:rsidR="00B070BF" w:rsidRPr="003F2245" w:rsidRDefault="00B070BF" w:rsidP="00B070BF">
      <w:pPr>
        <w:widowControl w:val="0"/>
        <w:autoSpaceDE w:val="0"/>
        <w:autoSpaceDN w:val="0"/>
        <w:adjustRightInd w:val="0"/>
        <w:rPr>
          <w:bCs/>
          <w:sz w:val="20"/>
          <w:lang w:val="es-ES_tradnl"/>
        </w:rPr>
      </w:pPr>
    </w:p>
    <w:p w:rsidR="00B070BF" w:rsidRPr="003F2245" w:rsidRDefault="00B070BF" w:rsidP="00B070BF">
      <w:pPr>
        <w:widowControl w:val="0"/>
        <w:autoSpaceDE w:val="0"/>
        <w:autoSpaceDN w:val="0"/>
        <w:adjustRightInd w:val="0"/>
        <w:rPr>
          <w:bCs/>
          <w:sz w:val="20"/>
          <w:lang w:val="es-ES_tradnl"/>
        </w:rPr>
      </w:pPr>
      <w:r w:rsidRPr="003F2245">
        <w:rPr>
          <w:bCs/>
          <w:sz w:val="20"/>
          <w:lang w:val="es-ES_tradnl"/>
        </w:rPr>
        <w:t>DATOS SOBRE EL RENDIMIENTO</w:t>
      </w:r>
    </w:p>
    <w:p w:rsidR="00B070BF" w:rsidRPr="003F2245" w:rsidRDefault="00B070BF" w:rsidP="00B070BF">
      <w:pPr>
        <w:widowControl w:val="0"/>
        <w:jc w:val="both"/>
        <w:rPr>
          <w:sz w:val="20"/>
          <w:lang w:val="es-ES_tradnl"/>
        </w:rPr>
      </w:pPr>
    </w:p>
    <w:tbl>
      <w:tblPr>
        <w:tblW w:w="5000" w:type="pct"/>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823"/>
        <w:gridCol w:w="1486"/>
        <w:gridCol w:w="1698"/>
        <w:gridCol w:w="3485"/>
        <w:gridCol w:w="1079"/>
      </w:tblGrid>
      <w:tr w:rsidR="00B070BF" w:rsidRPr="009577DE" w:rsidTr="00C33D4A">
        <w:trPr>
          <w:cantSplit/>
        </w:trPr>
        <w:tc>
          <w:tcPr>
            <w:tcW w:w="5000" w:type="pct"/>
            <w:gridSpan w:val="5"/>
            <w:tcBorders>
              <w:top w:val="single" w:sz="4" w:space="0" w:color="auto"/>
              <w:bottom w:val="single" w:sz="4" w:space="0" w:color="auto"/>
            </w:tcBorders>
            <w:shd w:val="clear" w:color="auto" w:fill="CCFFFF"/>
            <w:vAlign w:val="center"/>
          </w:tcPr>
          <w:p w:rsidR="00B070BF" w:rsidRPr="009577DE" w:rsidRDefault="00B070BF" w:rsidP="00C33D4A">
            <w:pPr>
              <w:widowControl w:val="0"/>
              <w:tabs>
                <w:tab w:val="left" w:pos="1452"/>
              </w:tabs>
              <w:spacing w:before="120" w:after="120"/>
              <w:ind w:left="1452" w:hanging="1452"/>
              <w:rPr>
                <w:b/>
                <w:bCs/>
                <w:sz w:val="16"/>
                <w:szCs w:val="16"/>
                <w:lang w:val="es-ES_tradnl"/>
              </w:rPr>
            </w:pPr>
            <w:r w:rsidRPr="009577DE">
              <w:rPr>
                <w:b/>
                <w:bCs/>
                <w:sz w:val="16"/>
                <w:szCs w:val="16"/>
                <w:lang w:val="es-ES_tradnl"/>
              </w:rPr>
              <w:t>Resultado previsto:</w:t>
            </w:r>
            <w:r w:rsidRPr="009577DE">
              <w:rPr>
                <w:b/>
                <w:bCs/>
                <w:sz w:val="16"/>
                <w:szCs w:val="16"/>
                <w:lang w:val="es-ES_tradnl"/>
              </w:rPr>
              <w:tab/>
            </w:r>
            <w:r w:rsidRPr="009577DE">
              <w:rPr>
                <w:bCs/>
                <w:sz w:val="16"/>
                <w:szCs w:val="16"/>
                <w:lang w:val="es-ES_tradnl"/>
              </w:rPr>
              <w:t xml:space="preserve"> Comunicación más eficaz con el público en general acerca de la P.I. y la función de la OMPI.</w:t>
            </w:r>
          </w:p>
        </w:tc>
      </w:tr>
      <w:tr w:rsidR="00B070BF" w:rsidRPr="009577DE" w:rsidTr="00C33D4A">
        <w:trPr>
          <w:cantSplit/>
        </w:trPr>
        <w:tc>
          <w:tcPr>
            <w:tcW w:w="959" w:type="pct"/>
            <w:tcBorders>
              <w:top w:val="single" w:sz="4" w:space="0" w:color="auto"/>
            </w:tcBorders>
            <w:shd w:val="clear" w:color="auto" w:fill="auto"/>
            <w:vAlign w:val="center"/>
          </w:tcPr>
          <w:p w:rsidR="00B070BF" w:rsidRPr="009577DE" w:rsidRDefault="00B070BF" w:rsidP="00C33D4A">
            <w:pPr>
              <w:widowControl w:val="0"/>
              <w:spacing w:after="120"/>
              <w:rPr>
                <w:sz w:val="16"/>
                <w:szCs w:val="16"/>
                <w:lang w:val="es-ES_tradnl"/>
              </w:rPr>
            </w:pPr>
            <w:r w:rsidRPr="009577DE">
              <w:rPr>
                <w:b/>
                <w:bCs/>
                <w:sz w:val="16"/>
                <w:szCs w:val="16"/>
                <w:lang w:val="es-ES_tradnl"/>
              </w:rPr>
              <w:t>Indicadores de rendimiento</w:t>
            </w:r>
          </w:p>
        </w:tc>
        <w:tc>
          <w:tcPr>
            <w:tcW w:w="783" w:type="pct"/>
            <w:tcBorders>
              <w:top w:val="single" w:sz="4" w:space="0" w:color="auto"/>
            </w:tcBorders>
            <w:shd w:val="clear" w:color="auto" w:fill="C0C0C0"/>
          </w:tcPr>
          <w:p w:rsidR="00B070BF" w:rsidRPr="009577DE" w:rsidRDefault="00B070BF" w:rsidP="00C33D4A">
            <w:pPr>
              <w:widowControl w:val="0"/>
              <w:spacing w:after="120"/>
              <w:rPr>
                <w:b/>
                <w:bCs/>
                <w:sz w:val="16"/>
                <w:szCs w:val="16"/>
                <w:lang w:val="es-ES_tradnl"/>
              </w:rPr>
            </w:pPr>
            <w:r w:rsidRPr="009577DE">
              <w:rPr>
                <w:b/>
                <w:bCs/>
                <w:sz w:val="16"/>
                <w:szCs w:val="16"/>
                <w:lang w:val="es-ES_tradnl"/>
              </w:rPr>
              <w:t>Referencia (</w:t>
            </w:r>
            <w:proofErr w:type="spellStart"/>
            <w:r w:rsidRPr="009577DE">
              <w:rPr>
                <w:b/>
                <w:bCs/>
                <w:sz w:val="16"/>
                <w:szCs w:val="16"/>
                <w:lang w:val="es-ES_tradnl"/>
              </w:rPr>
              <w:t>Presup</w:t>
            </w:r>
            <w:proofErr w:type="spellEnd"/>
            <w:r w:rsidRPr="009577DE">
              <w:rPr>
                <w:b/>
                <w:bCs/>
                <w:sz w:val="16"/>
                <w:szCs w:val="16"/>
                <w:lang w:val="es-ES_tradnl"/>
              </w:rPr>
              <w:t xml:space="preserve">. por </w:t>
            </w:r>
            <w:proofErr w:type="spellStart"/>
            <w:r w:rsidRPr="009577DE">
              <w:rPr>
                <w:b/>
                <w:bCs/>
                <w:sz w:val="16"/>
                <w:szCs w:val="16"/>
                <w:lang w:val="es-ES_tradnl"/>
              </w:rPr>
              <w:t>prog</w:t>
            </w:r>
            <w:proofErr w:type="spellEnd"/>
            <w:r w:rsidRPr="009577DE">
              <w:rPr>
                <w:b/>
                <w:bCs/>
                <w:sz w:val="16"/>
                <w:szCs w:val="16"/>
                <w:lang w:val="es-ES_tradnl"/>
              </w:rPr>
              <w:t>. 20112/13)</w:t>
            </w:r>
          </w:p>
        </w:tc>
        <w:tc>
          <w:tcPr>
            <w:tcW w:w="894" w:type="pct"/>
            <w:tcBorders>
              <w:top w:val="single" w:sz="4" w:space="0" w:color="auto"/>
            </w:tcBorders>
            <w:shd w:val="clear" w:color="auto" w:fill="auto"/>
            <w:tcMar>
              <w:top w:w="110" w:type="dxa"/>
            </w:tcMar>
            <w:vAlign w:val="center"/>
          </w:tcPr>
          <w:p w:rsidR="00B070BF" w:rsidRPr="009577DE" w:rsidRDefault="00B070BF" w:rsidP="00C33D4A">
            <w:pPr>
              <w:widowControl w:val="0"/>
              <w:spacing w:after="120"/>
              <w:rPr>
                <w:b/>
                <w:sz w:val="16"/>
                <w:szCs w:val="16"/>
                <w:lang w:val="es-ES_tradnl"/>
              </w:rPr>
            </w:pPr>
            <w:r w:rsidRPr="00BF138D">
              <w:rPr>
                <w:b/>
                <w:color w:val="993300"/>
                <w:sz w:val="16"/>
                <w:szCs w:val="16"/>
                <w:lang w:val="es-ES_tradnl"/>
              </w:rPr>
              <w:t>Referencia actualizada a finales de 2011</w:t>
            </w:r>
            <w:r w:rsidRPr="009577DE">
              <w:rPr>
                <w:b/>
                <w:sz w:val="16"/>
                <w:szCs w:val="16"/>
                <w:lang w:val="es-ES_tradnl"/>
              </w:rPr>
              <w:t xml:space="preserve"> </w:t>
            </w:r>
          </w:p>
        </w:tc>
        <w:tc>
          <w:tcPr>
            <w:tcW w:w="1827" w:type="pct"/>
            <w:tcBorders>
              <w:top w:val="single" w:sz="4" w:space="0" w:color="auto"/>
            </w:tcBorders>
            <w:shd w:val="clear" w:color="auto" w:fill="FFFFFF"/>
            <w:tcMar>
              <w:top w:w="110" w:type="dxa"/>
            </w:tcMar>
            <w:vAlign w:val="center"/>
          </w:tcPr>
          <w:p w:rsidR="00B070BF" w:rsidRPr="009577DE" w:rsidRDefault="00B070BF" w:rsidP="00C33D4A">
            <w:pPr>
              <w:widowControl w:val="0"/>
              <w:spacing w:after="120"/>
              <w:rPr>
                <w:sz w:val="16"/>
                <w:szCs w:val="16"/>
                <w:lang w:val="es-ES_tradnl"/>
              </w:rPr>
            </w:pPr>
            <w:r w:rsidRPr="009577DE">
              <w:rPr>
                <w:b/>
                <w:bCs/>
                <w:sz w:val="16"/>
                <w:szCs w:val="16"/>
                <w:lang w:val="es-ES_tradnl"/>
              </w:rPr>
              <w:t>Datos sobre el rendimiento</w:t>
            </w:r>
          </w:p>
        </w:tc>
        <w:tc>
          <w:tcPr>
            <w:tcW w:w="537" w:type="pct"/>
            <w:tcBorders>
              <w:top w:val="single" w:sz="4" w:space="0" w:color="auto"/>
            </w:tcBorders>
            <w:shd w:val="clear" w:color="auto" w:fill="auto"/>
            <w:tcMar>
              <w:top w:w="110" w:type="dxa"/>
            </w:tcMar>
            <w:vAlign w:val="center"/>
          </w:tcPr>
          <w:p w:rsidR="00B070BF" w:rsidRPr="009577DE" w:rsidRDefault="00B070BF" w:rsidP="00C33D4A">
            <w:pPr>
              <w:widowControl w:val="0"/>
              <w:spacing w:after="120"/>
              <w:jc w:val="center"/>
              <w:rPr>
                <w:b/>
                <w:bCs/>
                <w:sz w:val="16"/>
                <w:szCs w:val="16"/>
                <w:lang w:val="es-ES_tradnl"/>
              </w:rPr>
            </w:pPr>
            <w:r w:rsidRPr="009577DE">
              <w:rPr>
                <w:b/>
                <w:bCs/>
                <w:sz w:val="16"/>
                <w:szCs w:val="16"/>
                <w:lang w:val="es-ES_tradnl"/>
              </w:rPr>
              <w:t>Clave de colores</w:t>
            </w:r>
          </w:p>
        </w:tc>
      </w:tr>
      <w:tr w:rsidR="00B070BF" w:rsidRPr="009577DE" w:rsidTr="00C33D4A">
        <w:trPr>
          <w:cantSplit/>
        </w:trPr>
        <w:tc>
          <w:tcPr>
            <w:tcW w:w="959" w:type="pct"/>
            <w:shd w:val="clear" w:color="auto" w:fill="auto"/>
          </w:tcPr>
          <w:p w:rsidR="00B070BF" w:rsidRPr="009577DE" w:rsidRDefault="00B070BF" w:rsidP="00C33D4A">
            <w:pPr>
              <w:widowControl w:val="0"/>
              <w:rPr>
                <w:sz w:val="16"/>
                <w:szCs w:val="16"/>
                <w:lang w:val="es-ES_tradnl"/>
              </w:rPr>
            </w:pPr>
            <w:r w:rsidRPr="009577DE">
              <w:rPr>
                <w:sz w:val="16"/>
                <w:szCs w:val="16"/>
                <w:lang w:val="es-ES_tradnl"/>
              </w:rPr>
              <w:t>Número de artículos de prensa sobre la labor de la OMPI.</w:t>
            </w:r>
          </w:p>
        </w:tc>
        <w:tc>
          <w:tcPr>
            <w:tcW w:w="783" w:type="pct"/>
            <w:shd w:val="clear" w:color="auto" w:fill="C0C0C0"/>
          </w:tcPr>
          <w:p w:rsidR="00B070BF" w:rsidRPr="009577DE" w:rsidRDefault="00B070BF" w:rsidP="00C33D4A">
            <w:pPr>
              <w:widowControl w:val="0"/>
              <w:rPr>
                <w:sz w:val="16"/>
                <w:szCs w:val="16"/>
                <w:lang w:val="es-ES_tradnl"/>
              </w:rPr>
            </w:pPr>
            <w:r w:rsidRPr="009577DE">
              <w:rPr>
                <w:sz w:val="16"/>
                <w:szCs w:val="16"/>
                <w:lang w:val="es-ES_tradnl"/>
              </w:rPr>
              <w:t>6.226</w:t>
            </w:r>
            <w:r w:rsidRPr="009577DE">
              <w:rPr>
                <w:sz w:val="16"/>
                <w:szCs w:val="16"/>
                <w:lang w:val="es-ES_tradnl"/>
              </w:rPr>
              <w:br/>
              <w:t>(2008/09)</w:t>
            </w:r>
          </w:p>
        </w:tc>
        <w:tc>
          <w:tcPr>
            <w:tcW w:w="894" w:type="pct"/>
            <w:shd w:val="clear" w:color="auto" w:fill="auto"/>
            <w:tcMar>
              <w:top w:w="110" w:type="dxa"/>
            </w:tcMar>
          </w:tcPr>
          <w:p w:rsidR="00B070BF" w:rsidRPr="00F2661C" w:rsidRDefault="00B070BF" w:rsidP="00C33D4A">
            <w:pPr>
              <w:widowControl w:val="0"/>
              <w:rPr>
                <w:color w:val="993300"/>
                <w:sz w:val="16"/>
                <w:szCs w:val="16"/>
                <w:lang w:val="es-ES_tradnl" w:bidi="th-TH"/>
              </w:rPr>
            </w:pPr>
            <w:r w:rsidRPr="00F2661C">
              <w:rPr>
                <w:color w:val="993300"/>
                <w:sz w:val="16"/>
                <w:szCs w:val="16"/>
                <w:lang w:val="es-ES_tradnl" w:bidi="th-TH"/>
              </w:rPr>
              <w:t>7.423</w:t>
            </w:r>
            <w:r w:rsidRPr="00F2661C">
              <w:rPr>
                <w:color w:val="993300"/>
                <w:sz w:val="16"/>
                <w:szCs w:val="16"/>
                <w:lang w:val="es-ES_tradnl" w:bidi="th-TH"/>
              </w:rPr>
              <w:br/>
              <w:t>(2010/11)</w:t>
            </w:r>
          </w:p>
        </w:tc>
        <w:tc>
          <w:tcPr>
            <w:tcW w:w="1827" w:type="pct"/>
            <w:shd w:val="clear" w:color="auto" w:fill="FFFFFF"/>
            <w:tcMar>
              <w:top w:w="110" w:type="dxa"/>
            </w:tcMar>
          </w:tcPr>
          <w:p w:rsidR="00B070BF" w:rsidRPr="009577DE" w:rsidRDefault="00B070BF" w:rsidP="00C33D4A">
            <w:pPr>
              <w:widowControl w:val="0"/>
              <w:rPr>
                <w:b/>
                <w:sz w:val="16"/>
                <w:szCs w:val="16"/>
                <w:lang w:val="es-ES_tradnl" w:bidi="th-TH"/>
              </w:rPr>
            </w:pPr>
            <w:r w:rsidRPr="009577DE">
              <w:rPr>
                <w:sz w:val="16"/>
                <w:szCs w:val="16"/>
                <w:lang w:val="es-ES_tradnl" w:bidi="th-TH"/>
              </w:rPr>
              <w:t xml:space="preserve">5.016 artículos en 2012, lo que representa un aumento del 35% (respecto de una referencia media móvil anual de 3.711,5 artículos en 2010/11) </w:t>
            </w:r>
          </w:p>
          <w:p w:rsidR="00B070BF" w:rsidRPr="009577DE" w:rsidRDefault="00B070BF" w:rsidP="00C33D4A">
            <w:pPr>
              <w:widowControl w:val="0"/>
              <w:rPr>
                <w:sz w:val="16"/>
                <w:szCs w:val="16"/>
                <w:lang w:val="es-ES_tradnl"/>
              </w:rPr>
            </w:pPr>
          </w:p>
        </w:tc>
        <w:tc>
          <w:tcPr>
            <w:tcW w:w="537" w:type="pct"/>
            <w:shd w:val="clear" w:color="auto" w:fill="auto"/>
            <w:tcMar>
              <w:top w:w="110" w:type="dxa"/>
            </w:tcMar>
          </w:tcPr>
          <w:p w:rsidR="00B070BF" w:rsidRPr="009577DE" w:rsidRDefault="00B070BF" w:rsidP="00C33D4A">
            <w:pPr>
              <w:widowControl w:val="0"/>
              <w:jc w:val="center"/>
              <w:rPr>
                <w:bCs/>
                <w:sz w:val="16"/>
                <w:szCs w:val="16"/>
                <w:lang w:val="es-ES_tradnl"/>
              </w:rPr>
            </w:pPr>
            <w:r w:rsidRPr="009577DE">
              <w:rPr>
                <w:b/>
                <w:color w:val="008000"/>
                <w:sz w:val="16"/>
                <w:szCs w:val="16"/>
                <w:lang w:val="es-ES_tradnl"/>
              </w:rPr>
              <w:t>Progresa con normalidad</w:t>
            </w:r>
          </w:p>
          <w:p w:rsidR="00B070BF" w:rsidRPr="009577DE" w:rsidRDefault="00B070BF" w:rsidP="00C33D4A">
            <w:pPr>
              <w:widowControl w:val="0"/>
              <w:jc w:val="center"/>
              <w:rPr>
                <w:bCs/>
                <w:sz w:val="16"/>
                <w:szCs w:val="16"/>
                <w:lang w:val="es-ES_tradnl"/>
              </w:rPr>
            </w:pPr>
          </w:p>
          <w:p w:rsidR="00B070BF" w:rsidRPr="009577DE" w:rsidRDefault="00B070BF" w:rsidP="00C33D4A">
            <w:pPr>
              <w:widowControl w:val="0"/>
              <w:jc w:val="center"/>
              <w:rPr>
                <w:bCs/>
                <w:sz w:val="16"/>
                <w:szCs w:val="16"/>
                <w:lang w:val="es-ES_tradnl"/>
              </w:rPr>
            </w:pPr>
          </w:p>
        </w:tc>
      </w:tr>
      <w:tr w:rsidR="00B070BF" w:rsidRPr="009577DE" w:rsidTr="00C33D4A">
        <w:trPr>
          <w:cantSplit/>
        </w:trPr>
        <w:tc>
          <w:tcPr>
            <w:tcW w:w="959" w:type="pct"/>
            <w:shd w:val="clear" w:color="auto" w:fill="auto"/>
          </w:tcPr>
          <w:p w:rsidR="00B070BF" w:rsidRPr="009577DE" w:rsidRDefault="00B070BF" w:rsidP="00C33D4A">
            <w:pPr>
              <w:widowControl w:val="0"/>
              <w:rPr>
                <w:sz w:val="16"/>
                <w:szCs w:val="16"/>
                <w:lang w:val="es-ES_tradnl"/>
              </w:rPr>
            </w:pPr>
            <w:r w:rsidRPr="009577DE">
              <w:rPr>
                <w:sz w:val="16"/>
                <w:szCs w:val="16"/>
                <w:lang w:val="es-ES_tradnl"/>
              </w:rPr>
              <w:t>Tasa de disponibilidad de las principales publicaciones de la OMPI en todos los idiomas oficiales de las NN.UU.</w:t>
            </w:r>
          </w:p>
        </w:tc>
        <w:tc>
          <w:tcPr>
            <w:tcW w:w="783" w:type="pct"/>
            <w:shd w:val="clear" w:color="auto" w:fill="C0C0C0"/>
          </w:tcPr>
          <w:p w:rsidR="00B070BF" w:rsidRPr="009577DE" w:rsidRDefault="00B070BF" w:rsidP="00C33D4A">
            <w:pPr>
              <w:widowControl w:val="0"/>
              <w:rPr>
                <w:sz w:val="16"/>
                <w:szCs w:val="16"/>
                <w:lang w:val="es-ES_tradnl"/>
              </w:rPr>
            </w:pPr>
            <w:r w:rsidRPr="009577DE">
              <w:rPr>
                <w:sz w:val="16"/>
                <w:szCs w:val="16"/>
                <w:lang w:val="es-ES_tradnl"/>
              </w:rPr>
              <w:t>63.8%</w:t>
            </w:r>
          </w:p>
        </w:tc>
        <w:tc>
          <w:tcPr>
            <w:tcW w:w="894" w:type="pct"/>
            <w:shd w:val="clear" w:color="auto" w:fill="auto"/>
            <w:tcMar>
              <w:top w:w="110" w:type="dxa"/>
            </w:tcMar>
          </w:tcPr>
          <w:p w:rsidR="00B070BF" w:rsidRPr="00F2661C" w:rsidRDefault="00B070BF" w:rsidP="00C33D4A">
            <w:pPr>
              <w:widowControl w:val="0"/>
              <w:rPr>
                <w:color w:val="993300"/>
                <w:sz w:val="16"/>
                <w:szCs w:val="16"/>
                <w:lang w:val="es-ES_tradnl" w:bidi="th-TH"/>
              </w:rPr>
            </w:pPr>
            <w:r w:rsidRPr="00F2661C">
              <w:rPr>
                <w:color w:val="993300"/>
                <w:sz w:val="16"/>
                <w:szCs w:val="16"/>
                <w:lang w:val="es-ES_tradnl" w:bidi="th-TH"/>
              </w:rPr>
              <w:t>63,8%</w:t>
            </w:r>
          </w:p>
        </w:tc>
        <w:tc>
          <w:tcPr>
            <w:tcW w:w="1827" w:type="pct"/>
            <w:shd w:val="clear" w:color="auto" w:fill="FFFFFF"/>
            <w:tcMar>
              <w:top w:w="110" w:type="dxa"/>
            </w:tcMar>
          </w:tcPr>
          <w:p w:rsidR="00B070BF" w:rsidRPr="009577DE" w:rsidRDefault="00B070BF" w:rsidP="00C33D4A">
            <w:pPr>
              <w:widowControl w:val="0"/>
              <w:rPr>
                <w:sz w:val="16"/>
                <w:szCs w:val="16"/>
                <w:lang w:val="es-ES_tradnl" w:bidi="th-TH"/>
              </w:rPr>
            </w:pPr>
            <w:r w:rsidRPr="009577DE">
              <w:rPr>
                <w:sz w:val="16"/>
                <w:szCs w:val="16"/>
                <w:lang w:val="es-ES_tradnl" w:bidi="th-TH"/>
              </w:rPr>
              <w:t>71,2%</w:t>
            </w:r>
          </w:p>
          <w:p w:rsidR="00B070BF" w:rsidRPr="009577DE" w:rsidRDefault="00B070BF" w:rsidP="00C33D4A">
            <w:pPr>
              <w:widowControl w:val="0"/>
              <w:rPr>
                <w:b/>
                <w:sz w:val="16"/>
                <w:szCs w:val="16"/>
                <w:lang w:val="es-ES_tradnl"/>
              </w:rPr>
            </w:pPr>
          </w:p>
        </w:tc>
        <w:tc>
          <w:tcPr>
            <w:tcW w:w="537" w:type="pct"/>
            <w:shd w:val="clear" w:color="auto" w:fill="auto"/>
            <w:tcMar>
              <w:top w:w="110" w:type="dxa"/>
            </w:tcMar>
          </w:tcPr>
          <w:p w:rsidR="00B070BF" w:rsidRPr="009577DE" w:rsidRDefault="00B070BF" w:rsidP="00C33D4A">
            <w:pPr>
              <w:widowControl w:val="0"/>
              <w:jc w:val="center"/>
              <w:rPr>
                <w:bCs/>
                <w:sz w:val="16"/>
                <w:szCs w:val="16"/>
                <w:lang w:val="es-ES_tradnl"/>
              </w:rPr>
            </w:pPr>
            <w:r w:rsidRPr="009577DE">
              <w:rPr>
                <w:b/>
                <w:color w:val="008000"/>
                <w:sz w:val="16"/>
                <w:szCs w:val="16"/>
                <w:lang w:val="es-ES_tradnl"/>
              </w:rPr>
              <w:t>Progresa con normalidad</w:t>
            </w:r>
          </w:p>
        </w:tc>
      </w:tr>
      <w:tr w:rsidR="00B070BF" w:rsidRPr="009577DE" w:rsidTr="00C33D4A">
        <w:trPr>
          <w:cantSplit/>
        </w:trPr>
        <w:tc>
          <w:tcPr>
            <w:tcW w:w="959" w:type="pct"/>
            <w:shd w:val="clear" w:color="auto" w:fill="auto"/>
          </w:tcPr>
          <w:p w:rsidR="00B070BF" w:rsidRPr="009577DE" w:rsidRDefault="00B070BF" w:rsidP="00C33D4A">
            <w:pPr>
              <w:widowControl w:val="0"/>
              <w:rPr>
                <w:sz w:val="16"/>
                <w:szCs w:val="16"/>
                <w:lang w:val="es-ES_tradnl"/>
              </w:rPr>
            </w:pPr>
            <w:r w:rsidRPr="009577DE">
              <w:rPr>
                <w:sz w:val="16"/>
                <w:szCs w:val="16"/>
                <w:lang w:val="es-ES_tradnl"/>
              </w:rPr>
              <w:t xml:space="preserve">Promedio de visualizaciones por vídeo de la OMPI en YouTube </w:t>
            </w:r>
          </w:p>
        </w:tc>
        <w:tc>
          <w:tcPr>
            <w:tcW w:w="783" w:type="pct"/>
            <w:shd w:val="clear" w:color="auto" w:fill="C0C0C0"/>
          </w:tcPr>
          <w:p w:rsidR="00B070BF" w:rsidRPr="009577DE" w:rsidRDefault="00B070BF" w:rsidP="00C33D4A">
            <w:pPr>
              <w:widowControl w:val="0"/>
              <w:rPr>
                <w:sz w:val="16"/>
                <w:szCs w:val="16"/>
                <w:lang w:val="es-ES_tradnl"/>
              </w:rPr>
            </w:pPr>
            <w:r w:rsidRPr="009577DE">
              <w:rPr>
                <w:sz w:val="16"/>
                <w:szCs w:val="16"/>
                <w:lang w:val="es-ES_tradnl"/>
              </w:rPr>
              <w:t>414 por vídeo (26 de abril a 31 de diciembre de 2010)</w:t>
            </w:r>
          </w:p>
        </w:tc>
        <w:tc>
          <w:tcPr>
            <w:tcW w:w="894" w:type="pct"/>
            <w:shd w:val="clear" w:color="auto" w:fill="auto"/>
            <w:tcMar>
              <w:top w:w="110" w:type="dxa"/>
            </w:tcMar>
          </w:tcPr>
          <w:p w:rsidR="00B070BF" w:rsidRPr="00F2661C" w:rsidRDefault="00B070BF" w:rsidP="00C33D4A">
            <w:pPr>
              <w:widowControl w:val="0"/>
              <w:rPr>
                <w:color w:val="993300"/>
                <w:sz w:val="16"/>
                <w:szCs w:val="16"/>
                <w:lang w:val="es-ES_tradnl" w:bidi="th-TH"/>
              </w:rPr>
            </w:pPr>
            <w:r w:rsidRPr="00F2661C">
              <w:rPr>
                <w:color w:val="993300"/>
                <w:sz w:val="16"/>
                <w:szCs w:val="16"/>
                <w:lang w:val="es-ES_tradnl"/>
              </w:rPr>
              <w:t xml:space="preserve">1.618 visualizaciones por vídeo (26 de abril de 2010 a 31 de diciembre de 2011). </w:t>
            </w:r>
          </w:p>
        </w:tc>
        <w:tc>
          <w:tcPr>
            <w:tcW w:w="1827" w:type="pct"/>
            <w:shd w:val="clear" w:color="auto" w:fill="FFFFFF"/>
            <w:tcMar>
              <w:top w:w="110" w:type="dxa"/>
            </w:tcMar>
          </w:tcPr>
          <w:p w:rsidR="00B070BF" w:rsidRPr="009577DE" w:rsidRDefault="00B070BF" w:rsidP="00C33D4A">
            <w:pPr>
              <w:widowControl w:val="0"/>
              <w:rPr>
                <w:sz w:val="16"/>
                <w:szCs w:val="16"/>
                <w:lang w:val="es-ES_tradnl" w:bidi="th-TH"/>
              </w:rPr>
            </w:pPr>
            <w:r w:rsidRPr="009577DE">
              <w:rPr>
                <w:bCs/>
                <w:sz w:val="16"/>
                <w:szCs w:val="16"/>
                <w:lang w:val="es-ES_tradnl"/>
              </w:rPr>
              <w:t xml:space="preserve">Un total de </w:t>
            </w:r>
            <w:r w:rsidRPr="009577DE">
              <w:rPr>
                <w:bCs/>
                <w:sz w:val="16"/>
                <w:szCs w:val="16"/>
                <w:lang w:val="es-ES_tradnl" w:bidi="th-TH"/>
              </w:rPr>
              <w:t>478.888 visualizaciones de 146 vídeos en 2012, lo que equivale a un promedio de 3.280 visualizaciones por vídeo o un aumento del 203%.</w:t>
            </w:r>
          </w:p>
          <w:p w:rsidR="00B070BF" w:rsidRPr="009577DE" w:rsidRDefault="00B070BF" w:rsidP="00C33D4A">
            <w:pPr>
              <w:widowControl w:val="0"/>
              <w:rPr>
                <w:sz w:val="16"/>
                <w:szCs w:val="16"/>
                <w:lang w:val="es-ES_tradnl"/>
              </w:rPr>
            </w:pPr>
          </w:p>
        </w:tc>
        <w:tc>
          <w:tcPr>
            <w:tcW w:w="537" w:type="pct"/>
            <w:shd w:val="clear" w:color="auto" w:fill="auto"/>
            <w:tcMar>
              <w:top w:w="110" w:type="dxa"/>
            </w:tcMar>
          </w:tcPr>
          <w:p w:rsidR="00B070BF" w:rsidRPr="009577DE" w:rsidRDefault="00B070BF" w:rsidP="00C33D4A">
            <w:pPr>
              <w:widowControl w:val="0"/>
              <w:jc w:val="center"/>
              <w:rPr>
                <w:bCs/>
                <w:sz w:val="16"/>
                <w:szCs w:val="16"/>
                <w:lang w:val="es-ES_tradnl"/>
              </w:rPr>
            </w:pPr>
            <w:r w:rsidRPr="009577DE">
              <w:rPr>
                <w:b/>
                <w:color w:val="008000"/>
                <w:sz w:val="16"/>
                <w:szCs w:val="16"/>
                <w:lang w:val="es-ES_tradnl"/>
              </w:rPr>
              <w:t>Progresa con normalidad</w:t>
            </w:r>
          </w:p>
        </w:tc>
      </w:tr>
      <w:tr w:rsidR="00B070BF" w:rsidRPr="009577DE" w:rsidTr="00C33D4A">
        <w:trPr>
          <w:cantSplit/>
        </w:trPr>
        <w:tc>
          <w:tcPr>
            <w:tcW w:w="959" w:type="pct"/>
            <w:shd w:val="clear" w:color="auto" w:fill="auto"/>
          </w:tcPr>
          <w:p w:rsidR="00B070BF" w:rsidRPr="009577DE" w:rsidRDefault="00B070BF" w:rsidP="00C33D4A">
            <w:pPr>
              <w:widowControl w:val="0"/>
              <w:rPr>
                <w:sz w:val="16"/>
                <w:szCs w:val="16"/>
                <w:lang w:val="es-ES_tradnl"/>
              </w:rPr>
            </w:pPr>
            <w:r w:rsidRPr="009577DE">
              <w:rPr>
                <w:sz w:val="16"/>
                <w:szCs w:val="16"/>
                <w:lang w:val="es-ES_tradnl"/>
              </w:rPr>
              <w:t xml:space="preserve">Promedio de descargas por publicación de la OMPI. </w:t>
            </w:r>
          </w:p>
        </w:tc>
        <w:tc>
          <w:tcPr>
            <w:tcW w:w="783" w:type="pct"/>
            <w:shd w:val="clear" w:color="auto" w:fill="C0C0C0"/>
          </w:tcPr>
          <w:p w:rsidR="00B070BF" w:rsidRPr="009577DE" w:rsidRDefault="00B070BF" w:rsidP="00C33D4A">
            <w:pPr>
              <w:widowControl w:val="0"/>
              <w:rPr>
                <w:sz w:val="16"/>
                <w:szCs w:val="16"/>
                <w:lang w:val="es-ES_tradnl"/>
              </w:rPr>
            </w:pPr>
            <w:r w:rsidRPr="009577DE">
              <w:rPr>
                <w:sz w:val="16"/>
                <w:szCs w:val="16"/>
                <w:lang w:val="es-ES_tradnl"/>
              </w:rPr>
              <w:t>Por determinar.</w:t>
            </w:r>
          </w:p>
        </w:tc>
        <w:tc>
          <w:tcPr>
            <w:tcW w:w="894" w:type="pct"/>
            <w:shd w:val="clear" w:color="auto" w:fill="auto"/>
            <w:tcMar>
              <w:top w:w="110" w:type="dxa"/>
            </w:tcMar>
          </w:tcPr>
          <w:p w:rsidR="00B070BF" w:rsidRPr="00F2661C" w:rsidRDefault="00B070BF" w:rsidP="00C33D4A">
            <w:pPr>
              <w:widowControl w:val="0"/>
              <w:rPr>
                <w:color w:val="993300"/>
                <w:sz w:val="16"/>
                <w:szCs w:val="16"/>
                <w:lang w:val="es-ES_tradnl"/>
              </w:rPr>
            </w:pPr>
            <w:r w:rsidRPr="00F2661C">
              <w:rPr>
                <w:color w:val="993300"/>
                <w:sz w:val="16"/>
                <w:szCs w:val="16"/>
                <w:lang w:val="es-ES_tradnl"/>
              </w:rPr>
              <w:t>Por determinar (todavía no se dispone de instrumentos analíticos).</w:t>
            </w:r>
          </w:p>
        </w:tc>
        <w:tc>
          <w:tcPr>
            <w:tcW w:w="1827" w:type="pct"/>
            <w:shd w:val="clear" w:color="auto" w:fill="FFFFFF"/>
            <w:tcMar>
              <w:top w:w="110" w:type="dxa"/>
            </w:tcMar>
          </w:tcPr>
          <w:p w:rsidR="00B070BF" w:rsidRPr="009577DE" w:rsidRDefault="00B070BF" w:rsidP="00C33D4A">
            <w:pPr>
              <w:widowControl w:val="0"/>
              <w:rPr>
                <w:sz w:val="16"/>
                <w:szCs w:val="16"/>
                <w:lang w:val="es-ES_tradnl" w:bidi="th-TH"/>
              </w:rPr>
            </w:pPr>
            <w:r w:rsidRPr="009577DE">
              <w:rPr>
                <w:sz w:val="16"/>
                <w:szCs w:val="16"/>
                <w:lang w:val="es-ES_tradnl" w:bidi="th-TH"/>
              </w:rPr>
              <w:t>Se distribuyeron 112.000 publicaciones en papel;  sin embargo, no se dispuso en 2012 de los instrumentos de análisis del sitio web con que se esperaba contar para registrar las descargas.  Actualmente se está preparando una nueva plataforma de publicaciones electrónicas.</w:t>
            </w:r>
          </w:p>
        </w:tc>
        <w:tc>
          <w:tcPr>
            <w:tcW w:w="537" w:type="pct"/>
            <w:shd w:val="clear" w:color="auto" w:fill="auto"/>
            <w:tcMar>
              <w:top w:w="110" w:type="dxa"/>
            </w:tcMar>
          </w:tcPr>
          <w:p w:rsidR="00B070BF" w:rsidRPr="009577DE" w:rsidRDefault="00B070BF" w:rsidP="00C33D4A">
            <w:pPr>
              <w:widowControl w:val="0"/>
              <w:jc w:val="center"/>
              <w:rPr>
                <w:b/>
                <w:sz w:val="16"/>
                <w:szCs w:val="16"/>
                <w:lang w:val="es-ES_tradnl"/>
              </w:rPr>
            </w:pPr>
            <w:r w:rsidRPr="009577DE">
              <w:rPr>
                <w:b/>
                <w:sz w:val="16"/>
                <w:szCs w:val="16"/>
                <w:lang w:val="es-ES_tradnl"/>
              </w:rPr>
              <w:t>No disponible para 2012</w:t>
            </w:r>
          </w:p>
        </w:tc>
      </w:tr>
      <w:tr w:rsidR="00B070BF" w:rsidRPr="009577DE" w:rsidTr="00C33D4A">
        <w:trPr>
          <w:cantSplit/>
        </w:trPr>
        <w:tc>
          <w:tcPr>
            <w:tcW w:w="959" w:type="pct"/>
            <w:shd w:val="clear" w:color="auto" w:fill="auto"/>
          </w:tcPr>
          <w:p w:rsidR="00B070BF" w:rsidRPr="009577DE" w:rsidRDefault="00B070BF" w:rsidP="00C33D4A">
            <w:pPr>
              <w:widowControl w:val="0"/>
              <w:rPr>
                <w:sz w:val="16"/>
                <w:szCs w:val="16"/>
                <w:lang w:val="es-ES_tradnl"/>
              </w:rPr>
            </w:pPr>
            <w:r w:rsidRPr="009577DE">
              <w:rPr>
                <w:sz w:val="16"/>
                <w:szCs w:val="16"/>
                <w:lang w:val="es-ES_tradnl"/>
              </w:rPr>
              <w:t xml:space="preserve">Número de países que comunican que han organizado eventos y actividades con motivo del Día Mundial de la Propiedad Intelectual. </w:t>
            </w:r>
          </w:p>
        </w:tc>
        <w:tc>
          <w:tcPr>
            <w:tcW w:w="783" w:type="pct"/>
            <w:shd w:val="clear" w:color="auto" w:fill="C0C0C0"/>
          </w:tcPr>
          <w:p w:rsidR="00B070BF" w:rsidRPr="009577DE" w:rsidRDefault="00B070BF" w:rsidP="00C33D4A">
            <w:pPr>
              <w:widowControl w:val="0"/>
              <w:rPr>
                <w:sz w:val="16"/>
                <w:szCs w:val="16"/>
                <w:lang w:val="es-ES_tradnl"/>
              </w:rPr>
            </w:pPr>
            <w:r w:rsidRPr="009577DE">
              <w:rPr>
                <w:sz w:val="16"/>
                <w:szCs w:val="16"/>
                <w:lang w:val="es-ES_tradnl"/>
              </w:rPr>
              <w:t>Por determinar.</w:t>
            </w:r>
          </w:p>
        </w:tc>
        <w:tc>
          <w:tcPr>
            <w:tcW w:w="894" w:type="pct"/>
            <w:shd w:val="clear" w:color="auto" w:fill="auto"/>
            <w:tcMar>
              <w:top w:w="110" w:type="dxa"/>
            </w:tcMar>
          </w:tcPr>
          <w:p w:rsidR="00B070BF" w:rsidRPr="00F2661C" w:rsidRDefault="00B070BF" w:rsidP="00C33D4A">
            <w:pPr>
              <w:widowControl w:val="0"/>
              <w:rPr>
                <w:color w:val="993300"/>
                <w:sz w:val="16"/>
                <w:szCs w:val="16"/>
                <w:lang w:val="es-ES_tradnl"/>
              </w:rPr>
            </w:pPr>
            <w:r w:rsidRPr="00F2661C">
              <w:rPr>
                <w:color w:val="993300"/>
                <w:sz w:val="16"/>
                <w:szCs w:val="16"/>
                <w:lang w:val="es-ES_tradnl"/>
              </w:rPr>
              <w:t>132 países informaron de que habían organizado eventos con motivo del Día Mundial de la Propiedad Intelectual (58 en 2010 y 74 en 2011).</w:t>
            </w:r>
          </w:p>
        </w:tc>
        <w:tc>
          <w:tcPr>
            <w:tcW w:w="1827" w:type="pct"/>
            <w:shd w:val="clear" w:color="auto" w:fill="FFFFFF"/>
            <w:tcMar>
              <w:top w:w="110" w:type="dxa"/>
            </w:tcMar>
          </w:tcPr>
          <w:p w:rsidR="00B070BF" w:rsidRPr="009577DE" w:rsidRDefault="00B070BF" w:rsidP="00C33D4A">
            <w:pPr>
              <w:widowControl w:val="0"/>
              <w:rPr>
                <w:sz w:val="16"/>
                <w:szCs w:val="16"/>
                <w:lang w:val="es-ES_tradnl"/>
              </w:rPr>
            </w:pPr>
            <w:r w:rsidRPr="009577DE">
              <w:rPr>
                <w:sz w:val="16"/>
                <w:szCs w:val="16"/>
                <w:lang w:val="es-ES_tradnl" w:bidi="th-TH"/>
              </w:rPr>
              <w:t>76 países informaron de la celebración de eventos con motivo del Día Mundial de la Propiedad Intelectual.</w:t>
            </w:r>
          </w:p>
        </w:tc>
        <w:tc>
          <w:tcPr>
            <w:tcW w:w="537" w:type="pct"/>
            <w:shd w:val="clear" w:color="auto" w:fill="auto"/>
            <w:tcMar>
              <w:top w:w="110" w:type="dxa"/>
            </w:tcMar>
          </w:tcPr>
          <w:p w:rsidR="00B070BF" w:rsidRPr="009577DE" w:rsidRDefault="00B070BF" w:rsidP="00C33D4A">
            <w:pPr>
              <w:widowControl w:val="0"/>
              <w:jc w:val="center"/>
              <w:rPr>
                <w:bCs/>
                <w:sz w:val="16"/>
                <w:szCs w:val="16"/>
                <w:lang w:val="es-ES_tradnl"/>
              </w:rPr>
            </w:pPr>
            <w:r w:rsidRPr="009577DE">
              <w:rPr>
                <w:b/>
                <w:color w:val="008000"/>
                <w:sz w:val="16"/>
                <w:szCs w:val="16"/>
                <w:lang w:val="es-ES_tradnl"/>
              </w:rPr>
              <w:t>Progresa con normalidad</w:t>
            </w:r>
          </w:p>
        </w:tc>
      </w:tr>
      <w:tr w:rsidR="00B070BF" w:rsidRPr="009577DE" w:rsidTr="00C33D4A">
        <w:trPr>
          <w:cantSplit/>
        </w:trPr>
        <w:tc>
          <w:tcPr>
            <w:tcW w:w="959" w:type="pct"/>
            <w:shd w:val="clear" w:color="auto" w:fill="auto"/>
          </w:tcPr>
          <w:p w:rsidR="00B070BF" w:rsidRPr="009577DE" w:rsidRDefault="00B070BF" w:rsidP="00C33D4A">
            <w:pPr>
              <w:widowControl w:val="0"/>
              <w:rPr>
                <w:sz w:val="16"/>
                <w:szCs w:val="16"/>
                <w:lang w:val="es-ES_tradnl"/>
              </w:rPr>
            </w:pPr>
            <w:r w:rsidRPr="009577DE">
              <w:rPr>
                <w:sz w:val="16"/>
                <w:szCs w:val="16"/>
                <w:lang w:val="es-ES_tradnl"/>
              </w:rPr>
              <w:t>Número de peticiones de información externas atendidas por la Biblioteca de la OMPI.</w:t>
            </w:r>
          </w:p>
        </w:tc>
        <w:tc>
          <w:tcPr>
            <w:tcW w:w="783" w:type="pct"/>
            <w:shd w:val="clear" w:color="auto" w:fill="C0C0C0"/>
          </w:tcPr>
          <w:p w:rsidR="00B070BF" w:rsidRPr="009577DE" w:rsidRDefault="00B070BF" w:rsidP="00C33D4A">
            <w:pPr>
              <w:widowControl w:val="0"/>
              <w:rPr>
                <w:sz w:val="16"/>
                <w:szCs w:val="16"/>
                <w:lang w:val="es-ES_tradnl"/>
              </w:rPr>
            </w:pPr>
            <w:r w:rsidRPr="009577DE">
              <w:rPr>
                <w:sz w:val="16"/>
                <w:szCs w:val="16"/>
                <w:lang w:val="es-ES_tradnl"/>
              </w:rPr>
              <w:t>270</w:t>
            </w:r>
            <w:r w:rsidRPr="009577DE">
              <w:rPr>
                <w:sz w:val="16"/>
                <w:szCs w:val="16"/>
                <w:lang w:val="es-ES_tradnl"/>
              </w:rPr>
              <w:br/>
              <w:t>(2008/09)</w:t>
            </w:r>
          </w:p>
        </w:tc>
        <w:tc>
          <w:tcPr>
            <w:tcW w:w="894" w:type="pct"/>
            <w:shd w:val="clear" w:color="auto" w:fill="auto"/>
            <w:tcMar>
              <w:top w:w="110" w:type="dxa"/>
            </w:tcMar>
          </w:tcPr>
          <w:p w:rsidR="00B070BF" w:rsidRPr="00F2661C" w:rsidRDefault="00B070BF" w:rsidP="00C33D4A">
            <w:pPr>
              <w:widowControl w:val="0"/>
              <w:ind w:firstLineChars="21" w:firstLine="34"/>
              <w:rPr>
                <w:color w:val="993300"/>
                <w:sz w:val="16"/>
                <w:szCs w:val="16"/>
                <w:lang w:val="es-ES_tradnl"/>
              </w:rPr>
            </w:pPr>
            <w:r w:rsidRPr="00F2661C">
              <w:rPr>
                <w:color w:val="993300"/>
                <w:sz w:val="16"/>
                <w:szCs w:val="16"/>
                <w:lang w:val="es-ES_tradnl"/>
              </w:rPr>
              <w:t>514</w:t>
            </w:r>
          </w:p>
          <w:p w:rsidR="00B070BF" w:rsidRPr="00F2661C" w:rsidRDefault="00B070BF" w:rsidP="00C33D4A">
            <w:pPr>
              <w:widowControl w:val="0"/>
              <w:ind w:firstLineChars="21" w:firstLine="34"/>
              <w:rPr>
                <w:color w:val="993300"/>
                <w:sz w:val="16"/>
                <w:szCs w:val="16"/>
                <w:lang w:val="es-ES_tradnl"/>
              </w:rPr>
            </w:pPr>
            <w:r w:rsidRPr="00F2661C">
              <w:rPr>
                <w:color w:val="993300"/>
                <w:sz w:val="16"/>
                <w:szCs w:val="16"/>
                <w:lang w:val="es-ES_tradnl"/>
              </w:rPr>
              <w:t>(2010/11)</w:t>
            </w:r>
          </w:p>
        </w:tc>
        <w:tc>
          <w:tcPr>
            <w:tcW w:w="1827" w:type="pct"/>
            <w:shd w:val="clear" w:color="auto" w:fill="FFFFFF"/>
            <w:tcMar>
              <w:top w:w="110" w:type="dxa"/>
            </w:tcMar>
          </w:tcPr>
          <w:p w:rsidR="00B070BF" w:rsidRPr="009577DE" w:rsidRDefault="00B070BF" w:rsidP="00C33D4A">
            <w:pPr>
              <w:widowControl w:val="0"/>
              <w:rPr>
                <w:b/>
                <w:sz w:val="16"/>
                <w:szCs w:val="16"/>
                <w:lang w:val="es-ES_tradnl" w:bidi="th-TH"/>
              </w:rPr>
            </w:pPr>
            <w:r w:rsidRPr="009577DE">
              <w:rPr>
                <w:sz w:val="16"/>
                <w:szCs w:val="16"/>
                <w:lang w:val="es-ES_tradnl" w:bidi="th-TH"/>
              </w:rPr>
              <w:t>610 (un aumento del 18,5%)</w:t>
            </w:r>
          </w:p>
          <w:p w:rsidR="00B070BF" w:rsidRPr="009577DE" w:rsidRDefault="00B070BF" w:rsidP="00C33D4A">
            <w:pPr>
              <w:widowControl w:val="0"/>
              <w:rPr>
                <w:sz w:val="16"/>
                <w:szCs w:val="16"/>
                <w:lang w:val="es-ES_tradnl" w:bidi="th-TH"/>
              </w:rPr>
            </w:pPr>
          </w:p>
          <w:p w:rsidR="00B070BF" w:rsidRPr="009577DE" w:rsidRDefault="00B070BF" w:rsidP="00C33D4A">
            <w:pPr>
              <w:widowControl w:val="0"/>
              <w:rPr>
                <w:sz w:val="16"/>
                <w:szCs w:val="16"/>
                <w:lang w:val="es-ES_tradnl"/>
              </w:rPr>
            </w:pPr>
          </w:p>
        </w:tc>
        <w:tc>
          <w:tcPr>
            <w:tcW w:w="537" w:type="pct"/>
            <w:shd w:val="clear" w:color="auto" w:fill="auto"/>
            <w:tcMar>
              <w:top w:w="110" w:type="dxa"/>
            </w:tcMar>
          </w:tcPr>
          <w:p w:rsidR="00B070BF" w:rsidRPr="009577DE" w:rsidRDefault="00B070BF" w:rsidP="00C33D4A">
            <w:pPr>
              <w:widowControl w:val="0"/>
              <w:jc w:val="center"/>
              <w:rPr>
                <w:bCs/>
                <w:sz w:val="16"/>
                <w:szCs w:val="16"/>
                <w:lang w:val="es-ES_tradnl"/>
              </w:rPr>
            </w:pPr>
            <w:r w:rsidRPr="009577DE">
              <w:rPr>
                <w:b/>
                <w:color w:val="008000"/>
                <w:sz w:val="16"/>
                <w:szCs w:val="16"/>
                <w:lang w:val="es-ES_tradnl"/>
              </w:rPr>
              <w:t>Progresa con normalidad</w:t>
            </w:r>
          </w:p>
        </w:tc>
      </w:tr>
      <w:tr w:rsidR="00B070BF" w:rsidRPr="009577DE" w:rsidTr="00C33D4A">
        <w:trPr>
          <w:cantSplit/>
        </w:trPr>
        <w:tc>
          <w:tcPr>
            <w:tcW w:w="959" w:type="pct"/>
            <w:tcBorders>
              <w:bottom w:val="single" w:sz="4" w:space="0" w:color="auto"/>
            </w:tcBorders>
            <w:shd w:val="clear" w:color="auto" w:fill="auto"/>
          </w:tcPr>
          <w:p w:rsidR="00B070BF" w:rsidRPr="009577DE" w:rsidRDefault="00B070BF" w:rsidP="00C33D4A">
            <w:pPr>
              <w:widowControl w:val="0"/>
              <w:rPr>
                <w:sz w:val="16"/>
                <w:szCs w:val="16"/>
                <w:lang w:val="es-ES_tradnl"/>
              </w:rPr>
            </w:pPr>
            <w:r w:rsidRPr="009577DE">
              <w:rPr>
                <w:sz w:val="16"/>
                <w:szCs w:val="16"/>
                <w:lang w:val="es-ES_tradnl"/>
              </w:rPr>
              <w:lastRenderedPageBreak/>
              <w:t xml:space="preserve">Porcentaje de opiniones favorables de las partes interesadas sobre la misión, las actividades y la imagen institucional de la OMPI. </w:t>
            </w:r>
          </w:p>
        </w:tc>
        <w:tc>
          <w:tcPr>
            <w:tcW w:w="783" w:type="pct"/>
            <w:tcBorders>
              <w:bottom w:val="single" w:sz="4" w:space="0" w:color="auto"/>
            </w:tcBorders>
            <w:shd w:val="clear" w:color="auto" w:fill="C0C0C0"/>
          </w:tcPr>
          <w:p w:rsidR="00B070BF" w:rsidRPr="009577DE" w:rsidRDefault="00B070BF" w:rsidP="00C33D4A">
            <w:pPr>
              <w:widowControl w:val="0"/>
              <w:rPr>
                <w:sz w:val="16"/>
                <w:szCs w:val="16"/>
                <w:lang w:val="es-ES_tradnl"/>
              </w:rPr>
            </w:pPr>
            <w:r w:rsidRPr="009577DE">
              <w:rPr>
                <w:sz w:val="16"/>
                <w:szCs w:val="16"/>
                <w:lang w:val="es-ES_tradnl"/>
              </w:rPr>
              <w:t>Por determinar.</w:t>
            </w:r>
          </w:p>
        </w:tc>
        <w:tc>
          <w:tcPr>
            <w:tcW w:w="894" w:type="pct"/>
            <w:tcBorders>
              <w:bottom w:val="single" w:sz="4" w:space="0" w:color="auto"/>
            </w:tcBorders>
            <w:shd w:val="clear" w:color="auto" w:fill="auto"/>
            <w:tcMar>
              <w:top w:w="110" w:type="dxa"/>
            </w:tcMar>
          </w:tcPr>
          <w:p w:rsidR="00B070BF" w:rsidRPr="00F2661C" w:rsidRDefault="00B070BF" w:rsidP="00C33D4A">
            <w:pPr>
              <w:widowControl w:val="0"/>
              <w:rPr>
                <w:bCs/>
                <w:color w:val="993300"/>
                <w:sz w:val="16"/>
                <w:szCs w:val="16"/>
                <w:lang w:val="es-ES_tradnl"/>
              </w:rPr>
            </w:pPr>
            <w:r w:rsidRPr="00F2661C">
              <w:rPr>
                <w:bCs/>
                <w:color w:val="993300"/>
                <w:sz w:val="16"/>
                <w:szCs w:val="16"/>
                <w:lang w:val="es-ES_tradnl"/>
              </w:rPr>
              <w:t xml:space="preserve">El 65% de los encuestados convino en señalar a la OMPI como el líder global en protección y promoción de la P.I. (WIPO </w:t>
            </w:r>
            <w:proofErr w:type="spellStart"/>
            <w:r w:rsidRPr="00F2661C">
              <w:rPr>
                <w:bCs/>
                <w:color w:val="993300"/>
                <w:sz w:val="16"/>
                <w:szCs w:val="16"/>
                <w:lang w:val="es-ES_tradnl"/>
              </w:rPr>
              <w:t>Stakeholders</w:t>
            </w:r>
            <w:proofErr w:type="spellEnd"/>
            <w:r w:rsidRPr="00F2661C">
              <w:rPr>
                <w:bCs/>
                <w:color w:val="993300"/>
                <w:sz w:val="16"/>
                <w:szCs w:val="16"/>
                <w:lang w:val="es-ES_tradnl"/>
              </w:rPr>
              <w:t xml:space="preserve"> </w:t>
            </w:r>
            <w:proofErr w:type="spellStart"/>
            <w:r w:rsidRPr="00F2661C">
              <w:rPr>
                <w:bCs/>
                <w:color w:val="993300"/>
                <w:sz w:val="16"/>
                <w:szCs w:val="16"/>
                <w:lang w:val="es-ES_tradnl"/>
              </w:rPr>
              <w:t>Perceptions</w:t>
            </w:r>
            <w:proofErr w:type="spellEnd"/>
            <w:r w:rsidRPr="00F2661C">
              <w:rPr>
                <w:bCs/>
                <w:color w:val="993300"/>
                <w:sz w:val="16"/>
                <w:szCs w:val="16"/>
                <w:lang w:val="es-ES_tradnl"/>
              </w:rPr>
              <w:t xml:space="preserve"> </w:t>
            </w:r>
            <w:proofErr w:type="spellStart"/>
            <w:r w:rsidRPr="00F2661C">
              <w:rPr>
                <w:bCs/>
                <w:color w:val="993300"/>
                <w:sz w:val="16"/>
                <w:szCs w:val="16"/>
                <w:lang w:val="es-ES_tradnl"/>
              </w:rPr>
              <w:t>Survey</w:t>
            </w:r>
            <w:proofErr w:type="spellEnd"/>
            <w:r w:rsidRPr="00F2661C">
              <w:rPr>
                <w:bCs/>
                <w:color w:val="993300"/>
                <w:sz w:val="16"/>
                <w:szCs w:val="16"/>
                <w:lang w:val="es-ES_tradnl"/>
              </w:rPr>
              <w:t>, enero de 2012)</w:t>
            </w:r>
          </w:p>
          <w:p w:rsidR="00B070BF" w:rsidRPr="009577DE" w:rsidRDefault="00B070BF" w:rsidP="00C33D4A">
            <w:pPr>
              <w:widowControl w:val="0"/>
              <w:ind w:firstLineChars="21" w:firstLine="34"/>
              <w:rPr>
                <w:sz w:val="16"/>
                <w:szCs w:val="16"/>
                <w:lang w:val="es-ES_tradnl"/>
              </w:rPr>
            </w:pPr>
          </w:p>
        </w:tc>
        <w:tc>
          <w:tcPr>
            <w:tcW w:w="1827" w:type="pct"/>
            <w:tcBorders>
              <w:bottom w:val="single" w:sz="4" w:space="0" w:color="auto"/>
            </w:tcBorders>
            <w:shd w:val="clear" w:color="auto" w:fill="FFFFFF"/>
            <w:tcMar>
              <w:top w:w="110" w:type="dxa"/>
            </w:tcMar>
          </w:tcPr>
          <w:p w:rsidR="00B070BF" w:rsidRPr="009577DE" w:rsidRDefault="00B070BF" w:rsidP="00C33D4A">
            <w:pPr>
              <w:widowControl w:val="0"/>
              <w:rPr>
                <w:sz w:val="16"/>
                <w:szCs w:val="16"/>
                <w:lang w:val="es-ES_tradnl" w:bidi="th-TH"/>
              </w:rPr>
            </w:pPr>
            <w:r w:rsidRPr="009577DE">
              <w:rPr>
                <w:sz w:val="16"/>
                <w:szCs w:val="16"/>
                <w:lang w:val="es-ES_tradnl" w:bidi="th-TH"/>
              </w:rPr>
              <w:t>Se mide una vez cada dos años.  Está previsto realizar la próxima encuesta a finales de 2013.</w:t>
            </w:r>
          </w:p>
          <w:p w:rsidR="00B070BF" w:rsidRPr="009577DE" w:rsidRDefault="00B070BF" w:rsidP="00C33D4A">
            <w:pPr>
              <w:widowControl w:val="0"/>
              <w:rPr>
                <w:sz w:val="16"/>
                <w:szCs w:val="16"/>
                <w:lang w:val="es-ES_tradnl" w:bidi="th-TH"/>
              </w:rPr>
            </w:pPr>
          </w:p>
          <w:p w:rsidR="00B070BF" w:rsidRPr="009577DE" w:rsidRDefault="00B070BF" w:rsidP="00C33D4A">
            <w:pPr>
              <w:widowControl w:val="0"/>
              <w:rPr>
                <w:sz w:val="16"/>
                <w:szCs w:val="16"/>
                <w:lang w:val="es-ES_tradnl" w:bidi="th-TH"/>
              </w:rPr>
            </w:pPr>
          </w:p>
          <w:p w:rsidR="00B070BF" w:rsidRPr="009577DE" w:rsidRDefault="00B070BF" w:rsidP="00C33D4A">
            <w:pPr>
              <w:widowControl w:val="0"/>
              <w:rPr>
                <w:sz w:val="16"/>
                <w:szCs w:val="16"/>
                <w:lang w:val="es-ES_tradnl" w:bidi="th-TH"/>
              </w:rPr>
            </w:pPr>
          </w:p>
          <w:p w:rsidR="00B070BF" w:rsidRPr="009577DE" w:rsidRDefault="00B070BF" w:rsidP="00C33D4A">
            <w:pPr>
              <w:widowControl w:val="0"/>
              <w:rPr>
                <w:sz w:val="16"/>
                <w:szCs w:val="16"/>
                <w:lang w:val="es-ES_tradnl"/>
              </w:rPr>
            </w:pPr>
          </w:p>
        </w:tc>
        <w:tc>
          <w:tcPr>
            <w:tcW w:w="537" w:type="pct"/>
            <w:tcBorders>
              <w:bottom w:val="single" w:sz="4" w:space="0" w:color="auto"/>
            </w:tcBorders>
            <w:shd w:val="clear" w:color="auto" w:fill="auto"/>
            <w:tcMar>
              <w:top w:w="110" w:type="dxa"/>
            </w:tcMar>
          </w:tcPr>
          <w:p w:rsidR="00B070BF" w:rsidRPr="009577DE" w:rsidRDefault="00B070BF" w:rsidP="00C33D4A">
            <w:pPr>
              <w:widowControl w:val="0"/>
              <w:jc w:val="center"/>
              <w:rPr>
                <w:bCs/>
                <w:sz w:val="16"/>
                <w:szCs w:val="16"/>
                <w:lang w:val="es-ES_tradnl"/>
              </w:rPr>
            </w:pPr>
            <w:r w:rsidRPr="009577DE">
              <w:rPr>
                <w:b/>
                <w:sz w:val="16"/>
                <w:szCs w:val="16"/>
                <w:lang w:val="es-ES_tradnl"/>
              </w:rPr>
              <w:t>No disponible para 2012</w:t>
            </w:r>
          </w:p>
        </w:tc>
      </w:tr>
      <w:tr w:rsidR="00B070BF" w:rsidRPr="009577DE" w:rsidTr="00C33D4A">
        <w:trPr>
          <w:cantSplit/>
        </w:trPr>
        <w:tc>
          <w:tcPr>
            <w:tcW w:w="5000" w:type="pct"/>
            <w:gridSpan w:val="5"/>
            <w:tcBorders>
              <w:top w:val="single" w:sz="4" w:space="0" w:color="auto"/>
              <w:bottom w:val="single" w:sz="4" w:space="0" w:color="auto"/>
            </w:tcBorders>
            <w:shd w:val="clear" w:color="auto" w:fill="CCFFFF"/>
            <w:vAlign w:val="center"/>
          </w:tcPr>
          <w:p w:rsidR="00B070BF" w:rsidRPr="009577DE" w:rsidRDefault="00B070BF" w:rsidP="00C33D4A">
            <w:pPr>
              <w:widowControl w:val="0"/>
              <w:tabs>
                <w:tab w:val="left" w:pos="1452"/>
              </w:tabs>
              <w:spacing w:before="120" w:after="120"/>
              <w:ind w:left="1452" w:hanging="1452"/>
              <w:rPr>
                <w:b/>
                <w:bCs/>
                <w:sz w:val="16"/>
                <w:szCs w:val="16"/>
                <w:lang w:val="es-ES_tradnl"/>
              </w:rPr>
            </w:pPr>
            <w:r w:rsidRPr="009577DE">
              <w:rPr>
                <w:b/>
                <w:bCs/>
                <w:sz w:val="16"/>
                <w:szCs w:val="16"/>
                <w:lang w:val="es-ES_tradnl"/>
              </w:rPr>
              <w:t>Resultado previsto:</w:t>
            </w:r>
            <w:r w:rsidRPr="009577DE">
              <w:rPr>
                <w:b/>
                <w:bCs/>
                <w:sz w:val="16"/>
                <w:szCs w:val="16"/>
                <w:lang w:val="es-ES_tradnl"/>
              </w:rPr>
              <w:tab/>
            </w:r>
            <w:r w:rsidRPr="009577DE">
              <w:rPr>
                <w:bCs/>
                <w:sz w:val="16"/>
                <w:szCs w:val="16"/>
                <w:lang w:val="es-ES_tradnl"/>
              </w:rPr>
              <w:t xml:space="preserve"> Mejora en la prestación de servicios y la atención de consultas.</w:t>
            </w:r>
          </w:p>
        </w:tc>
      </w:tr>
      <w:tr w:rsidR="00B070BF" w:rsidRPr="009577DE" w:rsidTr="00C33D4A">
        <w:trPr>
          <w:cantSplit/>
        </w:trPr>
        <w:tc>
          <w:tcPr>
            <w:tcW w:w="959" w:type="pct"/>
            <w:tcBorders>
              <w:top w:val="single" w:sz="4" w:space="0" w:color="auto"/>
            </w:tcBorders>
            <w:shd w:val="clear" w:color="auto" w:fill="auto"/>
            <w:vAlign w:val="center"/>
          </w:tcPr>
          <w:p w:rsidR="00B070BF" w:rsidRPr="009577DE" w:rsidRDefault="00B070BF" w:rsidP="00C33D4A">
            <w:pPr>
              <w:widowControl w:val="0"/>
              <w:spacing w:after="120"/>
              <w:rPr>
                <w:sz w:val="16"/>
                <w:szCs w:val="16"/>
                <w:lang w:val="es-ES_tradnl"/>
              </w:rPr>
            </w:pPr>
            <w:r w:rsidRPr="009577DE">
              <w:rPr>
                <w:b/>
                <w:bCs/>
                <w:sz w:val="16"/>
                <w:szCs w:val="16"/>
                <w:lang w:val="es-ES_tradnl"/>
              </w:rPr>
              <w:t>Indicadores de rendimiento</w:t>
            </w:r>
          </w:p>
        </w:tc>
        <w:tc>
          <w:tcPr>
            <w:tcW w:w="783" w:type="pct"/>
            <w:tcBorders>
              <w:top w:val="single" w:sz="4" w:space="0" w:color="auto"/>
            </w:tcBorders>
            <w:shd w:val="clear" w:color="auto" w:fill="C0C0C0"/>
          </w:tcPr>
          <w:p w:rsidR="00B070BF" w:rsidRPr="009577DE" w:rsidRDefault="00B070BF" w:rsidP="00C33D4A">
            <w:pPr>
              <w:widowControl w:val="0"/>
              <w:spacing w:after="120"/>
              <w:rPr>
                <w:b/>
                <w:bCs/>
                <w:sz w:val="16"/>
                <w:szCs w:val="16"/>
                <w:lang w:val="es-ES_tradnl"/>
              </w:rPr>
            </w:pPr>
            <w:r w:rsidRPr="009577DE">
              <w:rPr>
                <w:b/>
                <w:bCs/>
                <w:sz w:val="16"/>
                <w:szCs w:val="16"/>
                <w:lang w:val="es-ES_tradnl"/>
              </w:rPr>
              <w:t>Referencia (</w:t>
            </w:r>
            <w:proofErr w:type="spellStart"/>
            <w:r w:rsidRPr="009577DE">
              <w:rPr>
                <w:b/>
                <w:bCs/>
                <w:sz w:val="16"/>
                <w:szCs w:val="16"/>
                <w:lang w:val="es-ES_tradnl"/>
              </w:rPr>
              <w:t>Presup</w:t>
            </w:r>
            <w:proofErr w:type="spellEnd"/>
            <w:r w:rsidRPr="009577DE">
              <w:rPr>
                <w:b/>
                <w:bCs/>
                <w:sz w:val="16"/>
                <w:szCs w:val="16"/>
                <w:lang w:val="es-ES_tradnl"/>
              </w:rPr>
              <w:t xml:space="preserve">. por </w:t>
            </w:r>
            <w:proofErr w:type="spellStart"/>
            <w:r w:rsidRPr="009577DE">
              <w:rPr>
                <w:b/>
                <w:bCs/>
                <w:sz w:val="16"/>
                <w:szCs w:val="16"/>
                <w:lang w:val="es-ES_tradnl"/>
              </w:rPr>
              <w:t>prog</w:t>
            </w:r>
            <w:proofErr w:type="spellEnd"/>
            <w:r w:rsidRPr="009577DE">
              <w:rPr>
                <w:b/>
                <w:bCs/>
                <w:sz w:val="16"/>
                <w:szCs w:val="16"/>
                <w:lang w:val="es-ES_tradnl"/>
              </w:rPr>
              <w:t>. 2012/13)</w:t>
            </w:r>
          </w:p>
        </w:tc>
        <w:tc>
          <w:tcPr>
            <w:tcW w:w="894" w:type="pct"/>
            <w:tcBorders>
              <w:top w:val="single" w:sz="4" w:space="0" w:color="auto"/>
            </w:tcBorders>
            <w:shd w:val="clear" w:color="auto" w:fill="auto"/>
            <w:tcMar>
              <w:top w:w="110" w:type="dxa"/>
            </w:tcMar>
            <w:vAlign w:val="center"/>
          </w:tcPr>
          <w:p w:rsidR="00B070BF" w:rsidRPr="00F2661C" w:rsidRDefault="00B070BF" w:rsidP="00C33D4A">
            <w:pPr>
              <w:widowControl w:val="0"/>
              <w:spacing w:after="120"/>
              <w:rPr>
                <w:b/>
                <w:color w:val="993300"/>
                <w:sz w:val="16"/>
                <w:szCs w:val="16"/>
                <w:lang w:val="es-ES_tradnl"/>
              </w:rPr>
            </w:pPr>
            <w:r w:rsidRPr="00F2661C">
              <w:rPr>
                <w:b/>
                <w:color w:val="993300"/>
                <w:sz w:val="16"/>
                <w:szCs w:val="16"/>
                <w:lang w:val="es-ES_tradnl"/>
              </w:rPr>
              <w:t>Referencia actualizada a finales de 2011</w:t>
            </w:r>
          </w:p>
        </w:tc>
        <w:tc>
          <w:tcPr>
            <w:tcW w:w="1827" w:type="pct"/>
            <w:tcBorders>
              <w:top w:val="single" w:sz="4" w:space="0" w:color="auto"/>
            </w:tcBorders>
            <w:shd w:val="clear" w:color="auto" w:fill="FFFFFF"/>
            <w:tcMar>
              <w:top w:w="110" w:type="dxa"/>
            </w:tcMar>
            <w:vAlign w:val="center"/>
          </w:tcPr>
          <w:p w:rsidR="00B070BF" w:rsidRPr="009577DE" w:rsidRDefault="00B070BF" w:rsidP="00C33D4A">
            <w:pPr>
              <w:widowControl w:val="0"/>
              <w:spacing w:after="120"/>
              <w:rPr>
                <w:sz w:val="16"/>
                <w:szCs w:val="16"/>
                <w:lang w:val="es-ES_tradnl"/>
              </w:rPr>
            </w:pPr>
            <w:r w:rsidRPr="009577DE">
              <w:rPr>
                <w:b/>
                <w:bCs/>
                <w:sz w:val="16"/>
                <w:szCs w:val="16"/>
                <w:lang w:val="es-ES_tradnl"/>
              </w:rPr>
              <w:t>Datos sobre el rendimiento</w:t>
            </w:r>
          </w:p>
        </w:tc>
        <w:tc>
          <w:tcPr>
            <w:tcW w:w="537" w:type="pct"/>
            <w:tcBorders>
              <w:top w:val="single" w:sz="4" w:space="0" w:color="auto"/>
            </w:tcBorders>
            <w:shd w:val="clear" w:color="auto" w:fill="auto"/>
            <w:tcMar>
              <w:top w:w="110" w:type="dxa"/>
            </w:tcMar>
            <w:vAlign w:val="center"/>
          </w:tcPr>
          <w:p w:rsidR="00B070BF" w:rsidRPr="009577DE" w:rsidRDefault="00B070BF" w:rsidP="00C33D4A">
            <w:pPr>
              <w:widowControl w:val="0"/>
              <w:spacing w:after="120"/>
              <w:jc w:val="center"/>
              <w:rPr>
                <w:b/>
                <w:bCs/>
                <w:sz w:val="16"/>
                <w:szCs w:val="16"/>
                <w:lang w:val="es-ES_tradnl"/>
              </w:rPr>
            </w:pPr>
            <w:r w:rsidRPr="009577DE">
              <w:rPr>
                <w:b/>
                <w:bCs/>
                <w:sz w:val="16"/>
                <w:szCs w:val="16"/>
                <w:lang w:val="es-ES_tradnl"/>
              </w:rPr>
              <w:t>Clave de colores</w:t>
            </w:r>
          </w:p>
        </w:tc>
      </w:tr>
      <w:tr w:rsidR="00B070BF" w:rsidRPr="009577DE" w:rsidTr="00C33D4A">
        <w:trPr>
          <w:cantSplit/>
        </w:trPr>
        <w:tc>
          <w:tcPr>
            <w:tcW w:w="959" w:type="pct"/>
            <w:shd w:val="clear" w:color="auto" w:fill="auto"/>
          </w:tcPr>
          <w:p w:rsidR="00B070BF" w:rsidRPr="009577DE" w:rsidRDefault="00B070BF" w:rsidP="00C33D4A">
            <w:pPr>
              <w:widowControl w:val="0"/>
              <w:rPr>
                <w:sz w:val="16"/>
                <w:szCs w:val="16"/>
                <w:lang w:val="es-ES_tradnl"/>
              </w:rPr>
            </w:pPr>
            <w:r w:rsidRPr="009577DE">
              <w:rPr>
                <w:sz w:val="16"/>
                <w:szCs w:val="16"/>
                <w:lang w:val="es-ES_tradnl"/>
              </w:rPr>
              <w:t>Índice de satisfacción de los clientes y partes interesadas.</w:t>
            </w:r>
          </w:p>
        </w:tc>
        <w:tc>
          <w:tcPr>
            <w:tcW w:w="783" w:type="pct"/>
            <w:shd w:val="clear" w:color="auto" w:fill="C0C0C0"/>
          </w:tcPr>
          <w:p w:rsidR="00B070BF" w:rsidRPr="009577DE" w:rsidRDefault="00B070BF" w:rsidP="00C33D4A">
            <w:pPr>
              <w:widowControl w:val="0"/>
              <w:rPr>
                <w:sz w:val="16"/>
                <w:szCs w:val="16"/>
                <w:lang w:val="es-ES_tradnl"/>
              </w:rPr>
            </w:pPr>
            <w:r w:rsidRPr="009577DE">
              <w:rPr>
                <w:sz w:val="16"/>
                <w:szCs w:val="16"/>
                <w:lang w:val="es-ES_tradnl"/>
              </w:rPr>
              <w:t>Por determinar.</w:t>
            </w:r>
          </w:p>
        </w:tc>
        <w:tc>
          <w:tcPr>
            <w:tcW w:w="894" w:type="pct"/>
            <w:shd w:val="clear" w:color="auto" w:fill="auto"/>
            <w:tcMar>
              <w:top w:w="110" w:type="dxa"/>
            </w:tcMar>
          </w:tcPr>
          <w:p w:rsidR="00B070BF" w:rsidRPr="00F2661C" w:rsidRDefault="00B070BF" w:rsidP="00C33D4A">
            <w:pPr>
              <w:widowControl w:val="0"/>
              <w:rPr>
                <w:color w:val="993300"/>
                <w:sz w:val="16"/>
                <w:szCs w:val="16"/>
                <w:lang w:val="es-ES_tradnl"/>
              </w:rPr>
            </w:pPr>
            <w:r w:rsidRPr="00F2661C">
              <w:rPr>
                <w:color w:val="993300"/>
                <w:sz w:val="16"/>
                <w:szCs w:val="16"/>
                <w:lang w:val="es-ES_tradnl"/>
              </w:rPr>
              <w:t>86 (marzo de 2012)</w:t>
            </w:r>
          </w:p>
        </w:tc>
        <w:tc>
          <w:tcPr>
            <w:tcW w:w="1827" w:type="pct"/>
            <w:shd w:val="clear" w:color="auto" w:fill="FFFFFF"/>
            <w:tcMar>
              <w:top w:w="110" w:type="dxa"/>
            </w:tcMar>
          </w:tcPr>
          <w:p w:rsidR="00B070BF" w:rsidRPr="009577DE" w:rsidRDefault="00B070BF" w:rsidP="00C33D4A">
            <w:pPr>
              <w:widowControl w:val="0"/>
              <w:rPr>
                <w:sz w:val="16"/>
                <w:szCs w:val="16"/>
                <w:lang w:val="es-ES_tradnl" w:bidi="th-TH"/>
              </w:rPr>
            </w:pPr>
            <w:r w:rsidRPr="009577DE">
              <w:rPr>
                <w:sz w:val="16"/>
                <w:szCs w:val="16"/>
                <w:lang w:val="es-ES_tradnl" w:bidi="th-TH"/>
              </w:rPr>
              <w:t>El 86% de los usuarios de los sistemas de Madrid y La Haya está satisfecho o muy satisfecho (resultados de la encuesta de 2012).</w:t>
            </w:r>
          </w:p>
          <w:p w:rsidR="00B070BF" w:rsidRPr="009577DE" w:rsidRDefault="00B070BF" w:rsidP="00C33D4A">
            <w:pPr>
              <w:widowControl w:val="0"/>
              <w:rPr>
                <w:sz w:val="16"/>
                <w:szCs w:val="16"/>
                <w:lang w:val="es-ES_tradnl"/>
              </w:rPr>
            </w:pPr>
          </w:p>
        </w:tc>
        <w:tc>
          <w:tcPr>
            <w:tcW w:w="537" w:type="pct"/>
            <w:shd w:val="clear" w:color="auto" w:fill="auto"/>
            <w:tcMar>
              <w:top w:w="110" w:type="dxa"/>
            </w:tcMar>
          </w:tcPr>
          <w:p w:rsidR="00B070BF" w:rsidRPr="009577DE" w:rsidRDefault="00B070BF" w:rsidP="00C33D4A">
            <w:pPr>
              <w:widowControl w:val="0"/>
              <w:jc w:val="center"/>
              <w:rPr>
                <w:bCs/>
                <w:sz w:val="16"/>
                <w:szCs w:val="16"/>
                <w:lang w:val="es-ES_tradnl"/>
              </w:rPr>
            </w:pPr>
            <w:r w:rsidRPr="009577DE">
              <w:rPr>
                <w:b/>
                <w:color w:val="008000"/>
                <w:sz w:val="16"/>
                <w:szCs w:val="16"/>
                <w:lang w:val="es-ES_tradnl"/>
              </w:rPr>
              <w:t>Progresa con normalidad</w:t>
            </w:r>
          </w:p>
        </w:tc>
      </w:tr>
      <w:tr w:rsidR="00B070BF" w:rsidRPr="009577DE" w:rsidTr="00C33D4A">
        <w:trPr>
          <w:cantSplit/>
        </w:trPr>
        <w:tc>
          <w:tcPr>
            <w:tcW w:w="959" w:type="pct"/>
            <w:shd w:val="clear" w:color="auto" w:fill="auto"/>
          </w:tcPr>
          <w:p w:rsidR="00B070BF" w:rsidRPr="009577DE" w:rsidRDefault="00B070BF" w:rsidP="00C33D4A">
            <w:pPr>
              <w:widowControl w:val="0"/>
              <w:rPr>
                <w:sz w:val="16"/>
                <w:szCs w:val="16"/>
                <w:lang w:val="es-ES_tradnl"/>
              </w:rPr>
            </w:pPr>
            <w:r w:rsidRPr="009577DE">
              <w:rPr>
                <w:sz w:val="16"/>
                <w:szCs w:val="16"/>
                <w:lang w:val="es-ES_tradnl"/>
              </w:rPr>
              <w:t>Tiempo de atención de las solicitudes de información gestionadas mediante el sistema de identificación (</w:t>
            </w:r>
            <w:proofErr w:type="spellStart"/>
            <w:r w:rsidRPr="009577DE">
              <w:rPr>
                <w:sz w:val="16"/>
                <w:szCs w:val="16"/>
                <w:lang w:val="es-ES_tradnl"/>
              </w:rPr>
              <w:t>ticketing</w:t>
            </w:r>
            <w:proofErr w:type="spellEnd"/>
            <w:r w:rsidRPr="009577DE">
              <w:rPr>
                <w:sz w:val="16"/>
                <w:szCs w:val="16"/>
                <w:lang w:val="es-ES_tradnl"/>
              </w:rPr>
              <w:t xml:space="preserve"> </w:t>
            </w:r>
            <w:proofErr w:type="spellStart"/>
            <w:r w:rsidRPr="009577DE">
              <w:rPr>
                <w:sz w:val="16"/>
                <w:szCs w:val="16"/>
                <w:lang w:val="es-ES_tradnl"/>
              </w:rPr>
              <w:t>system</w:t>
            </w:r>
            <w:proofErr w:type="spellEnd"/>
            <w:r w:rsidRPr="009577DE">
              <w:rPr>
                <w:sz w:val="16"/>
                <w:szCs w:val="16"/>
                <w:lang w:val="es-ES_tradnl"/>
              </w:rPr>
              <w:t>).</w:t>
            </w:r>
          </w:p>
        </w:tc>
        <w:tc>
          <w:tcPr>
            <w:tcW w:w="783" w:type="pct"/>
            <w:shd w:val="clear" w:color="auto" w:fill="C0C0C0"/>
          </w:tcPr>
          <w:p w:rsidR="00B070BF" w:rsidRPr="009577DE" w:rsidRDefault="00B070BF" w:rsidP="00C33D4A">
            <w:pPr>
              <w:widowControl w:val="0"/>
              <w:rPr>
                <w:sz w:val="16"/>
                <w:szCs w:val="16"/>
                <w:lang w:val="es-ES_tradnl"/>
              </w:rPr>
            </w:pPr>
            <w:r w:rsidRPr="009577DE">
              <w:rPr>
                <w:sz w:val="16"/>
                <w:szCs w:val="16"/>
                <w:lang w:val="es-ES_tradnl"/>
              </w:rPr>
              <w:t>Datos de septiembre a diciembre de 2011</w:t>
            </w:r>
          </w:p>
        </w:tc>
        <w:tc>
          <w:tcPr>
            <w:tcW w:w="894" w:type="pct"/>
            <w:shd w:val="clear" w:color="auto" w:fill="auto"/>
            <w:tcMar>
              <w:top w:w="110" w:type="dxa"/>
            </w:tcMar>
          </w:tcPr>
          <w:p w:rsidR="00B070BF" w:rsidRPr="00F2661C" w:rsidRDefault="00B070BF" w:rsidP="00C33D4A">
            <w:pPr>
              <w:widowControl w:val="0"/>
              <w:rPr>
                <w:color w:val="993300"/>
                <w:sz w:val="16"/>
                <w:szCs w:val="16"/>
                <w:lang w:val="es-ES_tradnl"/>
              </w:rPr>
            </w:pPr>
            <w:r w:rsidRPr="00F2661C">
              <w:rPr>
                <w:color w:val="993300"/>
                <w:sz w:val="16"/>
                <w:szCs w:val="16"/>
                <w:lang w:val="es-ES_tradnl"/>
              </w:rPr>
              <w:t>70%</w:t>
            </w:r>
          </w:p>
        </w:tc>
        <w:tc>
          <w:tcPr>
            <w:tcW w:w="1827" w:type="pct"/>
            <w:shd w:val="clear" w:color="auto" w:fill="FFFFFF"/>
            <w:tcMar>
              <w:top w:w="110" w:type="dxa"/>
            </w:tcMar>
          </w:tcPr>
          <w:p w:rsidR="00B070BF" w:rsidRPr="009577DE" w:rsidRDefault="00B070BF" w:rsidP="00C33D4A">
            <w:pPr>
              <w:widowControl w:val="0"/>
              <w:rPr>
                <w:sz w:val="16"/>
                <w:szCs w:val="16"/>
                <w:lang w:val="es-ES_tradnl" w:bidi="th-TH"/>
              </w:rPr>
            </w:pPr>
            <w:r w:rsidRPr="009577DE">
              <w:rPr>
                <w:sz w:val="16"/>
                <w:szCs w:val="16"/>
                <w:lang w:val="es-ES_tradnl" w:bidi="th-TH"/>
              </w:rPr>
              <w:t>El 90% de las solicitudes de información recibidas en el Centro de Atención al Cliente entre el 27 de marzo de 2012 y el 27 de marzo de 2013 se tramitó en el plazo de 3 días hábiles.</w:t>
            </w:r>
          </w:p>
          <w:p w:rsidR="00B070BF" w:rsidRPr="009577DE" w:rsidRDefault="00B070BF" w:rsidP="00C33D4A">
            <w:pPr>
              <w:widowControl w:val="0"/>
              <w:rPr>
                <w:sz w:val="16"/>
                <w:szCs w:val="16"/>
                <w:lang w:val="es-ES_tradnl"/>
              </w:rPr>
            </w:pPr>
          </w:p>
        </w:tc>
        <w:tc>
          <w:tcPr>
            <w:tcW w:w="537" w:type="pct"/>
            <w:shd w:val="clear" w:color="auto" w:fill="auto"/>
            <w:tcMar>
              <w:top w:w="110" w:type="dxa"/>
            </w:tcMar>
          </w:tcPr>
          <w:p w:rsidR="00B070BF" w:rsidRPr="009577DE" w:rsidRDefault="00B070BF" w:rsidP="00C33D4A">
            <w:pPr>
              <w:widowControl w:val="0"/>
              <w:jc w:val="center"/>
              <w:rPr>
                <w:bCs/>
                <w:sz w:val="16"/>
                <w:szCs w:val="16"/>
                <w:lang w:val="es-ES_tradnl"/>
              </w:rPr>
            </w:pPr>
            <w:r w:rsidRPr="009577DE">
              <w:rPr>
                <w:b/>
                <w:color w:val="008000"/>
                <w:sz w:val="16"/>
                <w:szCs w:val="16"/>
                <w:lang w:val="es-ES_tradnl"/>
              </w:rPr>
              <w:t>Progresa con normalidad</w:t>
            </w:r>
          </w:p>
        </w:tc>
      </w:tr>
    </w:tbl>
    <w:p w:rsidR="00B070BF" w:rsidRPr="009577DE" w:rsidRDefault="00B070BF" w:rsidP="00B070BF">
      <w:pPr>
        <w:widowControl w:val="0"/>
        <w:rPr>
          <w:b/>
          <w:sz w:val="18"/>
          <w:szCs w:val="18"/>
          <w:lang w:val="es-ES_tradnl"/>
        </w:rPr>
      </w:pPr>
    </w:p>
    <w:p w:rsidR="00B070BF" w:rsidRPr="009577DE" w:rsidRDefault="00B070BF" w:rsidP="00B070BF">
      <w:pPr>
        <w:widowControl w:val="0"/>
        <w:rPr>
          <w:sz w:val="18"/>
          <w:szCs w:val="18"/>
          <w:lang w:val="es-ES_tradnl"/>
        </w:rPr>
      </w:pPr>
    </w:p>
    <w:p w:rsidR="00B070BF" w:rsidRPr="009577DE" w:rsidRDefault="00B070BF" w:rsidP="00B070BF">
      <w:pPr>
        <w:widowControl w:val="0"/>
        <w:rPr>
          <w:sz w:val="20"/>
          <w:szCs w:val="22"/>
          <w:lang w:val="es-ES_tradnl"/>
        </w:rPr>
      </w:pPr>
      <w:r w:rsidRPr="009577DE">
        <w:rPr>
          <w:sz w:val="20"/>
          <w:szCs w:val="22"/>
          <w:lang w:val="es-ES_tradnl"/>
        </w:rPr>
        <w:t>PRESUPUESTO Y GASTOS REALES</w:t>
      </w:r>
    </w:p>
    <w:p w:rsidR="00B070BF" w:rsidRPr="006964C6" w:rsidRDefault="00B070BF" w:rsidP="00B070BF">
      <w:pPr>
        <w:widowControl w:val="0"/>
        <w:rPr>
          <w:sz w:val="20"/>
          <w:lang w:val="es-ES_tradnl"/>
        </w:rPr>
      </w:pPr>
    </w:p>
    <w:p w:rsidR="00B070BF" w:rsidRPr="006964C6" w:rsidRDefault="00B070BF" w:rsidP="00B070BF">
      <w:pPr>
        <w:widowControl w:val="0"/>
        <w:jc w:val="center"/>
        <w:rPr>
          <w:sz w:val="20"/>
          <w:lang w:val="es-ES_tradnl"/>
        </w:rPr>
      </w:pPr>
      <w:r w:rsidRPr="006964C6">
        <w:rPr>
          <w:sz w:val="20"/>
          <w:lang w:val="es-ES_tradnl"/>
        </w:rPr>
        <w:t>Presupuesto y gastos reales (por resultado)</w:t>
      </w:r>
    </w:p>
    <w:p w:rsidR="00B070BF" w:rsidRPr="009577DE" w:rsidRDefault="00B070BF" w:rsidP="00B070BF">
      <w:pPr>
        <w:widowControl w:val="0"/>
        <w:jc w:val="center"/>
        <w:rPr>
          <w:szCs w:val="22"/>
          <w:lang w:val="es-ES_tradnl"/>
        </w:rPr>
      </w:pPr>
      <w:r w:rsidRPr="006964C6">
        <w:rPr>
          <w:i/>
          <w:iCs/>
          <w:sz w:val="20"/>
          <w:lang w:val="es-ES_tradnl"/>
        </w:rPr>
        <w:t>(en miles de francos suizos)</w:t>
      </w:r>
      <w:r w:rsidRPr="006964C6">
        <w:rPr>
          <w:i/>
          <w:iCs/>
          <w:sz w:val="20"/>
          <w:lang w:val="es-ES_tradnl"/>
        </w:rPr>
        <w:br/>
      </w:r>
      <w:r w:rsidRPr="006964C6">
        <w:rPr>
          <w:i/>
          <w:iCs/>
          <w:sz w:val="20"/>
          <w:lang w:val="es-ES_tradnl"/>
        </w:rPr>
        <w:br/>
      </w:r>
      <w:r w:rsidRPr="009577DE">
        <w:rPr>
          <w:noProof/>
          <w:lang w:val="en-US" w:eastAsia="en-US"/>
        </w:rPr>
        <w:drawing>
          <wp:inline distT="0" distB="0" distL="0" distR="0" wp14:anchorId="39892F20" wp14:editId="5EE19F5D">
            <wp:extent cx="5902325" cy="1318260"/>
            <wp:effectExtent l="0" t="0" r="3175" b="0"/>
            <wp:docPr id="236" name="Pictur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902325" cy="1318260"/>
                    </a:xfrm>
                    <a:prstGeom prst="rect">
                      <a:avLst/>
                    </a:prstGeom>
                    <a:noFill/>
                    <a:ln>
                      <a:noFill/>
                    </a:ln>
                  </pic:spPr>
                </pic:pic>
              </a:graphicData>
            </a:graphic>
          </wp:inline>
        </w:drawing>
      </w:r>
    </w:p>
    <w:p w:rsidR="00B070BF" w:rsidRPr="006964C6" w:rsidRDefault="00B070BF" w:rsidP="00B070BF">
      <w:pPr>
        <w:widowControl w:val="0"/>
        <w:jc w:val="center"/>
        <w:rPr>
          <w:sz w:val="20"/>
          <w:lang w:val="es-ES_tradnl"/>
        </w:rPr>
      </w:pPr>
    </w:p>
    <w:p w:rsidR="00B070BF" w:rsidRPr="006964C6" w:rsidRDefault="00B070BF" w:rsidP="00B070BF">
      <w:pPr>
        <w:widowControl w:val="0"/>
        <w:jc w:val="center"/>
        <w:rPr>
          <w:sz w:val="20"/>
          <w:lang w:val="es-ES_tradnl"/>
        </w:rPr>
      </w:pPr>
    </w:p>
    <w:p w:rsidR="00B070BF" w:rsidRPr="009577DE" w:rsidRDefault="00B070BF" w:rsidP="00B070BF">
      <w:pPr>
        <w:widowControl w:val="0"/>
        <w:jc w:val="center"/>
        <w:rPr>
          <w:sz w:val="20"/>
          <w:lang w:val="es-ES_tradnl"/>
        </w:rPr>
      </w:pPr>
      <w:r w:rsidRPr="006964C6">
        <w:rPr>
          <w:sz w:val="20"/>
          <w:lang w:val="es-ES_tradnl"/>
        </w:rPr>
        <w:t>Presupuesto y gastos reales (de personal y no relativos al personal)</w:t>
      </w:r>
      <w:r w:rsidRPr="006964C6">
        <w:rPr>
          <w:sz w:val="20"/>
          <w:lang w:val="es-ES_tradnl"/>
        </w:rPr>
        <w:br/>
      </w:r>
      <w:r w:rsidRPr="006964C6">
        <w:rPr>
          <w:i/>
          <w:sz w:val="20"/>
          <w:lang w:val="es-ES_tradnl"/>
        </w:rPr>
        <w:t>(en miles de francos suizos)</w:t>
      </w:r>
      <w:r w:rsidRPr="006964C6">
        <w:rPr>
          <w:sz w:val="20"/>
          <w:lang w:val="es-ES_tradnl"/>
        </w:rPr>
        <w:br/>
      </w:r>
      <w:r w:rsidRPr="006964C6">
        <w:rPr>
          <w:sz w:val="20"/>
          <w:lang w:val="es-ES_tradnl"/>
        </w:rPr>
        <w:br/>
      </w:r>
      <w:r w:rsidRPr="009577DE">
        <w:rPr>
          <w:noProof/>
          <w:lang w:val="en-US" w:eastAsia="en-US"/>
        </w:rPr>
        <w:drawing>
          <wp:inline distT="0" distB="0" distL="0" distR="0" wp14:anchorId="10AB8A3B" wp14:editId="1FE2ABF0">
            <wp:extent cx="5902325" cy="1235075"/>
            <wp:effectExtent l="0" t="0" r="3175" b="3175"/>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902325" cy="1235075"/>
                    </a:xfrm>
                    <a:prstGeom prst="rect">
                      <a:avLst/>
                    </a:prstGeom>
                    <a:noFill/>
                    <a:ln>
                      <a:noFill/>
                    </a:ln>
                  </pic:spPr>
                </pic:pic>
              </a:graphicData>
            </a:graphic>
          </wp:inline>
        </w:drawing>
      </w:r>
    </w:p>
    <w:p w:rsidR="00B070BF" w:rsidRPr="009577DE" w:rsidRDefault="00B070BF" w:rsidP="00B070BF">
      <w:pPr>
        <w:widowControl w:val="0"/>
        <w:autoSpaceDE w:val="0"/>
        <w:autoSpaceDN w:val="0"/>
        <w:adjustRightInd w:val="0"/>
        <w:jc w:val="both"/>
        <w:rPr>
          <w:sz w:val="16"/>
          <w:szCs w:val="16"/>
          <w:lang w:val="es-ES_tradnl"/>
        </w:rPr>
      </w:pPr>
    </w:p>
    <w:p w:rsidR="00B070BF" w:rsidRPr="009577DE" w:rsidRDefault="00B070BF" w:rsidP="00B070BF">
      <w:pPr>
        <w:widowControl w:val="0"/>
        <w:autoSpaceDE w:val="0"/>
        <w:autoSpaceDN w:val="0"/>
        <w:adjustRightInd w:val="0"/>
        <w:rPr>
          <w:sz w:val="16"/>
          <w:szCs w:val="16"/>
          <w:lang w:val="es-ES_tradnl"/>
        </w:rPr>
      </w:pPr>
      <w:r w:rsidRPr="007C3E0F">
        <w:rPr>
          <w:sz w:val="16"/>
          <w:szCs w:val="16"/>
          <w:lang w:val="es-ES_tradnl"/>
        </w:rPr>
        <w:t>NOTAS:</w:t>
      </w:r>
    </w:p>
    <w:p w:rsidR="00B070BF" w:rsidRPr="009577DE" w:rsidRDefault="00B070BF" w:rsidP="00B070BF">
      <w:pPr>
        <w:widowControl w:val="0"/>
        <w:autoSpaceDE w:val="0"/>
        <w:autoSpaceDN w:val="0"/>
        <w:adjustRightInd w:val="0"/>
        <w:rPr>
          <w:sz w:val="16"/>
          <w:szCs w:val="16"/>
          <w:lang w:val="es-ES_tradnl"/>
        </w:rPr>
      </w:pPr>
    </w:p>
    <w:p w:rsidR="00B070BF" w:rsidRPr="009577DE" w:rsidRDefault="00B070BF" w:rsidP="00B070BF">
      <w:pPr>
        <w:widowControl w:val="0"/>
        <w:autoSpaceDE w:val="0"/>
        <w:autoSpaceDN w:val="0"/>
        <w:adjustRightInd w:val="0"/>
        <w:rPr>
          <w:sz w:val="16"/>
          <w:szCs w:val="16"/>
          <w:lang w:val="es-ES_tradnl"/>
        </w:rPr>
      </w:pPr>
      <w:r w:rsidRPr="009577DE">
        <w:rPr>
          <w:sz w:val="16"/>
          <w:szCs w:val="16"/>
          <w:lang w:val="es-ES_tradnl"/>
        </w:rPr>
        <w:t>1) El presupuesto después de las transferencias refleja el presupuesto de los programas ajustado después de las transferencias efectuadas en 2012/13 en virtud del artículo 5.5 del Reglamento Financiero.</w:t>
      </w:r>
    </w:p>
    <w:p w:rsidR="00B070BF" w:rsidRPr="009577DE" w:rsidRDefault="00B070BF" w:rsidP="00B070BF">
      <w:pPr>
        <w:widowControl w:val="0"/>
        <w:autoSpaceDE w:val="0"/>
        <w:autoSpaceDN w:val="0"/>
        <w:adjustRightInd w:val="0"/>
        <w:rPr>
          <w:sz w:val="16"/>
          <w:szCs w:val="16"/>
          <w:lang w:val="es-ES_tradnl"/>
        </w:rPr>
      </w:pPr>
    </w:p>
    <w:p w:rsidR="00B070BF" w:rsidRPr="009577DE" w:rsidRDefault="00B070BF" w:rsidP="00B070BF">
      <w:pPr>
        <w:widowControl w:val="0"/>
        <w:autoSpaceDE w:val="0"/>
        <w:autoSpaceDN w:val="0"/>
        <w:adjustRightInd w:val="0"/>
        <w:rPr>
          <w:sz w:val="16"/>
          <w:szCs w:val="16"/>
          <w:lang w:val="es-ES_tradnl"/>
        </w:rPr>
      </w:pPr>
      <w:r w:rsidRPr="009577DE">
        <w:rPr>
          <w:sz w:val="16"/>
          <w:szCs w:val="16"/>
          <w:lang w:val="es-ES_tradnl"/>
        </w:rPr>
        <w:t xml:space="preserve">2) La asignación para el personal del presupuesto de 2012/13 después de las transferencias representa los gastos reales efectuados hasta el 31 de marzo de 2013 y los importes presupuestados para los nueve meses restantes de 2013, sobre la base de costos estándar. </w:t>
      </w:r>
    </w:p>
    <w:p w:rsidR="00B070BF" w:rsidRPr="009577DE" w:rsidRDefault="00B070BF" w:rsidP="00B070BF">
      <w:pPr>
        <w:widowControl w:val="0"/>
        <w:autoSpaceDE w:val="0"/>
        <w:autoSpaceDN w:val="0"/>
        <w:adjustRightInd w:val="0"/>
        <w:rPr>
          <w:sz w:val="16"/>
          <w:szCs w:val="16"/>
          <w:lang w:val="es-ES_tradnl"/>
        </w:rPr>
      </w:pPr>
    </w:p>
    <w:p w:rsidR="00B070BF" w:rsidRPr="009577DE" w:rsidRDefault="00B070BF" w:rsidP="00B070BF">
      <w:pPr>
        <w:widowControl w:val="0"/>
        <w:autoSpaceDE w:val="0"/>
        <w:autoSpaceDN w:val="0"/>
        <w:adjustRightInd w:val="0"/>
        <w:rPr>
          <w:sz w:val="16"/>
          <w:szCs w:val="16"/>
          <w:lang w:val="es-ES_tradnl"/>
        </w:rPr>
      </w:pPr>
      <w:r w:rsidRPr="009577DE">
        <w:rPr>
          <w:sz w:val="16"/>
          <w:szCs w:val="16"/>
          <w:lang w:val="es-ES_tradnl"/>
        </w:rPr>
        <w:lastRenderedPageBreak/>
        <w:t>3) La asignación no relativa al personal del presupuesto de 2012/13 después de las transferencias refleja los ajustes a la baja efectuados para aumentar la eficacia en función de los costos, de conformidad con el compromiso de la Organización de reducir gastos por un importe de 10,2 millones de francos suizos en el bienio 2012/13.</w:t>
      </w:r>
    </w:p>
    <w:p w:rsidR="00B070BF" w:rsidRPr="009577DE" w:rsidRDefault="00B070BF" w:rsidP="00B070BF">
      <w:pPr>
        <w:widowControl w:val="0"/>
        <w:autoSpaceDE w:val="0"/>
        <w:autoSpaceDN w:val="0"/>
        <w:adjustRightInd w:val="0"/>
        <w:jc w:val="both"/>
        <w:rPr>
          <w:lang w:val="es-ES_tradnl"/>
        </w:rPr>
      </w:pPr>
    </w:p>
    <w:p w:rsidR="00B070BF" w:rsidRPr="009577DE" w:rsidRDefault="00B070BF" w:rsidP="00B070BF">
      <w:pPr>
        <w:widowControl w:val="0"/>
        <w:autoSpaceDE w:val="0"/>
        <w:autoSpaceDN w:val="0"/>
        <w:adjustRightInd w:val="0"/>
        <w:jc w:val="both"/>
        <w:rPr>
          <w:lang w:val="es-ES_tradnl"/>
        </w:rPr>
      </w:pPr>
    </w:p>
    <w:p w:rsidR="00B070BF" w:rsidRPr="009577DE" w:rsidRDefault="00B070BF" w:rsidP="00B070BF">
      <w:pPr>
        <w:widowControl w:val="0"/>
        <w:rPr>
          <w:sz w:val="20"/>
          <w:u w:val="single"/>
          <w:lang w:val="es-ES_tradnl"/>
        </w:rPr>
      </w:pPr>
      <w:r>
        <w:rPr>
          <w:sz w:val="20"/>
          <w:lang w:val="es-ES_tradnl"/>
        </w:rPr>
        <w:t xml:space="preserve">A.  </w:t>
      </w:r>
      <w:r w:rsidRPr="009577DE">
        <w:rPr>
          <w:sz w:val="20"/>
          <w:u w:val="single"/>
          <w:lang w:val="es-ES_tradnl"/>
        </w:rPr>
        <w:t xml:space="preserve">Presupuesto </w:t>
      </w:r>
      <w:r>
        <w:rPr>
          <w:sz w:val="20"/>
          <w:u w:val="single"/>
          <w:lang w:val="es-ES_tradnl"/>
        </w:rPr>
        <w:t>2012/13</w:t>
      </w:r>
      <w:r w:rsidRPr="009577DE">
        <w:rPr>
          <w:sz w:val="20"/>
          <w:u w:val="single"/>
          <w:lang w:val="es-ES_tradnl"/>
        </w:rPr>
        <w:t xml:space="preserve"> después de las transferencias</w:t>
      </w:r>
    </w:p>
    <w:p w:rsidR="00B070BF" w:rsidRPr="009577DE" w:rsidRDefault="00B070BF" w:rsidP="00B070BF">
      <w:pPr>
        <w:widowControl w:val="0"/>
        <w:rPr>
          <w:sz w:val="20"/>
          <w:u w:val="single"/>
          <w:lang w:val="es-ES_tradnl"/>
        </w:rPr>
      </w:pPr>
    </w:p>
    <w:p w:rsidR="00B070BF" w:rsidRPr="009577DE" w:rsidRDefault="00B070BF" w:rsidP="00B070BF">
      <w:pPr>
        <w:widowControl w:val="0"/>
        <w:numPr>
          <w:ilvl w:val="0"/>
          <w:numId w:val="11"/>
        </w:numPr>
        <w:autoSpaceDE w:val="0"/>
        <w:autoSpaceDN w:val="0"/>
        <w:adjustRightInd w:val="0"/>
        <w:jc w:val="both"/>
        <w:rPr>
          <w:sz w:val="20"/>
          <w:lang w:val="es-ES_tradnl"/>
        </w:rPr>
      </w:pPr>
      <w:r w:rsidRPr="009577DE">
        <w:rPr>
          <w:rFonts w:eastAsia="Batang"/>
          <w:sz w:val="20"/>
          <w:lang w:val="es-ES_tradnl" w:eastAsia="ko-KR"/>
        </w:rPr>
        <w:t>El presupuesto de 2012/13 después de las transferencias refleja los ajustes que se detallan en las notas precedentes.</w:t>
      </w:r>
    </w:p>
    <w:p w:rsidR="00B070BF" w:rsidRPr="009577DE" w:rsidRDefault="00B070BF" w:rsidP="00B070BF">
      <w:pPr>
        <w:widowControl w:val="0"/>
        <w:rPr>
          <w:sz w:val="20"/>
          <w:u w:val="single"/>
          <w:lang w:val="es-ES_tradnl"/>
        </w:rPr>
      </w:pPr>
    </w:p>
    <w:p w:rsidR="00B070BF" w:rsidRPr="009577DE" w:rsidRDefault="00B070BF" w:rsidP="00B070BF">
      <w:pPr>
        <w:widowControl w:val="0"/>
        <w:jc w:val="both"/>
        <w:rPr>
          <w:rFonts w:eastAsia="Batang"/>
          <w:sz w:val="20"/>
          <w:lang w:val="es-ES_tradnl" w:eastAsia="ko-KR"/>
        </w:rPr>
      </w:pPr>
      <w:r w:rsidRPr="009577DE">
        <w:rPr>
          <w:rFonts w:eastAsia="Batang"/>
          <w:sz w:val="20"/>
          <w:lang w:val="es-ES_tradnl" w:eastAsia="ko-KR"/>
        </w:rPr>
        <w:t>B.</w:t>
      </w:r>
      <w:r>
        <w:rPr>
          <w:rFonts w:eastAsia="Batang"/>
          <w:sz w:val="20"/>
          <w:lang w:val="es-ES_tradnl" w:eastAsia="ko-KR"/>
        </w:rPr>
        <w:t xml:space="preserve"> </w:t>
      </w:r>
      <w:r w:rsidRPr="009577DE">
        <w:rPr>
          <w:rFonts w:eastAsia="Batang"/>
          <w:sz w:val="20"/>
          <w:lang w:val="es-ES_tradnl" w:eastAsia="ko-KR"/>
        </w:rPr>
        <w:t xml:space="preserve"> </w:t>
      </w:r>
      <w:r w:rsidRPr="009577DE">
        <w:rPr>
          <w:rFonts w:eastAsia="Batang"/>
          <w:sz w:val="20"/>
          <w:u w:val="single"/>
          <w:lang w:val="es-ES_tradnl" w:eastAsia="ko-KR"/>
        </w:rPr>
        <w:t>Utilización del presupuesto 2012</w:t>
      </w:r>
    </w:p>
    <w:p w:rsidR="00B070BF" w:rsidRPr="009577DE" w:rsidRDefault="00B070BF" w:rsidP="00B070BF">
      <w:pPr>
        <w:widowControl w:val="0"/>
        <w:rPr>
          <w:sz w:val="20"/>
          <w:lang w:val="es-ES_tradnl"/>
        </w:rPr>
      </w:pPr>
    </w:p>
    <w:p w:rsidR="00B070BF" w:rsidRPr="009577DE" w:rsidRDefault="00B070BF" w:rsidP="00B070BF">
      <w:pPr>
        <w:widowControl w:val="0"/>
        <w:numPr>
          <w:ilvl w:val="0"/>
          <w:numId w:val="11"/>
        </w:numPr>
        <w:autoSpaceDE w:val="0"/>
        <w:autoSpaceDN w:val="0"/>
        <w:adjustRightInd w:val="0"/>
        <w:jc w:val="both"/>
        <w:rPr>
          <w:rFonts w:eastAsia="Batang"/>
          <w:sz w:val="20"/>
          <w:lang w:val="es-ES_tradnl" w:eastAsia="ko-KR"/>
        </w:rPr>
      </w:pPr>
      <w:r w:rsidRPr="009577DE">
        <w:rPr>
          <w:rFonts w:eastAsia="Batang"/>
          <w:sz w:val="20"/>
          <w:lang w:val="es-ES_tradnl" w:eastAsia="ko-KR"/>
        </w:rPr>
        <w:t>La utilización del presupuesto se mantiene entre el 40% y el 60% en el primer año del bienio y progresa con normalidad.</w:t>
      </w:r>
    </w:p>
    <w:p w:rsidR="00B070BF" w:rsidRPr="009577DE" w:rsidRDefault="00B070BF" w:rsidP="00B070BF">
      <w:pPr>
        <w:widowControl w:val="0"/>
        <w:rPr>
          <w:sz w:val="20"/>
          <w:lang w:val="es-ES_tradnl"/>
        </w:rPr>
      </w:pPr>
    </w:p>
    <w:p w:rsidR="00B070BF" w:rsidRPr="009577DE" w:rsidRDefault="00B070BF" w:rsidP="00B070BF">
      <w:pPr>
        <w:widowControl w:val="0"/>
        <w:rPr>
          <w:b/>
          <w:sz w:val="20"/>
          <w:lang w:val="es-ES_tradnl"/>
        </w:rPr>
      </w:pPr>
    </w:p>
    <w:p w:rsidR="00B070BF" w:rsidRPr="009577DE" w:rsidRDefault="00B070BF" w:rsidP="00B070BF">
      <w:pPr>
        <w:widowControl w:val="0"/>
        <w:spacing w:before="240" w:after="60"/>
        <w:ind w:left="2835" w:hanging="2835"/>
        <w:outlineLvl w:val="1"/>
        <w:rPr>
          <w:b/>
          <w:iCs/>
          <w:caps/>
          <w:szCs w:val="22"/>
          <w:lang w:val="es-ES_tradnl"/>
        </w:rPr>
      </w:pPr>
      <w:r w:rsidRPr="009577DE">
        <w:rPr>
          <w:bCs/>
          <w:iCs/>
          <w:caps/>
          <w:szCs w:val="28"/>
          <w:lang w:val="es-ES_tradnl"/>
        </w:rPr>
        <w:br w:type="page"/>
      </w:r>
      <w:bookmarkStart w:id="52" w:name="_Toc359846806"/>
      <w:bookmarkStart w:id="53" w:name="_Toc359949330"/>
      <w:r w:rsidRPr="009577DE">
        <w:rPr>
          <w:b/>
          <w:iCs/>
          <w:szCs w:val="22"/>
          <w:lang w:val="es-ES_tradnl"/>
        </w:rPr>
        <w:lastRenderedPageBreak/>
        <w:t>PROGRAMA 20</w:t>
      </w:r>
      <w:r w:rsidRPr="009577DE">
        <w:rPr>
          <w:iCs/>
          <w:szCs w:val="22"/>
          <w:lang w:val="es-ES_tradnl"/>
        </w:rPr>
        <w:tab/>
      </w:r>
      <w:r w:rsidRPr="009577DE">
        <w:rPr>
          <w:b/>
          <w:iCs/>
          <w:szCs w:val="22"/>
          <w:lang w:val="es-ES_tradnl"/>
        </w:rPr>
        <w:t>RELACIONES EXTERIORES, ALIANZAS Y OFICINAS E</w:t>
      </w:r>
      <w:r>
        <w:rPr>
          <w:b/>
          <w:iCs/>
          <w:szCs w:val="22"/>
          <w:lang w:val="es-ES_tradnl"/>
        </w:rPr>
        <w:t>N EL EXTERIOR</w:t>
      </w:r>
      <w:bookmarkEnd w:id="52"/>
      <w:bookmarkEnd w:id="53"/>
    </w:p>
    <w:p w:rsidR="00B070BF" w:rsidRPr="009577DE" w:rsidRDefault="00B070BF" w:rsidP="00B070BF">
      <w:pPr>
        <w:widowControl w:val="0"/>
        <w:rPr>
          <w:sz w:val="18"/>
          <w:szCs w:val="18"/>
          <w:lang w:val="es-ES_tradnl"/>
        </w:rPr>
      </w:pPr>
    </w:p>
    <w:p w:rsidR="00B070BF" w:rsidRPr="009577DE" w:rsidRDefault="00B070BF" w:rsidP="00B070BF">
      <w:pPr>
        <w:widowControl w:val="0"/>
        <w:rPr>
          <w:sz w:val="18"/>
          <w:szCs w:val="18"/>
          <w:lang w:val="es-ES_tradnl"/>
        </w:rPr>
      </w:pPr>
    </w:p>
    <w:p w:rsidR="00B070BF" w:rsidRPr="009577DE" w:rsidRDefault="00B070BF" w:rsidP="00B070BF">
      <w:pPr>
        <w:widowControl w:val="0"/>
        <w:tabs>
          <w:tab w:val="left" w:pos="2268"/>
        </w:tabs>
        <w:rPr>
          <w:b/>
          <w:szCs w:val="22"/>
        </w:rPr>
      </w:pPr>
      <w:r w:rsidRPr="009577DE">
        <w:rPr>
          <w:b/>
          <w:szCs w:val="22"/>
          <w:lang w:val="es-ES_tradnl"/>
        </w:rPr>
        <w:t>Director del Programa</w:t>
      </w:r>
      <w:r w:rsidRPr="009577DE">
        <w:rPr>
          <w:b/>
          <w:szCs w:val="22"/>
          <w:lang w:val="es-ES_tradnl"/>
        </w:rPr>
        <w:tab/>
        <w:t xml:space="preserve">Sr. J. </w:t>
      </w:r>
      <w:r w:rsidRPr="009577DE">
        <w:rPr>
          <w:b/>
          <w:szCs w:val="22"/>
        </w:rPr>
        <w:t>C. Wichard</w:t>
      </w:r>
    </w:p>
    <w:p w:rsidR="00B070BF" w:rsidRPr="009577DE" w:rsidRDefault="00B070BF" w:rsidP="00B070BF">
      <w:pPr>
        <w:widowControl w:val="0"/>
        <w:rPr>
          <w:sz w:val="20"/>
        </w:rPr>
      </w:pPr>
    </w:p>
    <w:p w:rsidR="00B070BF" w:rsidRPr="009577DE" w:rsidRDefault="00B070BF" w:rsidP="00B070BF">
      <w:pPr>
        <w:widowControl w:val="0"/>
        <w:rPr>
          <w:bCs/>
          <w:sz w:val="20"/>
        </w:rPr>
      </w:pPr>
    </w:p>
    <w:p w:rsidR="00B070BF" w:rsidRPr="009577DE" w:rsidRDefault="00B070BF" w:rsidP="00B070BF">
      <w:pPr>
        <w:widowControl w:val="0"/>
        <w:spacing w:line="260" w:lineRule="atLeast"/>
        <w:jc w:val="both"/>
        <w:rPr>
          <w:bCs/>
          <w:sz w:val="20"/>
          <w:lang w:val="es-ES_tradnl"/>
        </w:rPr>
      </w:pPr>
      <w:r w:rsidRPr="009577DE">
        <w:rPr>
          <w:bCs/>
          <w:sz w:val="20"/>
          <w:lang w:val="es-ES_tradnl"/>
        </w:rPr>
        <w:t>RESEÑA DE LOS AVANCES LOGRADOS EN 2012</w:t>
      </w:r>
    </w:p>
    <w:p w:rsidR="00B070BF" w:rsidRPr="009577DE" w:rsidRDefault="00B070BF" w:rsidP="00B070BF">
      <w:pPr>
        <w:widowControl w:val="0"/>
        <w:jc w:val="both"/>
        <w:rPr>
          <w:sz w:val="20"/>
          <w:lang w:val="es-ES_tradnl"/>
        </w:rPr>
      </w:pPr>
    </w:p>
    <w:p w:rsidR="00B070BF" w:rsidRPr="009577DE" w:rsidRDefault="00B070BF" w:rsidP="00B070BF">
      <w:pPr>
        <w:widowControl w:val="0"/>
        <w:jc w:val="both"/>
        <w:rPr>
          <w:sz w:val="20"/>
          <w:lang w:val="es-ES_tradnl"/>
        </w:rPr>
      </w:pPr>
    </w:p>
    <w:p w:rsidR="00B070BF" w:rsidRPr="009577DE" w:rsidRDefault="00B070BF" w:rsidP="00B070BF">
      <w:pPr>
        <w:widowControl w:val="0"/>
        <w:jc w:val="both"/>
        <w:rPr>
          <w:b/>
          <w:sz w:val="20"/>
          <w:lang w:val="en-US"/>
        </w:rPr>
      </w:pPr>
      <w:r w:rsidRPr="009577DE">
        <w:rPr>
          <w:b/>
          <w:sz w:val="20"/>
          <w:lang w:val="es-ES_tradnl"/>
        </w:rPr>
        <w:t>Relaciones exteriores</w:t>
      </w:r>
    </w:p>
    <w:p w:rsidR="00B070BF" w:rsidRPr="009577DE" w:rsidRDefault="00B070BF" w:rsidP="00B070BF">
      <w:pPr>
        <w:widowControl w:val="0"/>
        <w:jc w:val="both"/>
        <w:rPr>
          <w:sz w:val="20"/>
          <w:lang w:val="en-US"/>
        </w:rPr>
      </w:pPr>
    </w:p>
    <w:p w:rsidR="00B070BF" w:rsidRPr="009577DE" w:rsidRDefault="00B070BF" w:rsidP="00B070BF">
      <w:pPr>
        <w:widowControl w:val="0"/>
        <w:numPr>
          <w:ilvl w:val="0"/>
          <w:numId w:val="15"/>
        </w:numPr>
        <w:autoSpaceDE w:val="0"/>
        <w:autoSpaceDN w:val="0"/>
        <w:adjustRightInd w:val="0"/>
        <w:jc w:val="both"/>
        <w:rPr>
          <w:sz w:val="20"/>
        </w:rPr>
      </w:pPr>
      <w:r w:rsidRPr="009577DE">
        <w:rPr>
          <w:sz w:val="20"/>
        </w:rPr>
        <w:t xml:space="preserve">A lo largo de 2012, la OMPI siguió cumpliendo de forma activa sus funciones como organismo especializado de Naciones Unidas y participando en sus actividades (recomendaciones 30 y 40).  Aparte de la cooperación de larga data que mantiene la Organización con otros socios como la Organización Mundial de la Salud (OMS) y la Organización Mundial del Comercio (OMC), la OMPI empezó a colaborar con otras organizaciones del sistema de las Naciones Unidas y organismos intergubernamentales, y participa en todas las conferencias, procesos e iniciativas pertinentes de las Naciones Unidas.  </w:t>
      </w:r>
    </w:p>
    <w:p w:rsidR="00B070BF" w:rsidRPr="009577DE" w:rsidRDefault="00B070BF" w:rsidP="00B070BF">
      <w:pPr>
        <w:widowControl w:val="0"/>
        <w:autoSpaceDE w:val="0"/>
        <w:autoSpaceDN w:val="0"/>
        <w:adjustRightInd w:val="0"/>
        <w:jc w:val="both"/>
        <w:rPr>
          <w:bCs/>
          <w:sz w:val="20"/>
        </w:rPr>
      </w:pPr>
    </w:p>
    <w:p w:rsidR="00B070BF" w:rsidRPr="009577DE" w:rsidRDefault="00B070BF" w:rsidP="00B070BF">
      <w:pPr>
        <w:widowControl w:val="0"/>
        <w:numPr>
          <w:ilvl w:val="0"/>
          <w:numId w:val="15"/>
        </w:numPr>
        <w:autoSpaceDE w:val="0"/>
        <w:autoSpaceDN w:val="0"/>
        <w:adjustRightInd w:val="0"/>
        <w:jc w:val="both"/>
        <w:rPr>
          <w:bCs/>
          <w:sz w:val="20"/>
        </w:rPr>
      </w:pPr>
      <w:r w:rsidRPr="009577DE">
        <w:rPr>
          <w:bCs/>
          <w:sz w:val="20"/>
        </w:rPr>
        <w:t>A este respecto, entre los principales logros de 2012 cabría destacar:</w:t>
      </w:r>
    </w:p>
    <w:p w:rsidR="00B070BF" w:rsidRPr="009577DE" w:rsidRDefault="00B070BF" w:rsidP="00B070BF">
      <w:pPr>
        <w:widowControl w:val="0"/>
        <w:autoSpaceDE w:val="0"/>
        <w:autoSpaceDN w:val="0"/>
        <w:adjustRightInd w:val="0"/>
        <w:jc w:val="both"/>
        <w:rPr>
          <w:bCs/>
          <w:sz w:val="20"/>
        </w:rPr>
      </w:pPr>
    </w:p>
    <w:p w:rsidR="00B070BF" w:rsidRPr="009577DE" w:rsidRDefault="00B070BF" w:rsidP="00B070BF">
      <w:pPr>
        <w:widowControl w:val="0"/>
        <w:tabs>
          <w:tab w:val="num" w:pos="567"/>
        </w:tabs>
        <w:autoSpaceDE w:val="0"/>
        <w:autoSpaceDN w:val="0"/>
        <w:adjustRightInd w:val="0"/>
        <w:ind w:left="1134" w:hanging="1134"/>
        <w:jc w:val="both"/>
        <w:rPr>
          <w:bCs/>
          <w:sz w:val="20"/>
        </w:rPr>
      </w:pPr>
      <w:r w:rsidRPr="009577DE">
        <w:rPr>
          <w:bCs/>
          <w:sz w:val="20"/>
        </w:rPr>
        <w:tab/>
        <w:t>i)</w:t>
      </w:r>
      <w:r w:rsidRPr="009577DE">
        <w:rPr>
          <w:bCs/>
          <w:sz w:val="20"/>
        </w:rPr>
        <w:tab/>
      </w:r>
      <w:r w:rsidRPr="009577DE">
        <w:rPr>
          <w:bCs/>
          <w:i/>
          <w:sz w:val="20"/>
        </w:rPr>
        <w:t>Conferencia Río +20:</w:t>
      </w:r>
      <w:r w:rsidRPr="009577DE">
        <w:rPr>
          <w:bCs/>
          <w:sz w:val="20"/>
        </w:rPr>
        <w:t xml:space="preserve">  en colaboración con el Instituto Nacional de Propiedad Industrial del Brasil (INPI-Brasil), la OMPI organizó un evento paralelo titulado </w:t>
      </w:r>
      <w:r w:rsidRPr="009577DE">
        <w:rPr>
          <w:bCs/>
          <w:iCs/>
          <w:sz w:val="20"/>
        </w:rPr>
        <w:t xml:space="preserve">“Innovaciones y Tecnologías Verdes: Soluciones Prácticas” y creó una ventanilla de información para dar a conocer proyectos de la Organización tales como WIPO Green, los informes de análisis de la actividad de </w:t>
      </w:r>
      <w:proofErr w:type="spellStart"/>
      <w:r w:rsidRPr="009577DE">
        <w:rPr>
          <w:bCs/>
          <w:iCs/>
          <w:sz w:val="20"/>
        </w:rPr>
        <w:t>patentamiento</w:t>
      </w:r>
      <w:proofErr w:type="spellEnd"/>
      <w:r w:rsidRPr="009577DE">
        <w:rPr>
          <w:bCs/>
          <w:iCs/>
          <w:sz w:val="20"/>
        </w:rPr>
        <w:t>, los proyectos de los CATI del CDIP o la Agenda para el Desarrollo</w:t>
      </w:r>
      <w:r w:rsidRPr="009577DE">
        <w:rPr>
          <w:bCs/>
          <w:sz w:val="20"/>
        </w:rPr>
        <w:t xml:space="preserve">. Participó además en las celebraciones del Día de las Naciones Unidas en Río organizadas por el Gobierno del Estado de Río y la UNESCO, en una mesa redonda convocada por el Grupo de las Naciones Unidas sobre la Sociedad de la Información y en el Día de las empresas organizado por Business </w:t>
      </w:r>
      <w:proofErr w:type="spellStart"/>
      <w:r w:rsidRPr="009577DE">
        <w:rPr>
          <w:bCs/>
          <w:sz w:val="20"/>
        </w:rPr>
        <w:t>Action</w:t>
      </w:r>
      <w:proofErr w:type="spellEnd"/>
      <w:r w:rsidRPr="009577DE">
        <w:rPr>
          <w:bCs/>
          <w:sz w:val="20"/>
        </w:rPr>
        <w:t xml:space="preserve"> </w:t>
      </w:r>
      <w:proofErr w:type="spellStart"/>
      <w:r w:rsidRPr="009577DE">
        <w:rPr>
          <w:bCs/>
          <w:sz w:val="20"/>
        </w:rPr>
        <w:t>for</w:t>
      </w:r>
      <w:proofErr w:type="spellEnd"/>
      <w:r w:rsidRPr="009577DE">
        <w:rPr>
          <w:bCs/>
          <w:sz w:val="20"/>
        </w:rPr>
        <w:t xml:space="preserve"> </w:t>
      </w:r>
      <w:proofErr w:type="spellStart"/>
      <w:r w:rsidRPr="009577DE">
        <w:rPr>
          <w:bCs/>
          <w:sz w:val="20"/>
        </w:rPr>
        <w:t>Sustainable</w:t>
      </w:r>
      <w:proofErr w:type="spellEnd"/>
      <w:r w:rsidRPr="009577DE">
        <w:rPr>
          <w:bCs/>
          <w:sz w:val="20"/>
        </w:rPr>
        <w:t xml:space="preserve"> Development (BASD).</w:t>
      </w:r>
    </w:p>
    <w:p w:rsidR="00B070BF" w:rsidRPr="009577DE" w:rsidRDefault="00B070BF" w:rsidP="00B070BF">
      <w:pPr>
        <w:widowControl w:val="0"/>
        <w:autoSpaceDE w:val="0"/>
        <w:autoSpaceDN w:val="0"/>
        <w:adjustRightInd w:val="0"/>
        <w:ind w:left="1134"/>
        <w:jc w:val="both"/>
        <w:rPr>
          <w:bCs/>
          <w:sz w:val="20"/>
        </w:rPr>
      </w:pPr>
    </w:p>
    <w:p w:rsidR="00B070BF" w:rsidRPr="009577DE" w:rsidRDefault="00B070BF" w:rsidP="00B070BF">
      <w:pPr>
        <w:widowControl w:val="0"/>
        <w:tabs>
          <w:tab w:val="num" w:pos="567"/>
        </w:tabs>
        <w:autoSpaceDE w:val="0"/>
        <w:autoSpaceDN w:val="0"/>
        <w:adjustRightInd w:val="0"/>
        <w:ind w:left="1134" w:hanging="1134"/>
        <w:jc w:val="both"/>
        <w:rPr>
          <w:bCs/>
          <w:sz w:val="20"/>
        </w:rPr>
      </w:pPr>
      <w:r w:rsidRPr="009577DE">
        <w:rPr>
          <w:bCs/>
          <w:sz w:val="20"/>
        </w:rPr>
        <w:tab/>
        <w:t>ii)</w:t>
      </w:r>
      <w:r w:rsidRPr="009577DE">
        <w:rPr>
          <w:bCs/>
          <w:sz w:val="20"/>
        </w:rPr>
        <w:tab/>
        <w:t xml:space="preserve">ECOSOC:  en 2012, el programa 20 ha sido fundamental para garantizar el protagonismo de la OMPI en los debates sobre el tema del examen ministerial anual del Consejo Económico y Social previsto para 2013: “Ciencia, tecnología, innovación y el potencial de la cultura para promover el desarrollo sostenible y lograr los objetivos de desarrollo del milenio”.  La OMPI participó durante 2012 en diversas reuniones preparatorias para el citado evento. </w:t>
      </w:r>
    </w:p>
    <w:p w:rsidR="00B070BF" w:rsidRPr="009577DE" w:rsidRDefault="00B070BF" w:rsidP="00B070BF">
      <w:pPr>
        <w:widowControl w:val="0"/>
        <w:autoSpaceDE w:val="0"/>
        <w:autoSpaceDN w:val="0"/>
        <w:adjustRightInd w:val="0"/>
        <w:ind w:left="1134"/>
        <w:jc w:val="both"/>
        <w:rPr>
          <w:rFonts w:eastAsia="Times New Roman"/>
          <w:bCs/>
          <w:sz w:val="20"/>
          <w:lang w:eastAsia="en-US"/>
        </w:rPr>
      </w:pPr>
    </w:p>
    <w:p w:rsidR="00B070BF" w:rsidRPr="009577DE" w:rsidRDefault="00B070BF" w:rsidP="00B070BF">
      <w:pPr>
        <w:widowControl w:val="0"/>
        <w:tabs>
          <w:tab w:val="num" w:pos="567"/>
        </w:tabs>
        <w:autoSpaceDE w:val="0"/>
        <w:autoSpaceDN w:val="0"/>
        <w:adjustRightInd w:val="0"/>
        <w:ind w:left="1134" w:hanging="1134"/>
        <w:jc w:val="both"/>
        <w:rPr>
          <w:rFonts w:eastAsia="Times New Roman"/>
          <w:bCs/>
          <w:sz w:val="20"/>
          <w:lang w:eastAsia="en-US"/>
        </w:rPr>
      </w:pPr>
      <w:r w:rsidRPr="009577DE">
        <w:rPr>
          <w:bCs/>
          <w:sz w:val="20"/>
        </w:rPr>
        <w:tab/>
        <w:t>iii)</w:t>
      </w:r>
      <w:r w:rsidRPr="009577DE">
        <w:rPr>
          <w:bCs/>
          <w:sz w:val="20"/>
        </w:rPr>
        <w:tab/>
      </w:r>
      <w:r w:rsidRPr="009577DE">
        <w:rPr>
          <w:bCs/>
          <w:i/>
          <w:sz w:val="20"/>
        </w:rPr>
        <w:t xml:space="preserve">Los ODM y la Agenda de Desarrollo posterior a 2015:  </w:t>
      </w:r>
      <w:r w:rsidRPr="009577DE">
        <w:rPr>
          <w:sz w:val="20"/>
        </w:rPr>
        <w:t xml:space="preserve">en septiembre de 2011, el Secretario General de NN.UU. aprobó la creación de un Equipo de Tareas del Sistema de las Naciones Unidas sobre la Agenda para el </w:t>
      </w:r>
      <w:r w:rsidRPr="009577DE">
        <w:rPr>
          <w:bCs/>
          <w:sz w:val="20"/>
        </w:rPr>
        <w:t>desarrollo</w:t>
      </w:r>
      <w:r w:rsidRPr="009577DE">
        <w:rPr>
          <w:sz w:val="20"/>
        </w:rPr>
        <w:t xml:space="preserve"> posterior a 2015. La OMPI forma parte de este equipo y ha asumido un papel central en la elaboración conjunta de dos estudios interinstitucionales del Equipo titulados:  (i) </w:t>
      </w:r>
      <w:proofErr w:type="spellStart"/>
      <w:r w:rsidRPr="009577DE">
        <w:rPr>
          <w:i/>
          <w:iCs/>
          <w:sz w:val="20"/>
        </w:rPr>
        <w:t>Science</w:t>
      </w:r>
      <w:proofErr w:type="spellEnd"/>
      <w:r w:rsidRPr="009577DE">
        <w:rPr>
          <w:i/>
          <w:iCs/>
          <w:sz w:val="20"/>
        </w:rPr>
        <w:t xml:space="preserve">, </w:t>
      </w:r>
      <w:proofErr w:type="spellStart"/>
      <w:r w:rsidRPr="009577DE">
        <w:rPr>
          <w:i/>
          <w:iCs/>
          <w:sz w:val="20"/>
        </w:rPr>
        <w:t>technology</w:t>
      </w:r>
      <w:proofErr w:type="spellEnd"/>
      <w:r w:rsidRPr="009577DE">
        <w:rPr>
          <w:i/>
          <w:iCs/>
          <w:sz w:val="20"/>
        </w:rPr>
        <w:t xml:space="preserve"> and </w:t>
      </w:r>
      <w:proofErr w:type="spellStart"/>
      <w:r w:rsidRPr="009577DE">
        <w:rPr>
          <w:i/>
          <w:iCs/>
          <w:sz w:val="20"/>
        </w:rPr>
        <w:t>innovation</w:t>
      </w:r>
      <w:proofErr w:type="spellEnd"/>
      <w:r w:rsidRPr="009577DE">
        <w:rPr>
          <w:i/>
          <w:iCs/>
          <w:sz w:val="20"/>
        </w:rPr>
        <w:t xml:space="preserve"> and </w:t>
      </w:r>
      <w:proofErr w:type="spellStart"/>
      <w:r w:rsidRPr="009577DE">
        <w:rPr>
          <w:i/>
          <w:iCs/>
          <w:sz w:val="20"/>
        </w:rPr>
        <w:t>intellectual</w:t>
      </w:r>
      <w:proofErr w:type="spellEnd"/>
      <w:r w:rsidRPr="009577DE">
        <w:rPr>
          <w:i/>
          <w:iCs/>
          <w:sz w:val="20"/>
        </w:rPr>
        <w:t xml:space="preserve"> </w:t>
      </w:r>
      <w:proofErr w:type="spellStart"/>
      <w:r w:rsidRPr="009577DE">
        <w:rPr>
          <w:i/>
          <w:iCs/>
          <w:sz w:val="20"/>
        </w:rPr>
        <w:t>property</w:t>
      </w:r>
      <w:proofErr w:type="spellEnd"/>
      <w:r w:rsidRPr="009577DE">
        <w:rPr>
          <w:i/>
          <w:iCs/>
          <w:sz w:val="20"/>
        </w:rPr>
        <w:t xml:space="preserve"> </w:t>
      </w:r>
      <w:proofErr w:type="spellStart"/>
      <w:r w:rsidRPr="009577DE">
        <w:rPr>
          <w:i/>
          <w:iCs/>
          <w:sz w:val="20"/>
        </w:rPr>
        <w:t>rights</w:t>
      </w:r>
      <w:proofErr w:type="spellEnd"/>
      <w:r w:rsidRPr="009577DE">
        <w:rPr>
          <w:i/>
          <w:iCs/>
          <w:sz w:val="20"/>
        </w:rPr>
        <w:t xml:space="preserve">: </w:t>
      </w:r>
      <w:proofErr w:type="spellStart"/>
      <w:r w:rsidRPr="009577DE">
        <w:rPr>
          <w:i/>
          <w:iCs/>
          <w:sz w:val="20"/>
        </w:rPr>
        <w:t>The</w:t>
      </w:r>
      <w:proofErr w:type="spellEnd"/>
      <w:r w:rsidRPr="009577DE">
        <w:rPr>
          <w:i/>
          <w:iCs/>
          <w:sz w:val="20"/>
        </w:rPr>
        <w:t xml:space="preserve"> </w:t>
      </w:r>
      <w:proofErr w:type="spellStart"/>
      <w:r w:rsidRPr="009577DE">
        <w:rPr>
          <w:i/>
          <w:iCs/>
          <w:sz w:val="20"/>
        </w:rPr>
        <w:t>vision</w:t>
      </w:r>
      <w:proofErr w:type="spellEnd"/>
      <w:r w:rsidRPr="009577DE">
        <w:rPr>
          <w:i/>
          <w:iCs/>
          <w:sz w:val="20"/>
        </w:rPr>
        <w:t xml:space="preserve"> </w:t>
      </w:r>
      <w:proofErr w:type="spellStart"/>
      <w:r w:rsidRPr="009577DE">
        <w:rPr>
          <w:i/>
          <w:iCs/>
          <w:sz w:val="20"/>
        </w:rPr>
        <w:t>for</w:t>
      </w:r>
      <w:proofErr w:type="spellEnd"/>
      <w:r w:rsidRPr="009577DE">
        <w:rPr>
          <w:i/>
          <w:iCs/>
          <w:sz w:val="20"/>
        </w:rPr>
        <w:t xml:space="preserve"> </w:t>
      </w:r>
      <w:proofErr w:type="spellStart"/>
      <w:r w:rsidRPr="009577DE">
        <w:rPr>
          <w:i/>
          <w:iCs/>
          <w:sz w:val="20"/>
        </w:rPr>
        <w:t>development</w:t>
      </w:r>
      <w:proofErr w:type="spellEnd"/>
      <w:r w:rsidRPr="009577DE">
        <w:rPr>
          <w:sz w:val="20"/>
        </w:rPr>
        <w:t xml:space="preserve">; y (ii) </w:t>
      </w:r>
      <w:proofErr w:type="spellStart"/>
      <w:r w:rsidRPr="009577DE">
        <w:rPr>
          <w:i/>
          <w:iCs/>
          <w:sz w:val="20"/>
        </w:rPr>
        <w:t>Science</w:t>
      </w:r>
      <w:proofErr w:type="spellEnd"/>
      <w:r w:rsidRPr="009577DE">
        <w:rPr>
          <w:i/>
          <w:iCs/>
          <w:sz w:val="20"/>
        </w:rPr>
        <w:t xml:space="preserve">, </w:t>
      </w:r>
      <w:proofErr w:type="spellStart"/>
      <w:r w:rsidRPr="009577DE">
        <w:rPr>
          <w:i/>
          <w:iCs/>
          <w:sz w:val="20"/>
        </w:rPr>
        <w:t>technology</w:t>
      </w:r>
      <w:proofErr w:type="spellEnd"/>
      <w:r w:rsidRPr="009577DE">
        <w:rPr>
          <w:i/>
          <w:iCs/>
          <w:sz w:val="20"/>
        </w:rPr>
        <w:t xml:space="preserve"> and </w:t>
      </w:r>
      <w:proofErr w:type="spellStart"/>
      <w:r w:rsidRPr="009577DE">
        <w:rPr>
          <w:i/>
          <w:iCs/>
          <w:sz w:val="20"/>
        </w:rPr>
        <w:t>innovation</w:t>
      </w:r>
      <w:proofErr w:type="spellEnd"/>
      <w:r w:rsidRPr="009577DE">
        <w:rPr>
          <w:i/>
          <w:iCs/>
          <w:sz w:val="20"/>
        </w:rPr>
        <w:t xml:space="preserve"> </w:t>
      </w:r>
      <w:proofErr w:type="spellStart"/>
      <w:r w:rsidRPr="009577DE">
        <w:rPr>
          <w:i/>
          <w:iCs/>
          <w:sz w:val="20"/>
        </w:rPr>
        <w:t>for</w:t>
      </w:r>
      <w:proofErr w:type="spellEnd"/>
      <w:r w:rsidRPr="009577DE">
        <w:rPr>
          <w:i/>
          <w:iCs/>
          <w:sz w:val="20"/>
        </w:rPr>
        <w:t xml:space="preserve"> </w:t>
      </w:r>
      <w:proofErr w:type="spellStart"/>
      <w:r w:rsidRPr="009577DE">
        <w:rPr>
          <w:i/>
          <w:iCs/>
          <w:sz w:val="20"/>
        </w:rPr>
        <w:t>sustainable</w:t>
      </w:r>
      <w:proofErr w:type="spellEnd"/>
      <w:r w:rsidRPr="009577DE">
        <w:rPr>
          <w:i/>
          <w:iCs/>
          <w:sz w:val="20"/>
        </w:rPr>
        <w:t xml:space="preserve"> </w:t>
      </w:r>
      <w:proofErr w:type="spellStart"/>
      <w:r w:rsidRPr="009577DE">
        <w:rPr>
          <w:i/>
          <w:iCs/>
          <w:sz w:val="20"/>
        </w:rPr>
        <w:t>development</w:t>
      </w:r>
      <w:proofErr w:type="spellEnd"/>
      <w:r w:rsidRPr="009577DE">
        <w:rPr>
          <w:i/>
          <w:iCs/>
          <w:sz w:val="20"/>
        </w:rPr>
        <w:t xml:space="preserve"> in </w:t>
      </w:r>
      <w:proofErr w:type="spellStart"/>
      <w:r w:rsidRPr="009577DE">
        <w:rPr>
          <w:i/>
          <w:iCs/>
          <w:sz w:val="20"/>
        </w:rPr>
        <w:t>the</w:t>
      </w:r>
      <w:proofErr w:type="spellEnd"/>
      <w:r w:rsidRPr="009577DE">
        <w:rPr>
          <w:i/>
          <w:iCs/>
          <w:sz w:val="20"/>
        </w:rPr>
        <w:t xml:space="preserve"> global </w:t>
      </w:r>
      <w:proofErr w:type="spellStart"/>
      <w:r w:rsidRPr="009577DE">
        <w:rPr>
          <w:i/>
          <w:iCs/>
          <w:sz w:val="20"/>
        </w:rPr>
        <w:t>partnership</w:t>
      </w:r>
      <w:proofErr w:type="spellEnd"/>
      <w:r w:rsidRPr="009577DE">
        <w:rPr>
          <w:i/>
          <w:iCs/>
          <w:sz w:val="20"/>
        </w:rPr>
        <w:t xml:space="preserve"> </w:t>
      </w:r>
      <w:proofErr w:type="spellStart"/>
      <w:r w:rsidRPr="009577DE">
        <w:rPr>
          <w:i/>
          <w:iCs/>
          <w:sz w:val="20"/>
        </w:rPr>
        <w:t>for</w:t>
      </w:r>
      <w:proofErr w:type="spellEnd"/>
      <w:r w:rsidRPr="009577DE">
        <w:rPr>
          <w:i/>
          <w:iCs/>
          <w:sz w:val="20"/>
        </w:rPr>
        <w:t xml:space="preserve"> </w:t>
      </w:r>
      <w:proofErr w:type="spellStart"/>
      <w:r w:rsidRPr="009577DE">
        <w:rPr>
          <w:i/>
          <w:iCs/>
          <w:sz w:val="20"/>
        </w:rPr>
        <w:t>development</w:t>
      </w:r>
      <w:proofErr w:type="spellEnd"/>
      <w:r w:rsidRPr="009577DE">
        <w:rPr>
          <w:i/>
          <w:iCs/>
          <w:sz w:val="20"/>
        </w:rPr>
        <w:t xml:space="preserve"> </w:t>
      </w:r>
      <w:proofErr w:type="spellStart"/>
      <w:r w:rsidRPr="009577DE">
        <w:rPr>
          <w:i/>
          <w:iCs/>
          <w:sz w:val="20"/>
        </w:rPr>
        <w:t>beyond</w:t>
      </w:r>
      <w:proofErr w:type="spellEnd"/>
      <w:r w:rsidRPr="009577DE">
        <w:rPr>
          <w:i/>
          <w:iCs/>
          <w:sz w:val="20"/>
        </w:rPr>
        <w:t xml:space="preserve"> 2015.</w:t>
      </w:r>
      <w:r w:rsidRPr="009577DE">
        <w:rPr>
          <w:iCs/>
          <w:sz w:val="20"/>
        </w:rPr>
        <w:t xml:space="preserve"> Después de la décima sesión del CDIP celebrada en noviembre de 2012, la OMPI también entró a formar parte del Grupo de Tareas sobre el desfase en el logro de los ODM y se sumó en calidad de observador al </w:t>
      </w:r>
      <w:r w:rsidRPr="009577DE">
        <w:rPr>
          <w:sz w:val="20"/>
        </w:rPr>
        <w:t>Grupo de Tareas</w:t>
      </w:r>
      <w:r w:rsidRPr="009577DE">
        <w:rPr>
          <w:iCs/>
          <w:sz w:val="20"/>
        </w:rPr>
        <w:t xml:space="preserve"> del </w:t>
      </w:r>
      <w:r w:rsidRPr="009577DE">
        <w:rPr>
          <w:sz w:val="20"/>
        </w:rPr>
        <w:t>GNUD</w:t>
      </w:r>
      <w:r w:rsidRPr="009577DE">
        <w:rPr>
          <w:iCs/>
          <w:sz w:val="20"/>
        </w:rPr>
        <w:t xml:space="preserve"> para acelerar el logro de </w:t>
      </w:r>
      <w:r w:rsidRPr="009577DE">
        <w:rPr>
          <w:rFonts w:eastAsia="Times New Roman"/>
          <w:bCs/>
          <w:sz w:val="20"/>
          <w:lang w:eastAsia="en-US"/>
        </w:rPr>
        <w:t>los ODM.</w:t>
      </w:r>
    </w:p>
    <w:p w:rsidR="00B070BF" w:rsidRPr="009577DE" w:rsidRDefault="00B070BF" w:rsidP="00B070BF">
      <w:pPr>
        <w:widowControl w:val="0"/>
        <w:autoSpaceDE w:val="0"/>
        <w:autoSpaceDN w:val="0"/>
        <w:adjustRightInd w:val="0"/>
        <w:ind w:left="1134"/>
        <w:jc w:val="both"/>
        <w:rPr>
          <w:rFonts w:eastAsia="ヒラギノ角ゴ Pro W3"/>
          <w:sz w:val="20"/>
          <w:lang w:eastAsia="en-US"/>
        </w:rPr>
      </w:pPr>
    </w:p>
    <w:p w:rsidR="00B070BF" w:rsidRPr="009577DE" w:rsidRDefault="00B070BF" w:rsidP="00B070BF">
      <w:pPr>
        <w:widowControl w:val="0"/>
        <w:tabs>
          <w:tab w:val="num" w:pos="567"/>
        </w:tabs>
        <w:autoSpaceDE w:val="0"/>
        <w:autoSpaceDN w:val="0"/>
        <w:adjustRightInd w:val="0"/>
        <w:ind w:left="1134" w:hanging="1134"/>
        <w:jc w:val="both"/>
        <w:rPr>
          <w:bCs/>
          <w:sz w:val="20"/>
        </w:rPr>
      </w:pPr>
      <w:r w:rsidRPr="009577DE">
        <w:rPr>
          <w:sz w:val="20"/>
        </w:rPr>
        <w:tab/>
        <w:t>iv)</w:t>
      </w:r>
      <w:r w:rsidRPr="009577DE">
        <w:rPr>
          <w:sz w:val="20"/>
        </w:rPr>
        <w:tab/>
      </w:r>
      <w:r w:rsidRPr="009577DE">
        <w:rPr>
          <w:i/>
          <w:sz w:val="20"/>
        </w:rPr>
        <w:t>La Cumbre Mundial sobre la Sociedad de la Información (CMSI) y el Foro Global sobre Gobierno de Internet:</w:t>
      </w:r>
      <w:r w:rsidRPr="009577DE">
        <w:rPr>
          <w:sz w:val="20"/>
        </w:rPr>
        <w:t xml:space="preserve">  </w:t>
      </w:r>
      <w:r w:rsidRPr="009577DE">
        <w:rPr>
          <w:bCs/>
          <w:sz w:val="20"/>
        </w:rPr>
        <w:t xml:space="preserve">en mayo de 2012 </w:t>
      </w:r>
      <w:r w:rsidRPr="009577DE">
        <w:rPr>
          <w:sz w:val="20"/>
        </w:rPr>
        <w:t xml:space="preserve">el </w:t>
      </w:r>
      <w:r w:rsidRPr="009577DE">
        <w:rPr>
          <w:bCs/>
          <w:sz w:val="20"/>
        </w:rPr>
        <w:t xml:space="preserve">Director General pronunció un discurso inaugural durante la ceremonia de apertura del Foro de la CMSI.  La OMPI también estuvo presente durante la séptima reunión anual del Foro Global sobre Gobierno de Internet celebrada en </w:t>
      </w:r>
      <w:proofErr w:type="spellStart"/>
      <w:r w:rsidRPr="009577DE">
        <w:rPr>
          <w:bCs/>
          <w:sz w:val="20"/>
        </w:rPr>
        <w:t>Baku</w:t>
      </w:r>
      <w:proofErr w:type="spellEnd"/>
      <w:r w:rsidRPr="009577DE">
        <w:rPr>
          <w:bCs/>
          <w:sz w:val="20"/>
        </w:rPr>
        <w:t xml:space="preserve"> (Azerbaiyán) en noviembre de 2012 y participó en dos talleres de trabajo, uno de ellos patrocinado por la Internet </w:t>
      </w:r>
      <w:proofErr w:type="spellStart"/>
      <w:r w:rsidRPr="009577DE">
        <w:rPr>
          <w:bCs/>
          <w:sz w:val="20"/>
        </w:rPr>
        <w:t>Society</w:t>
      </w:r>
      <w:proofErr w:type="spellEnd"/>
      <w:r w:rsidRPr="009577DE">
        <w:rPr>
          <w:bCs/>
          <w:sz w:val="20"/>
        </w:rPr>
        <w:t xml:space="preserve"> (ISOC). </w:t>
      </w:r>
    </w:p>
    <w:p w:rsidR="00B070BF" w:rsidRPr="009577DE" w:rsidRDefault="00B070BF" w:rsidP="00B070BF">
      <w:pPr>
        <w:widowControl w:val="0"/>
        <w:autoSpaceDE w:val="0"/>
        <w:autoSpaceDN w:val="0"/>
        <w:adjustRightInd w:val="0"/>
        <w:ind w:left="1134"/>
        <w:jc w:val="both"/>
        <w:rPr>
          <w:bCs/>
          <w:sz w:val="20"/>
        </w:rPr>
      </w:pPr>
    </w:p>
    <w:p w:rsidR="00B070BF" w:rsidRPr="009577DE" w:rsidRDefault="00B070BF" w:rsidP="00B070BF">
      <w:pPr>
        <w:widowControl w:val="0"/>
        <w:tabs>
          <w:tab w:val="num" w:pos="567"/>
        </w:tabs>
        <w:autoSpaceDE w:val="0"/>
        <w:autoSpaceDN w:val="0"/>
        <w:adjustRightInd w:val="0"/>
        <w:ind w:left="1134" w:hanging="1134"/>
        <w:jc w:val="both"/>
        <w:rPr>
          <w:bCs/>
          <w:sz w:val="20"/>
        </w:rPr>
      </w:pPr>
      <w:r w:rsidRPr="009577DE">
        <w:rPr>
          <w:sz w:val="20"/>
        </w:rPr>
        <w:tab/>
        <w:t>v)</w:t>
      </w:r>
      <w:r w:rsidRPr="009577DE">
        <w:rPr>
          <w:sz w:val="20"/>
        </w:rPr>
        <w:tab/>
      </w:r>
      <w:r w:rsidRPr="009577DE">
        <w:rPr>
          <w:i/>
          <w:sz w:val="20"/>
        </w:rPr>
        <w:t xml:space="preserve">CMNUCC:  </w:t>
      </w:r>
      <w:r w:rsidRPr="009577DE">
        <w:rPr>
          <w:bCs/>
          <w:sz w:val="20"/>
        </w:rPr>
        <w:t xml:space="preserve">la OMPI participó en calidad de observador en el 18º período de sesiones de la Conferencia de las Partes en la Convención Marco de las Naciones Unidas sobre el Cambio Climático en Doha.  En los últimos años, la OMPI ha sido el principal organizador de los eventos paralelos del sistema de las NN.UU. sobre la transferencia de tecnología. </w:t>
      </w:r>
      <w:r w:rsidRPr="009577DE">
        <w:rPr>
          <w:bCs/>
          <w:sz w:val="20"/>
        </w:rPr>
        <w:lastRenderedPageBreak/>
        <w:t>Asimismo, asiste en calidad de observador a las reuniones del Comité Ejecutivo de Tecnología de la CMNUCC y recibió una invitación para presentar aquellas actividades de la OMPI directamente relacionadas con los objetivos del Comité.</w:t>
      </w:r>
    </w:p>
    <w:p w:rsidR="00B070BF" w:rsidRPr="009577DE" w:rsidRDefault="00B070BF" w:rsidP="00B070BF">
      <w:pPr>
        <w:widowControl w:val="0"/>
        <w:autoSpaceDE w:val="0"/>
        <w:autoSpaceDN w:val="0"/>
        <w:adjustRightInd w:val="0"/>
        <w:ind w:left="1134"/>
        <w:jc w:val="both"/>
        <w:rPr>
          <w:bCs/>
          <w:sz w:val="20"/>
        </w:rPr>
      </w:pPr>
    </w:p>
    <w:p w:rsidR="00B070BF" w:rsidRPr="009577DE" w:rsidRDefault="00B070BF" w:rsidP="00B070BF">
      <w:pPr>
        <w:widowControl w:val="0"/>
        <w:tabs>
          <w:tab w:val="num" w:pos="567"/>
        </w:tabs>
        <w:autoSpaceDE w:val="0"/>
        <w:autoSpaceDN w:val="0"/>
        <w:adjustRightInd w:val="0"/>
        <w:ind w:left="1134" w:hanging="1134"/>
        <w:jc w:val="both"/>
        <w:rPr>
          <w:bCs/>
          <w:sz w:val="20"/>
        </w:rPr>
      </w:pPr>
      <w:r w:rsidRPr="009577DE">
        <w:rPr>
          <w:sz w:val="20"/>
        </w:rPr>
        <w:tab/>
        <w:t>vi)</w:t>
      </w:r>
      <w:r w:rsidRPr="009577DE">
        <w:rPr>
          <w:sz w:val="20"/>
        </w:rPr>
        <w:tab/>
      </w:r>
      <w:r w:rsidRPr="009577DE">
        <w:rPr>
          <w:bCs/>
          <w:i/>
          <w:sz w:val="20"/>
        </w:rPr>
        <w:t>OMC:</w:t>
      </w:r>
      <w:r w:rsidRPr="009577DE">
        <w:rPr>
          <w:bCs/>
          <w:sz w:val="20"/>
        </w:rPr>
        <w:t xml:space="preserve">   la OMPI participa con regularidad en el Consejo de los ADPIC de la OMC con el fin de garantizar una estrecha colaboración con esta organización. A instancias de la OMC y de conformidad con la recomendación 14 </w:t>
      </w:r>
      <w:r w:rsidRPr="009577DE">
        <w:rPr>
          <w:iCs/>
          <w:sz w:val="20"/>
        </w:rPr>
        <w:t>de la Agenda para el Desarrollo</w:t>
      </w:r>
      <w:r w:rsidRPr="009577DE">
        <w:rPr>
          <w:bCs/>
          <w:sz w:val="20"/>
        </w:rPr>
        <w:t xml:space="preserve">, sigue enviando ponentes a los talleres regionales y nacionales organizados por la OMC sobre diversos temas (p. ej., la propiedad intelectual y la salud pública, las industrias creativas, la propiedad intelectual y las políticas públicas, las flexibilidades previstas en el Acuerdo sobre los ADPIC y los análisis de necesidades en los PMA). La OMPI también participó activamente en el simposio celebrado por la OMC acerca de la evaluación de las necesidades de los PMA entre el 31 de octubre y el 2 de noviembre de 2012 y en un seminario sobre la propiedad intelectual y la ayuda para el comercio organizado en el mes de noviembre, durante el cual se presentó el proyecto del CDIP sobre propiedad intelectual y comercialización de productos. Este programa contó además con la colaboración del programa 18 en estas áreas, prestando especial atención al estudio trilateral que realizan la OMC, la OMS y la OMPI. </w:t>
      </w:r>
    </w:p>
    <w:p w:rsidR="00B070BF" w:rsidRPr="009577DE" w:rsidRDefault="00B070BF" w:rsidP="00B070BF">
      <w:pPr>
        <w:widowControl w:val="0"/>
        <w:autoSpaceDE w:val="0"/>
        <w:autoSpaceDN w:val="0"/>
        <w:adjustRightInd w:val="0"/>
        <w:ind w:left="1134"/>
        <w:jc w:val="both"/>
        <w:rPr>
          <w:bCs/>
          <w:sz w:val="20"/>
        </w:rPr>
      </w:pPr>
    </w:p>
    <w:p w:rsidR="00B070BF" w:rsidRPr="009577DE" w:rsidRDefault="00B070BF" w:rsidP="00B070BF">
      <w:pPr>
        <w:widowControl w:val="0"/>
        <w:tabs>
          <w:tab w:val="num" w:pos="567"/>
        </w:tabs>
        <w:autoSpaceDE w:val="0"/>
        <w:autoSpaceDN w:val="0"/>
        <w:adjustRightInd w:val="0"/>
        <w:ind w:left="1134" w:hanging="1134"/>
        <w:jc w:val="both"/>
        <w:rPr>
          <w:bCs/>
          <w:sz w:val="20"/>
        </w:rPr>
      </w:pPr>
      <w:r w:rsidRPr="009577DE">
        <w:rPr>
          <w:bCs/>
          <w:i/>
          <w:sz w:val="20"/>
        </w:rPr>
        <w:tab/>
      </w:r>
      <w:r w:rsidRPr="009577DE">
        <w:rPr>
          <w:sz w:val="20"/>
        </w:rPr>
        <w:t>vii)</w:t>
      </w:r>
      <w:r w:rsidRPr="009577DE">
        <w:rPr>
          <w:bCs/>
          <w:i/>
          <w:sz w:val="20"/>
        </w:rPr>
        <w:tab/>
        <w:t xml:space="preserve">OMS:  </w:t>
      </w:r>
      <w:r w:rsidRPr="009577DE">
        <w:rPr>
          <w:bCs/>
          <w:sz w:val="20"/>
        </w:rPr>
        <w:t xml:space="preserve">la OMS es un socio vital para la OMPI. Además de la labor que realiza en el contexto de la cooperación trilateral, este programa garantizó la participación eficaz de la OMPI en el Consejo Ejecutivo de la Organización Mundial de la Salud y en la Asamblea Mundial de la Salud. Por otra parte, la Organización estuvo presente en una serie de reuniones sobre salud pública en el marco del programa de las Naciones Unidas sobre enfermedades no transmisibles (ENT).  </w:t>
      </w:r>
    </w:p>
    <w:p w:rsidR="00B070BF" w:rsidRPr="009577DE" w:rsidRDefault="00B070BF" w:rsidP="00B070BF">
      <w:pPr>
        <w:widowControl w:val="0"/>
        <w:autoSpaceDE w:val="0"/>
        <w:autoSpaceDN w:val="0"/>
        <w:adjustRightInd w:val="0"/>
        <w:ind w:left="1134"/>
        <w:jc w:val="both"/>
        <w:rPr>
          <w:bCs/>
          <w:sz w:val="20"/>
        </w:rPr>
      </w:pPr>
    </w:p>
    <w:p w:rsidR="00B070BF" w:rsidRPr="009577DE" w:rsidRDefault="00B070BF" w:rsidP="00B070BF">
      <w:pPr>
        <w:widowControl w:val="0"/>
        <w:tabs>
          <w:tab w:val="num" w:pos="567"/>
        </w:tabs>
        <w:autoSpaceDE w:val="0"/>
        <w:autoSpaceDN w:val="0"/>
        <w:adjustRightInd w:val="0"/>
        <w:ind w:left="1134" w:hanging="1134"/>
        <w:jc w:val="both"/>
        <w:rPr>
          <w:bCs/>
          <w:sz w:val="20"/>
        </w:rPr>
      </w:pPr>
      <w:r w:rsidRPr="009577DE">
        <w:rPr>
          <w:bCs/>
          <w:i/>
          <w:sz w:val="20"/>
        </w:rPr>
        <w:tab/>
      </w:r>
      <w:r w:rsidRPr="009577DE">
        <w:rPr>
          <w:sz w:val="20"/>
        </w:rPr>
        <w:t>viii)</w:t>
      </w:r>
      <w:r w:rsidRPr="009577DE">
        <w:rPr>
          <w:sz w:val="20"/>
        </w:rPr>
        <w:tab/>
      </w:r>
      <w:r w:rsidRPr="009577DE">
        <w:rPr>
          <w:bCs/>
          <w:i/>
          <w:sz w:val="20"/>
        </w:rPr>
        <w:t>UNCTAD:</w:t>
      </w:r>
      <w:r w:rsidRPr="009577DE">
        <w:rPr>
          <w:bCs/>
          <w:sz w:val="20"/>
        </w:rPr>
        <w:t xml:space="preserve">  con el propósito de mejorar la cooperación, identificar las sinergias existentes y reducir la duplicación de esfuerzos, la OMPI presidió la primera reunión sobre cooperación con la UNCTAD como medida de seguimiento a las conclusiones alcanzadas durante el 13° período de sesiones de la Conferencia de las Naciones Unidas sobre Comercio y Desarrollo (UNCTAD XIII). </w:t>
      </w:r>
    </w:p>
    <w:p w:rsidR="00B070BF" w:rsidRPr="009577DE" w:rsidRDefault="00B070BF" w:rsidP="00B070BF">
      <w:pPr>
        <w:widowControl w:val="0"/>
        <w:autoSpaceDE w:val="0"/>
        <w:autoSpaceDN w:val="0"/>
        <w:adjustRightInd w:val="0"/>
        <w:ind w:left="1134"/>
        <w:jc w:val="both"/>
        <w:rPr>
          <w:bCs/>
          <w:sz w:val="20"/>
        </w:rPr>
      </w:pPr>
    </w:p>
    <w:p w:rsidR="00B070BF" w:rsidRPr="009577DE" w:rsidRDefault="00B070BF" w:rsidP="00B070BF">
      <w:pPr>
        <w:widowControl w:val="0"/>
        <w:tabs>
          <w:tab w:val="num" w:pos="567"/>
        </w:tabs>
        <w:autoSpaceDE w:val="0"/>
        <w:autoSpaceDN w:val="0"/>
        <w:adjustRightInd w:val="0"/>
        <w:ind w:left="1134" w:hanging="1134"/>
        <w:jc w:val="both"/>
        <w:rPr>
          <w:bCs/>
          <w:i/>
          <w:sz w:val="20"/>
        </w:rPr>
      </w:pPr>
      <w:r w:rsidRPr="009577DE">
        <w:rPr>
          <w:bCs/>
          <w:i/>
          <w:sz w:val="20"/>
        </w:rPr>
        <w:tab/>
      </w:r>
      <w:r w:rsidRPr="009577DE">
        <w:rPr>
          <w:sz w:val="20"/>
        </w:rPr>
        <w:t>ix)</w:t>
      </w:r>
      <w:r w:rsidRPr="009577DE">
        <w:rPr>
          <w:sz w:val="20"/>
        </w:rPr>
        <w:tab/>
      </w:r>
      <w:r w:rsidRPr="009577DE">
        <w:rPr>
          <w:bCs/>
          <w:i/>
          <w:sz w:val="20"/>
        </w:rPr>
        <w:t xml:space="preserve">Semana Mundial del Espíritu Empresarial: </w:t>
      </w:r>
      <w:r w:rsidRPr="009577DE">
        <w:rPr>
          <w:bCs/>
          <w:sz w:val="20"/>
        </w:rPr>
        <w:t xml:space="preserve"> en colaboración con la UNCTAD, el UNITAR, la OIT, el CCI, UNIGE/UNITEC y la Oficina de Desarrollo Económico de Ginebra, la OMPI organizó la Semana Mundial del Espíritu Empresarial (GEW) 2012 en Ginebra, durante la cual se expusieron una serie de casos que ponían de relevancia el éxito con que las Pymes habían hecho uso de la P.I. en los </w:t>
      </w:r>
      <w:r w:rsidRPr="009577DE">
        <w:rPr>
          <w:rFonts w:eastAsia="MS Mincho" w:cs="ArialMT"/>
          <w:sz w:val="20"/>
          <w:lang w:eastAsia="ja-JP" w:bidi="th-TH"/>
        </w:rPr>
        <w:t>países en desarrollo</w:t>
      </w:r>
      <w:r w:rsidRPr="009577DE">
        <w:rPr>
          <w:bCs/>
          <w:sz w:val="20"/>
        </w:rPr>
        <w:t xml:space="preserve">. </w:t>
      </w:r>
    </w:p>
    <w:p w:rsidR="00B070BF" w:rsidRPr="009577DE" w:rsidRDefault="00B070BF" w:rsidP="00B070BF">
      <w:pPr>
        <w:widowControl w:val="0"/>
        <w:autoSpaceDE w:val="0"/>
        <w:autoSpaceDN w:val="0"/>
        <w:adjustRightInd w:val="0"/>
        <w:ind w:left="1134"/>
        <w:jc w:val="both"/>
        <w:rPr>
          <w:bCs/>
          <w:sz w:val="20"/>
        </w:rPr>
      </w:pPr>
    </w:p>
    <w:p w:rsidR="00B070BF" w:rsidRPr="009577DE" w:rsidRDefault="00B070BF" w:rsidP="00B070BF">
      <w:pPr>
        <w:widowControl w:val="0"/>
        <w:tabs>
          <w:tab w:val="num" w:pos="567"/>
        </w:tabs>
        <w:autoSpaceDE w:val="0"/>
        <w:autoSpaceDN w:val="0"/>
        <w:adjustRightInd w:val="0"/>
        <w:ind w:left="1134" w:hanging="1134"/>
        <w:jc w:val="both"/>
        <w:rPr>
          <w:bCs/>
          <w:sz w:val="20"/>
        </w:rPr>
      </w:pPr>
      <w:r w:rsidRPr="009577DE">
        <w:rPr>
          <w:bCs/>
          <w:i/>
          <w:sz w:val="20"/>
        </w:rPr>
        <w:tab/>
      </w:r>
      <w:r w:rsidRPr="009577DE">
        <w:rPr>
          <w:sz w:val="20"/>
        </w:rPr>
        <w:t>x)</w:t>
      </w:r>
      <w:r w:rsidRPr="009577DE">
        <w:rPr>
          <w:sz w:val="20"/>
        </w:rPr>
        <w:tab/>
      </w:r>
      <w:r w:rsidRPr="009577DE">
        <w:rPr>
          <w:bCs/>
          <w:i/>
          <w:sz w:val="20"/>
        </w:rPr>
        <w:t>Día Mundial del Agua:</w:t>
      </w:r>
      <w:r w:rsidRPr="009577DE">
        <w:rPr>
          <w:bCs/>
          <w:sz w:val="20"/>
        </w:rPr>
        <w:t xml:space="preserve">  en 2012, la OMPI organizó por primera vez un taller con motivo del Día Mundial del Agua cuyo tema central era la importancia de la información sobre patentes para promover el acceso sostenible al agua potable.  El taller fue organizado en colaboración con la Agencia Internacional de Energías Renovables (IRENA) y el Global </w:t>
      </w:r>
      <w:proofErr w:type="spellStart"/>
      <w:r w:rsidRPr="009577DE">
        <w:rPr>
          <w:bCs/>
          <w:sz w:val="20"/>
        </w:rPr>
        <w:t>Institute</w:t>
      </w:r>
      <w:proofErr w:type="spellEnd"/>
      <w:r w:rsidRPr="009577DE">
        <w:rPr>
          <w:bCs/>
          <w:sz w:val="20"/>
        </w:rPr>
        <w:t xml:space="preserve"> </w:t>
      </w:r>
      <w:proofErr w:type="spellStart"/>
      <w:r w:rsidRPr="009577DE">
        <w:rPr>
          <w:bCs/>
          <w:sz w:val="20"/>
        </w:rPr>
        <w:t>for</w:t>
      </w:r>
      <w:proofErr w:type="spellEnd"/>
      <w:r w:rsidRPr="009577DE">
        <w:rPr>
          <w:bCs/>
          <w:sz w:val="20"/>
        </w:rPr>
        <w:t xml:space="preserve"> </w:t>
      </w:r>
      <w:proofErr w:type="spellStart"/>
      <w:r w:rsidRPr="009577DE">
        <w:rPr>
          <w:bCs/>
          <w:sz w:val="20"/>
        </w:rPr>
        <w:t>Water</w:t>
      </w:r>
      <w:proofErr w:type="spellEnd"/>
      <w:r w:rsidRPr="009577DE">
        <w:rPr>
          <w:bCs/>
          <w:sz w:val="20"/>
        </w:rPr>
        <w:t xml:space="preserve">, </w:t>
      </w:r>
      <w:proofErr w:type="spellStart"/>
      <w:r w:rsidRPr="009577DE">
        <w:rPr>
          <w:bCs/>
          <w:sz w:val="20"/>
        </w:rPr>
        <w:t>Environment</w:t>
      </w:r>
      <w:proofErr w:type="spellEnd"/>
      <w:r w:rsidRPr="009577DE">
        <w:rPr>
          <w:bCs/>
          <w:sz w:val="20"/>
        </w:rPr>
        <w:t xml:space="preserve"> and </w:t>
      </w:r>
      <w:proofErr w:type="spellStart"/>
      <w:r w:rsidRPr="009577DE">
        <w:rPr>
          <w:bCs/>
          <w:sz w:val="20"/>
        </w:rPr>
        <w:t>Health</w:t>
      </w:r>
      <w:proofErr w:type="spellEnd"/>
      <w:r w:rsidRPr="009577DE">
        <w:rPr>
          <w:bCs/>
          <w:sz w:val="20"/>
        </w:rPr>
        <w:t xml:space="preserve"> (GIWEH).  Participaron en el evento los representantes de nueve </w:t>
      </w:r>
      <w:r w:rsidRPr="009577DE">
        <w:rPr>
          <w:sz w:val="20"/>
          <w:lang w:bidi="th-TH"/>
        </w:rPr>
        <w:t>Estados miembros</w:t>
      </w:r>
      <w:r w:rsidRPr="009577DE">
        <w:rPr>
          <w:bCs/>
          <w:sz w:val="20"/>
        </w:rPr>
        <w:t>, once OII, cinco ONG, el mundo académico y otros sectores de la sociedad civil; todos ellos acogieron con satisfacción la iniciativa y la labor desempeñada por la OMPI en el ámbito de las tecnologías del agua y la información sobre patentes.</w:t>
      </w:r>
    </w:p>
    <w:p w:rsidR="00B070BF" w:rsidRPr="009577DE" w:rsidRDefault="00B070BF" w:rsidP="00B070BF">
      <w:pPr>
        <w:widowControl w:val="0"/>
        <w:autoSpaceDE w:val="0"/>
        <w:autoSpaceDN w:val="0"/>
        <w:adjustRightInd w:val="0"/>
        <w:jc w:val="both"/>
        <w:rPr>
          <w:bCs/>
          <w:sz w:val="20"/>
        </w:rPr>
      </w:pPr>
    </w:p>
    <w:p w:rsidR="00B070BF" w:rsidRPr="009577DE" w:rsidRDefault="00B070BF" w:rsidP="00B070BF">
      <w:pPr>
        <w:widowControl w:val="0"/>
        <w:numPr>
          <w:ilvl w:val="0"/>
          <w:numId w:val="15"/>
        </w:numPr>
        <w:autoSpaceDE w:val="0"/>
        <w:autoSpaceDN w:val="0"/>
        <w:adjustRightInd w:val="0"/>
        <w:jc w:val="both"/>
        <w:rPr>
          <w:iCs/>
          <w:sz w:val="20"/>
        </w:rPr>
      </w:pPr>
      <w:r w:rsidRPr="009577DE">
        <w:rPr>
          <w:iCs/>
          <w:sz w:val="20"/>
        </w:rPr>
        <w:t xml:space="preserve">Prosiguieron las actuaciones destinadas a garantizar la participación activa de sectores interesados no gubernamentales en la labor que desempeña la OMPI.  En 2012, se intensificaron las iniciativas de sensibilización y las actividades destinadas a facilitar el diálogo. Se ha fomentado la participación de las ONG en numerosas actividades de la Organización, en concreto las relacionadas con la Agenda para el Desarrollo y las reuniones destinadas específicamente al intercambio de información sobre los programas de la OMPI.  En 2012, el Director General de la OMPI presidió la primera de estas reuniones exclusivamente dirigidas a las ONG.  Durante ese año siguió facilitándose a los Estados miembros el acceso a las alianzas y los recursos necesarios para llevar a cabo proyectos de desarrollo en el ámbito de la propiedad intelectual. </w:t>
      </w:r>
    </w:p>
    <w:p w:rsidR="00B070BF" w:rsidRDefault="00B070BF" w:rsidP="00B070BF">
      <w:pPr>
        <w:rPr>
          <w:iCs/>
          <w:sz w:val="20"/>
        </w:rPr>
      </w:pPr>
      <w:r>
        <w:rPr>
          <w:iCs/>
          <w:sz w:val="20"/>
        </w:rPr>
        <w:br w:type="page"/>
      </w:r>
    </w:p>
    <w:p w:rsidR="00B070BF" w:rsidRPr="009577DE" w:rsidRDefault="00B070BF" w:rsidP="00B070BF">
      <w:pPr>
        <w:widowControl w:val="0"/>
        <w:jc w:val="both"/>
        <w:rPr>
          <w:iCs/>
          <w:sz w:val="20"/>
        </w:rPr>
      </w:pPr>
    </w:p>
    <w:p w:rsidR="00B070BF" w:rsidRPr="009577DE" w:rsidRDefault="00B070BF" w:rsidP="00B070BF">
      <w:pPr>
        <w:widowControl w:val="0"/>
        <w:autoSpaceDE w:val="0"/>
        <w:autoSpaceDN w:val="0"/>
        <w:adjustRightInd w:val="0"/>
        <w:jc w:val="both"/>
        <w:rPr>
          <w:bCs/>
          <w:sz w:val="20"/>
          <w:lang w:val="es-ES_tradnl"/>
        </w:rPr>
      </w:pPr>
      <w:r w:rsidRPr="009577DE">
        <w:rPr>
          <w:b/>
          <w:bCs/>
          <w:sz w:val="20"/>
          <w:lang w:val="es-ES_tradnl"/>
        </w:rPr>
        <w:t xml:space="preserve">Oficinas </w:t>
      </w:r>
      <w:r>
        <w:rPr>
          <w:b/>
          <w:bCs/>
          <w:sz w:val="20"/>
          <w:lang w:val="es-ES_tradnl"/>
        </w:rPr>
        <w:t xml:space="preserve">en el </w:t>
      </w:r>
      <w:r w:rsidRPr="009577DE">
        <w:rPr>
          <w:b/>
          <w:bCs/>
          <w:sz w:val="20"/>
          <w:lang w:val="es-ES_tradnl"/>
        </w:rPr>
        <w:t>exterior</w:t>
      </w:r>
    </w:p>
    <w:p w:rsidR="00B070BF" w:rsidRPr="009577DE" w:rsidRDefault="00B070BF" w:rsidP="00B070BF">
      <w:pPr>
        <w:widowControl w:val="0"/>
        <w:autoSpaceDE w:val="0"/>
        <w:autoSpaceDN w:val="0"/>
        <w:adjustRightInd w:val="0"/>
        <w:jc w:val="both"/>
        <w:rPr>
          <w:bCs/>
          <w:sz w:val="20"/>
          <w:lang w:val="es-ES_tradnl"/>
        </w:rPr>
      </w:pPr>
    </w:p>
    <w:p w:rsidR="00B070BF" w:rsidRPr="009577DE" w:rsidRDefault="00B070BF" w:rsidP="00B070BF">
      <w:pPr>
        <w:widowControl w:val="0"/>
        <w:autoSpaceDE w:val="0"/>
        <w:autoSpaceDN w:val="0"/>
        <w:adjustRightInd w:val="0"/>
        <w:jc w:val="both"/>
        <w:rPr>
          <w:bCs/>
          <w:sz w:val="20"/>
          <w:u w:val="single"/>
          <w:lang w:val="es-ES_tradnl"/>
        </w:rPr>
      </w:pPr>
      <w:r w:rsidRPr="009577DE">
        <w:rPr>
          <w:bCs/>
          <w:sz w:val="20"/>
          <w:u w:val="single"/>
          <w:lang w:val="es-ES_tradnl"/>
        </w:rPr>
        <w:t>Oficina de la OMPI en el Brasil (OOB)</w:t>
      </w:r>
    </w:p>
    <w:p w:rsidR="00B070BF" w:rsidRPr="009577DE" w:rsidRDefault="00B070BF" w:rsidP="00B070BF">
      <w:pPr>
        <w:widowControl w:val="0"/>
        <w:autoSpaceDE w:val="0"/>
        <w:autoSpaceDN w:val="0"/>
        <w:adjustRightInd w:val="0"/>
        <w:jc w:val="both"/>
        <w:rPr>
          <w:bCs/>
          <w:sz w:val="20"/>
          <w:lang w:val="es-ES_tradnl"/>
        </w:rPr>
      </w:pPr>
    </w:p>
    <w:p w:rsidR="00B070BF" w:rsidRPr="009577DE" w:rsidRDefault="00B070BF" w:rsidP="00B070BF">
      <w:pPr>
        <w:widowControl w:val="0"/>
        <w:numPr>
          <w:ilvl w:val="0"/>
          <w:numId w:val="15"/>
        </w:numPr>
        <w:autoSpaceDE w:val="0"/>
        <w:autoSpaceDN w:val="0"/>
        <w:adjustRightInd w:val="0"/>
        <w:jc w:val="both"/>
        <w:rPr>
          <w:bCs/>
          <w:sz w:val="20"/>
        </w:rPr>
      </w:pPr>
      <w:r w:rsidRPr="009577DE">
        <w:rPr>
          <w:bCs/>
          <w:sz w:val="20"/>
          <w:lang w:val="es-ES_tradnl"/>
        </w:rPr>
        <w:t xml:space="preserve">La OOB siguió reforzando las capacidades nacionales y promoviendo el uso de los servicios que ofrece la OMPI.  En este sentido, la </w:t>
      </w:r>
      <w:r w:rsidRPr="005E4DF5">
        <w:rPr>
          <w:bCs/>
          <w:sz w:val="20"/>
          <w:lang w:val="es-ES_tradnl"/>
        </w:rPr>
        <w:t xml:space="preserve">Organización firmó un memorando de entendimiento con INPI-Brasil para establecer un centro de servicios de mediación en materia de propiedad intelectual </w:t>
      </w:r>
      <w:r w:rsidRPr="005E4DF5">
        <w:rPr>
          <w:bCs/>
          <w:sz w:val="20"/>
        </w:rPr>
        <w:t xml:space="preserve">(véase también el programa 7).  Además, INPI-Brasil y el </w:t>
      </w:r>
      <w:r w:rsidRPr="005E4DF5">
        <w:rPr>
          <w:sz w:val="20"/>
        </w:rPr>
        <w:t>Foro Brasileño de Gestores de Innovación y Transferencia de Tecnología</w:t>
      </w:r>
      <w:r w:rsidRPr="005E4DF5">
        <w:rPr>
          <w:bCs/>
          <w:sz w:val="20"/>
        </w:rPr>
        <w:t xml:space="preserve"> (FORTEC) se asociaron a la plataforma WIPO GREEN.  Esta oficina negoció con el Gobierno brasileño un segundo fondo fiduciario para financiar los proyectos de cooperación Sur-Sur. En septiembre de 2012</w:t>
      </w:r>
      <w:r w:rsidRPr="009577DE">
        <w:rPr>
          <w:bCs/>
          <w:sz w:val="20"/>
        </w:rPr>
        <w:t xml:space="preserve">, INPI-Brasil, la Agencia Brasileña de Cooperación y la OMPI suscribieron un acuerdo de colaboración. La </w:t>
      </w:r>
      <w:r w:rsidRPr="009577DE">
        <w:rPr>
          <w:bCs/>
          <w:sz w:val="20"/>
          <w:lang w:val="es-ES_tradnl"/>
        </w:rPr>
        <w:t>OOB</w:t>
      </w:r>
      <w:r w:rsidRPr="009577DE">
        <w:rPr>
          <w:bCs/>
          <w:sz w:val="20"/>
        </w:rPr>
        <w:t xml:space="preserve"> se ocupará de dirigir las actividades de cooperación Sur-Sur contempladas en dicho acuerdo.  </w:t>
      </w:r>
    </w:p>
    <w:p w:rsidR="00B070BF" w:rsidRPr="009577DE" w:rsidRDefault="00B070BF" w:rsidP="00B070BF">
      <w:pPr>
        <w:widowControl w:val="0"/>
        <w:autoSpaceDE w:val="0"/>
        <w:autoSpaceDN w:val="0"/>
        <w:adjustRightInd w:val="0"/>
        <w:jc w:val="both"/>
        <w:rPr>
          <w:bCs/>
          <w:sz w:val="20"/>
        </w:rPr>
      </w:pPr>
    </w:p>
    <w:p w:rsidR="00B070BF" w:rsidRPr="009577DE" w:rsidRDefault="00B070BF" w:rsidP="00B070BF">
      <w:pPr>
        <w:widowControl w:val="0"/>
        <w:numPr>
          <w:ilvl w:val="0"/>
          <w:numId w:val="15"/>
        </w:numPr>
        <w:autoSpaceDE w:val="0"/>
        <w:autoSpaceDN w:val="0"/>
        <w:adjustRightInd w:val="0"/>
        <w:jc w:val="both"/>
        <w:rPr>
          <w:bCs/>
          <w:sz w:val="20"/>
        </w:rPr>
      </w:pPr>
      <w:r w:rsidRPr="009577DE">
        <w:rPr>
          <w:bCs/>
          <w:sz w:val="20"/>
        </w:rPr>
        <w:t xml:space="preserve">La </w:t>
      </w:r>
      <w:r w:rsidRPr="009577DE">
        <w:rPr>
          <w:bCs/>
          <w:sz w:val="20"/>
          <w:lang w:val="es-ES_tradnl"/>
        </w:rPr>
        <w:t>OOB</w:t>
      </w:r>
      <w:r w:rsidRPr="009577DE">
        <w:rPr>
          <w:bCs/>
          <w:sz w:val="20"/>
        </w:rPr>
        <w:t xml:space="preserve"> participó en diversas actividades de ámbito nacional y regional para promover el uso del PCT y otros servicios, dedicando una atención especial al sistema de Madrid. La industria brasileña se ha mostrado particularmente activa a la hora de organizar los debates acerca de las ventajas que supone el Protocolo de Madrid para la competitividad de las empresas brasileñas con presencia internacional.  </w:t>
      </w:r>
    </w:p>
    <w:p w:rsidR="00B070BF" w:rsidRPr="009577DE" w:rsidRDefault="00B070BF" w:rsidP="00B070BF">
      <w:pPr>
        <w:widowControl w:val="0"/>
        <w:autoSpaceDE w:val="0"/>
        <w:autoSpaceDN w:val="0"/>
        <w:adjustRightInd w:val="0"/>
        <w:jc w:val="both"/>
        <w:rPr>
          <w:bCs/>
          <w:sz w:val="20"/>
        </w:rPr>
      </w:pPr>
    </w:p>
    <w:p w:rsidR="00B070BF" w:rsidRPr="009577DE" w:rsidRDefault="00B070BF" w:rsidP="00B070BF">
      <w:pPr>
        <w:widowControl w:val="0"/>
        <w:numPr>
          <w:ilvl w:val="0"/>
          <w:numId w:val="15"/>
        </w:numPr>
        <w:autoSpaceDE w:val="0"/>
        <w:autoSpaceDN w:val="0"/>
        <w:adjustRightInd w:val="0"/>
        <w:jc w:val="both"/>
        <w:rPr>
          <w:bCs/>
          <w:sz w:val="20"/>
        </w:rPr>
      </w:pPr>
      <w:r w:rsidRPr="009577DE">
        <w:rPr>
          <w:bCs/>
          <w:sz w:val="20"/>
        </w:rPr>
        <w:t xml:space="preserve">Por otra parte, la </w:t>
      </w:r>
      <w:r w:rsidRPr="009577DE">
        <w:rPr>
          <w:bCs/>
          <w:sz w:val="20"/>
          <w:lang w:val="es-ES_tradnl"/>
        </w:rPr>
        <w:t>OOB</w:t>
      </w:r>
      <w:r w:rsidRPr="009577DE">
        <w:rPr>
          <w:bCs/>
          <w:sz w:val="20"/>
        </w:rPr>
        <w:t xml:space="preserve"> contribuyó a la labor del comité técnico encargado de definir las principales directrices para la creación de un sistema de marcas dirigido a los países de habla portuguesa. Representantes de ochos países y de la </w:t>
      </w:r>
      <w:r w:rsidRPr="009577DE">
        <w:rPr>
          <w:bCs/>
          <w:sz w:val="20"/>
          <w:lang w:val="es-ES_tradnl"/>
        </w:rPr>
        <w:t>OOB</w:t>
      </w:r>
      <w:r w:rsidRPr="009577DE">
        <w:rPr>
          <w:bCs/>
          <w:sz w:val="20"/>
        </w:rPr>
        <w:t xml:space="preserve"> presentaron una propuesta formal al respecto.  En colaboración con diversos socios del país, esta oficina organizó una conferencia internacional sobre la Utilización estratégica de la propiedad intelectual en la industria del deporte, que contó con la asistencia del Director General de la OMPI y que gozó de una considerable cobertura por parte de los medios de comunicación.  En esta misma línea, la oficina contribuyó a impulsar un debate interregional sobre las mejores prácticas adoptadas por las oficinas de P.I. en América Latina y en los países africanos de habla portuguesa que trabajan con el Sistema Automatizado de Propiedad Industrial (IPAS).</w:t>
      </w:r>
    </w:p>
    <w:p w:rsidR="00B070BF" w:rsidRPr="009577DE" w:rsidRDefault="00B070BF" w:rsidP="00B070BF">
      <w:pPr>
        <w:widowControl w:val="0"/>
        <w:autoSpaceDE w:val="0"/>
        <w:autoSpaceDN w:val="0"/>
        <w:adjustRightInd w:val="0"/>
        <w:jc w:val="both"/>
        <w:rPr>
          <w:bCs/>
          <w:sz w:val="20"/>
        </w:rPr>
      </w:pPr>
    </w:p>
    <w:p w:rsidR="00B070BF" w:rsidRPr="009577DE" w:rsidRDefault="00B070BF" w:rsidP="00B070BF">
      <w:pPr>
        <w:widowControl w:val="0"/>
        <w:numPr>
          <w:ilvl w:val="0"/>
          <w:numId w:val="15"/>
        </w:numPr>
        <w:autoSpaceDE w:val="0"/>
        <w:autoSpaceDN w:val="0"/>
        <w:adjustRightInd w:val="0"/>
        <w:jc w:val="both"/>
        <w:rPr>
          <w:bCs/>
          <w:sz w:val="20"/>
        </w:rPr>
      </w:pPr>
      <w:r w:rsidRPr="009577DE">
        <w:rPr>
          <w:bCs/>
          <w:sz w:val="20"/>
        </w:rPr>
        <w:t xml:space="preserve">Por último, la </w:t>
      </w:r>
      <w:r w:rsidRPr="009577DE">
        <w:rPr>
          <w:bCs/>
          <w:sz w:val="20"/>
          <w:lang w:val="es-ES_tradnl"/>
        </w:rPr>
        <w:t>OOB</w:t>
      </w:r>
      <w:r w:rsidRPr="009577DE">
        <w:rPr>
          <w:bCs/>
          <w:sz w:val="20"/>
        </w:rPr>
        <w:t xml:space="preserve"> organizó más de una veintena de eventos nacionales e internacionales y presidió más de 40 reuniones técnicas durante el año.</w:t>
      </w:r>
    </w:p>
    <w:p w:rsidR="00B070BF" w:rsidRPr="009577DE" w:rsidRDefault="00B070BF" w:rsidP="00B070BF">
      <w:pPr>
        <w:widowControl w:val="0"/>
        <w:autoSpaceDE w:val="0"/>
        <w:autoSpaceDN w:val="0"/>
        <w:adjustRightInd w:val="0"/>
        <w:jc w:val="both"/>
        <w:rPr>
          <w:bCs/>
          <w:sz w:val="20"/>
        </w:rPr>
      </w:pPr>
    </w:p>
    <w:p w:rsidR="00B070BF" w:rsidRPr="009577DE" w:rsidRDefault="00B070BF" w:rsidP="00B070BF">
      <w:pPr>
        <w:widowControl w:val="0"/>
        <w:autoSpaceDE w:val="0"/>
        <w:autoSpaceDN w:val="0"/>
        <w:adjustRightInd w:val="0"/>
        <w:jc w:val="both"/>
        <w:rPr>
          <w:bCs/>
          <w:sz w:val="20"/>
          <w:u w:val="single"/>
        </w:rPr>
      </w:pPr>
      <w:r w:rsidRPr="009577DE">
        <w:rPr>
          <w:bCs/>
          <w:sz w:val="20"/>
          <w:u w:val="single"/>
        </w:rPr>
        <w:t>Oficina de la OMPI en Japón (OOJ)</w:t>
      </w:r>
    </w:p>
    <w:p w:rsidR="00B070BF" w:rsidRPr="009577DE" w:rsidRDefault="00B070BF" w:rsidP="00B070BF">
      <w:pPr>
        <w:widowControl w:val="0"/>
        <w:autoSpaceDE w:val="0"/>
        <w:autoSpaceDN w:val="0"/>
        <w:adjustRightInd w:val="0"/>
        <w:jc w:val="both"/>
        <w:rPr>
          <w:b/>
          <w:bCs/>
          <w:sz w:val="20"/>
          <w:u w:val="single"/>
        </w:rPr>
      </w:pPr>
    </w:p>
    <w:p w:rsidR="00B070BF" w:rsidRPr="009577DE" w:rsidRDefault="00B070BF" w:rsidP="00B070BF">
      <w:pPr>
        <w:widowControl w:val="0"/>
        <w:numPr>
          <w:ilvl w:val="0"/>
          <w:numId w:val="15"/>
        </w:numPr>
        <w:autoSpaceDE w:val="0"/>
        <w:autoSpaceDN w:val="0"/>
        <w:adjustRightInd w:val="0"/>
        <w:jc w:val="both"/>
        <w:rPr>
          <w:bCs/>
          <w:sz w:val="20"/>
        </w:rPr>
      </w:pPr>
      <w:r w:rsidRPr="009577DE">
        <w:rPr>
          <w:sz w:val="20"/>
        </w:rPr>
        <w:t xml:space="preserve">La </w:t>
      </w:r>
      <w:r w:rsidRPr="009577DE">
        <w:rPr>
          <w:bCs/>
          <w:sz w:val="20"/>
        </w:rPr>
        <w:t>OOJ</w:t>
      </w:r>
      <w:r w:rsidRPr="009577DE">
        <w:rPr>
          <w:sz w:val="20"/>
        </w:rPr>
        <w:t xml:space="preserve"> dio una serie de pasos decisivos para transformarse en centro de servicios de la Organización y proporcionar servicios de forma puntual y eficaz a los usuarios japoneses de </w:t>
      </w:r>
      <w:r w:rsidRPr="009577DE">
        <w:rPr>
          <w:bCs/>
          <w:sz w:val="20"/>
        </w:rPr>
        <w:t>sistemas mundiales de P.I. de la OMPI como el PCT, Madrid o el Centro de Arbitraje y Mediación.  Esta oficina se trasladó a un centro de actividad en materia de P.I. por su proximidad a numerosos sectores interesados, entre ellos el Gobierno anfitrión, la industria, los bufetes de abogados y las instituciones académicas.  Por medio de estos canales, la oficina amplió sus actividades promocionales y organizó una serie de conferencias y seminarios en más de 30 puntos del país dirigidos a una amplia gama de sectores interesados (se cifró en 6.000 el número de asistentes a estos eventos).  En consecuencia, se prevé para el próximo año un aumento de las actividades relacionadas con los servicios de la OMPI.</w:t>
      </w:r>
    </w:p>
    <w:p w:rsidR="00B070BF" w:rsidRPr="009577DE" w:rsidRDefault="00B070BF" w:rsidP="00B070BF">
      <w:pPr>
        <w:widowControl w:val="0"/>
        <w:autoSpaceDE w:val="0"/>
        <w:autoSpaceDN w:val="0"/>
        <w:adjustRightInd w:val="0"/>
        <w:jc w:val="both"/>
        <w:rPr>
          <w:bCs/>
          <w:sz w:val="20"/>
        </w:rPr>
      </w:pPr>
    </w:p>
    <w:p w:rsidR="00B070BF" w:rsidRPr="009577DE" w:rsidRDefault="00B070BF" w:rsidP="00B070BF">
      <w:pPr>
        <w:widowControl w:val="0"/>
        <w:numPr>
          <w:ilvl w:val="0"/>
          <w:numId w:val="15"/>
        </w:numPr>
        <w:autoSpaceDE w:val="0"/>
        <w:autoSpaceDN w:val="0"/>
        <w:adjustRightInd w:val="0"/>
        <w:jc w:val="both"/>
        <w:rPr>
          <w:bCs/>
          <w:sz w:val="20"/>
        </w:rPr>
      </w:pPr>
      <w:r w:rsidRPr="009577DE">
        <w:rPr>
          <w:bCs/>
          <w:sz w:val="20"/>
        </w:rPr>
        <w:t xml:space="preserve">La OOJ participó también en las actividades de fortalecimiento de capacidades en la región realizadas en colaboración con el Gobierno anfitrión y financiadas con el fondo fiduciario del Japón.  La nueva base de datos IP </w:t>
      </w:r>
      <w:proofErr w:type="spellStart"/>
      <w:r w:rsidRPr="009577DE">
        <w:rPr>
          <w:bCs/>
          <w:sz w:val="20"/>
        </w:rPr>
        <w:t>Advantage</w:t>
      </w:r>
      <w:proofErr w:type="spellEnd"/>
      <w:r w:rsidRPr="009577DE">
        <w:rPr>
          <w:bCs/>
          <w:sz w:val="20"/>
        </w:rPr>
        <w:t xml:space="preserve">, un escaparate para las experiencias exitosas de aplicación de los derechos de propiedad intelectual, amplió su cobertura en términos de número de casos, que actualmente superan los 170, y de países.  Con el fin de llegar a una audiencia más amplia, se puso en marcha la traducción a otros idiomas de un manga sobre la falsificación y la piratería inicialmente publicado en inglés y japonés.  Se organizaron talleres y cursos de formación para mejorar la capacidad de los </w:t>
      </w:r>
      <w:r w:rsidRPr="009577DE">
        <w:rPr>
          <w:rFonts w:eastAsia="MS Mincho" w:cs="ArialMT"/>
          <w:sz w:val="20"/>
          <w:lang w:eastAsia="ja-JP" w:bidi="th-TH"/>
        </w:rPr>
        <w:t>países en desarrollo</w:t>
      </w:r>
      <w:r w:rsidRPr="009577DE">
        <w:rPr>
          <w:bCs/>
          <w:sz w:val="20"/>
        </w:rPr>
        <w:t xml:space="preserve"> en distintos ámbitos relacionados con la propiedad intelectual.</w:t>
      </w:r>
    </w:p>
    <w:p w:rsidR="00B070BF" w:rsidRPr="009577DE" w:rsidRDefault="00B070BF" w:rsidP="00B070BF">
      <w:pPr>
        <w:widowControl w:val="0"/>
        <w:autoSpaceDE w:val="0"/>
        <w:autoSpaceDN w:val="0"/>
        <w:adjustRightInd w:val="0"/>
        <w:jc w:val="both"/>
        <w:rPr>
          <w:bCs/>
          <w:sz w:val="20"/>
        </w:rPr>
      </w:pPr>
    </w:p>
    <w:p w:rsidR="00B070BF" w:rsidRPr="009577DE" w:rsidRDefault="00B070BF" w:rsidP="00B070BF">
      <w:pPr>
        <w:widowControl w:val="0"/>
        <w:numPr>
          <w:ilvl w:val="0"/>
          <w:numId w:val="15"/>
        </w:numPr>
        <w:autoSpaceDE w:val="0"/>
        <w:autoSpaceDN w:val="0"/>
        <w:adjustRightInd w:val="0"/>
        <w:jc w:val="both"/>
        <w:rPr>
          <w:bCs/>
          <w:sz w:val="20"/>
        </w:rPr>
      </w:pPr>
      <w:r w:rsidRPr="009577DE">
        <w:rPr>
          <w:bCs/>
          <w:sz w:val="20"/>
        </w:rPr>
        <w:t xml:space="preserve">Para aumentar la sensibilización y la visibilidad de la OMPI, la OOJ llevó a cabo una serie de debates y presentaciones sobre las actividades que realiza la Organización. Entre ellas se destacó la importancia de las plataformas WIPO GREEN y WIPO </w:t>
      </w:r>
      <w:proofErr w:type="spellStart"/>
      <w:r w:rsidRPr="009577DE">
        <w:rPr>
          <w:bCs/>
          <w:sz w:val="20"/>
        </w:rPr>
        <w:t>Re:Search</w:t>
      </w:r>
      <w:proofErr w:type="spellEnd"/>
      <w:r w:rsidRPr="009577DE">
        <w:rPr>
          <w:bCs/>
          <w:sz w:val="20"/>
        </w:rPr>
        <w:t xml:space="preserve"> y de la labor desarrollada por la OMPI en materia de propiedad industrial, derechos de autor, arbitraje y mediación.  Se mejoró el contenido de su sitio Web, disponible en japonés e inglés, para facilitar datos actualizados sobre la OMPI y la OOJ.  En un esfuerzo por proporcionar más información a los sectores interesados presentes en el país, la OOJ tradujo al japonés la Guía del usuario de PATENTSCOPE, con la que se pretende aumentar el número de usuarios japoneses de esta base de datos.  Esta oficina participó además en la nueva </w:t>
      </w:r>
      <w:r w:rsidRPr="009577DE">
        <w:rPr>
          <w:bCs/>
          <w:sz w:val="20"/>
        </w:rPr>
        <w:lastRenderedPageBreak/>
        <w:t>iniciativa de servicio al cliente las 24 horas del día lanzada en 2012.</w:t>
      </w:r>
    </w:p>
    <w:p w:rsidR="00B070BF" w:rsidRPr="009577DE" w:rsidRDefault="00B070BF" w:rsidP="00B070BF">
      <w:pPr>
        <w:widowControl w:val="0"/>
        <w:autoSpaceDE w:val="0"/>
        <w:autoSpaceDN w:val="0"/>
        <w:adjustRightInd w:val="0"/>
        <w:jc w:val="both"/>
        <w:rPr>
          <w:bCs/>
          <w:sz w:val="20"/>
        </w:rPr>
      </w:pPr>
    </w:p>
    <w:p w:rsidR="00B070BF" w:rsidRPr="009577DE" w:rsidRDefault="00B070BF" w:rsidP="00B070BF">
      <w:pPr>
        <w:widowControl w:val="0"/>
        <w:autoSpaceDE w:val="0"/>
        <w:autoSpaceDN w:val="0"/>
        <w:adjustRightInd w:val="0"/>
        <w:jc w:val="both"/>
        <w:rPr>
          <w:bCs/>
          <w:sz w:val="20"/>
          <w:u w:val="single"/>
        </w:rPr>
      </w:pPr>
      <w:r w:rsidRPr="009577DE">
        <w:rPr>
          <w:bCs/>
          <w:sz w:val="20"/>
          <w:u w:val="single"/>
        </w:rPr>
        <w:t>Oficina de la OMPI en Singapur (OOS)</w:t>
      </w:r>
    </w:p>
    <w:p w:rsidR="00B070BF" w:rsidRPr="009577DE" w:rsidRDefault="00B070BF" w:rsidP="00B070BF">
      <w:pPr>
        <w:widowControl w:val="0"/>
        <w:autoSpaceDE w:val="0"/>
        <w:autoSpaceDN w:val="0"/>
        <w:adjustRightInd w:val="0"/>
        <w:jc w:val="both"/>
        <w:rPr>
          <w:bCs/>
          <w:sz w:val="20"/>
        </w:rPr>
      </w:pPr>
    </w:p>
    <w:p w:rsidR="00B070BF" w:rsidRPr="009577DE" w:rsidRDefault="00B070BF" w:rsidP="00B070BF">
      <w:pPr>
        <w:widowControl w:val="0"/>
        <w:numPr>
          <w:ilvl w:val="0"/>
          <w:numId w:val="15"/>
        </w:numPr>
        <w:autoSpaceDE w:val="0"/>
        <w:autoSpaceDN w:val="0"/>
        <w:adjustRightInd w:val="0"/>
        <w:jc w:val="both"/>
        <w:rPr>
          <w:bCs/>
          <w:sz w:val="20"/>
        </w:rPr>
      </w:pPr>
      <w:r w:rsidRPr="009577DE">
        <w:rPr>
          <w:bCs/>
          <w:sz w:val="20"/>
        </w:rPr>
        <w:t>La OOS reforzó su presencia como centro de servicios en la región de Asia y el Pacífico para los usuarios de los sistemas mundiales de propiedad intelectual de la OMPI, el Centro de arbitraje y mediación y otros productos y servicios de la Organización. Gracias a ello, la oficina ha visto crecer de forma constante la visibilidad y la importancia de los servicios de la OMPI entre los nuevos socios, las instituciones locales y numerosas asociaciones internacionales presentes en Singapur o en otros puntos de la región, observándose en particular el uso que hace el sector empresarial de estos servicios.</w:t>
      </w:r>
    </w:p>
    <w:p w:rsidR="00B070BF" w:rsidRPr="009577DE" w:rsidRDefault="00B070BF" w:rsidP="00B070BF">
      <w:pPr>
        <w:widowControl w:val="0"/>
        <w:autoSpaceDE w:val="0"/>
        <w:autoSpaceDN w:val="0"/>
        <w:adjustRightInd w:val="0"/>
        <w:jc w:val="both"/>
        <w:rPr>
          <w:bCs/>
          <w:sz w:val="20"/>
        </w:rPr>
      </w:pPr>
    </w:p>
    <w:p w:rsidR="00B070BF" w:rsidRPr="009577DE" w:rsidRDefault="00B070BF" w:rsidP="00B070BF">
      <w:pPr>
        <w:widowControl w:val="0"/>
        <w:numPr>
          <w:ilvl w:val="0"/>
          <w:numId w:val="15"/>
        </w:numPr>
        <w:autoSpaceDE w:val="0"/>
        <w:autoSpaceDN w:val="0"/>
        <w:adjustRightInd w:val="0"/>
        <w:jc w:val="both"/>
        <w:rPr>
          <w:bCs/>
          <w:sz w:val="20"/>
        </w:rPr>
      </w:pPr>
      <w:r w:rsidRPr="009577DE">
        <w:rPr>
          <w:bCs/>
          <w:sz w:val="20"/>
        </w:rPr>
        <w:t xml:space="preserve">La OOS reforzó además su compromiso con la Asociación de Naciones del Asia Sudoriental (ASEAN) y asumió un protagonismo cada vez mayor en las actividades de coordinación propuestas por el Grupo de Trabajo de la ASEAN sobre cooperación en materia de propiedad intelectual (AWGIPC) para la aplicación del plan </w:t>
      </w:r>
      <w:r>
        <w:rPr>
          <w:bCs/>
          <w:sz w:val="20"/>
        </w:rPr>
        <w:t>de acción de la ASEAN para 2011/</w:t>
      </w:r>
      <w:r w:rsidRPr="009577DE">
        <w:rPr>
          <w:bCs/>
          <w:sz w:val="20"/>
        </w:rPr>
        <w:t xml:space="preserve">15 sobre derechos de propiedad intelectual, especialmente en aquellos ámbitos donde colabora con la OMPI. </w:t>
      </w:r>
    </w:p>
    <w:p w:rsidR="00B070BF" w:rsidRPr="009577DE" w:rsidRDefault="00B070BF" w:rsidP="00B070BF">
      <w:pPr>
        <w:widowControl w:val="0"/>
        <w:autoSpaceDE w:val="0"/>
        <w:autoSpaceDN w:val="0"/>
        <w:adjustRightInd w:val="0"/>
        <w:jc w:val="both"/>
        <w:rPr>
          <w:bCs/>
          <w:sz w:val="20"/>
        </w:rPr>
      </w:pPr>
    </w:p>
    <w:p w:rsidR="00B070BF" w:rsidRPr="009577DE" w:rsidRDefault="00B070BF" w:rsidP="00B070BF">
      <w:pPr>
        <w:widowControl w:val="0"/>
        <w:numPr>
          <w:ilvl w:val="0"/>
          <w:numId w:val="15"/>
        </w:numPr>
        <w:autoSpaceDE w:val="0"/>
        <w:autoSpaceDN w:val="0"/>
        <w:adjustRightInd w:val="0"/>
        <w:jc w:val="both"/>
        <w:rPr>
          <w:bCs/>
          <w:sz w:val="20"/>
        </w:rPr>
      </w:pPr>
      <w:r w:rsidRPr="009577DE">
        <w:rPr>
          <w:bCs/>
          <w:sz w:val="20"/>
        </w:rPr>
        <w:t>Al igual que en años anteriores, la OOS se ocupó de gestionar y ejecutar el memorando de entendimiento firmado por la OMPI y el Gobierno de Singapur, que prevé la organización de tres eventos temáticos de ámbito regional sobre las iniciativas de división del trabajo en materia de patentes, la gestión y comercialización de activos de propiedad intelectual, y las excepciones y limitaciones al derecho de autor para las personas con discapacidad visual, respectivamente.</w:t>
      </w:r>
    </w:p>
    <w:p w:rsidR="00B070BF" w:rsidRPr="009577DE" w:rsidRDefault="00B070BF" w:rsidP="00B070BF">
      <w:pPr>
        <w:widowControl w:val="0"/>
        <w:autoSpaceDE w:val="0"/>
        <w:autoSpaceDN w:val="0"/>
        <w:adjustRightInd w:val="0"/>
        <w:jc w:val="both"/>
        <w:rPr>
          <w:bCs/>
          <w:sz w:val="20"/>
        </w:rPr>
      </w:pPr>
    </w:p>
    <w:p w:rsidR="00B070BF" w:rsidRPr="009577DE" w:rsidRDefault="00B070BF" w:rsidP="00B070BF">
      <w:pPr>
        <w:widowControl w:val="0"/>
        <w:numPr>
          <w:ilvl w:val="0"/>
          <w:numId w:val="15"/>
        </w:numPr>
        <w:autoSpaceDE w:val="0"/>
        <w:autoSpaceDN w:val="0"/>
        <w:adjustRightInd w:val="0"/>
        <w:jc w:val="both"/>
        <w:rPr>
          <w:bCs/>
          <w:sz w:val="20"/>
        </w:rPr>
      </w:pPr>
      <w:r w:rsidRPr="009577DE">
        <w:rPr>
          <w:bCs/>
          <w:sz w:val="20"/>
        </w:rPr>
        <w:t xml:space="preserve">Entre las actividades desarrolladas por la OOS destacan la redacción de un proyecto de Estatuto a petición del Gobierno de Camboya para una sociedad de gestión de próxima creación en el país; la organización de visitas de estudio a instituciones de P.I. en Singapur para representantes de Camboya, RDP Lao, Myanmar, Pakistán y </w:t>
      </w:r>
      <w:proofErr w:type="spellStart"/>
      <w:r w:rsidRPr="009577DE">
        <w:rPr>
          <w:bCs/>
          <w:sz w:val="20"/>
        </w:rPr>
        <w:t>Viet</w:t>
      </w:r>
      <w:proofErr w:type="spellEnd"/>
      <w:r w:rsidRPr="009577DE">
        <w:rPr>
          <w:bCs/>
          <w:sz w:val="20"/>
        </w:rPr>
        <w:t xml:space="preserve"> </w:t>
      </w:r>
      <w:proofErr w:type="spellStart"/>
      <w:r w:rsidRPr="009577DE">
        <w:rPr>
          <w:bCs/>
          <w:sz w:val="20"/>
        </w:rPr>
        <w:t>Nam</w:t>
      </w:r>
      <w:proofErr w:type="spellEnd"/>
      <w:r w:rsidRPr="009577DE">
        <w:rPr>
          <w:bCs/>
          <w:sz w:val="20"/>
        </w:rPr>
        <w:t>, y a las Oficinas de Apoyo a la Innovación Tecnológica (OATI) para representantes procedentes de Filipinas; la convocatoria de la Reunión Regional de Consulta sobre Propiedad Intelectual y Transferencia de Tecnología en el marco de la Agenda para el Desarrollo de la OMPI; y un coloquio sobre la observancia de los derechos de propiedad intelectual dirigido a jueces paquistaníes.</w:t>
      </w:r>
    </w:p>
    <w:p w:rsidR="00B070BF" w:rsidRPr="009577DE" w:rsidRDefault="00B070BF" w:rsidP="00B070BF">
      <w:pPr>
        <w:widowControl w:val="0"/>
        <w:autoSpaceDE w:val="0"/>
        <w:autoSpaceDN w:val="0"/>
        <w:adjustRightInd w:val="0"/>
        <w:jc w:val="both"/>
        <w:rPr>
          <w:bCs/>
          <w:sz w:val="20"/>
        </w:rPr>
      </w:pPr>
    </w:p>
    <w:p w:rsidR="00B070BF" w:rsidRPr="009577DE" w:rsidRDefault="00B070BF" w:rsidP="00B070BF">
      <w:pPr>
        <w:widowControl w:val="0"/>
        <w:numPr>
          <w:ilvl w:val="0"/>
          <w:numId w:val="15"/>
        </w:numPr>
        <w:autoSpaceDE w:val="0"/>
        <w:autoSpaceDN w:val="0"/>
        <w:adjustRightInd w:val="0"/>
        <w:jc w:val="both"/>
        <w:rPr>
          <w:bCs/>
          <w:sz w:val="20"/>
        </w:rPr>
      </w:pPr>
      <w:r w:rsidRPr="009577DE">
        <w:rPr>
          <w:bCs/>
          <w:sz w:val="20"/>
        </w:rPr>
        <w:t xml:space="preserve">La OOS registró en total más de 449 participantes en los eventos organizados a nivel nacional en distintos países, lo que se tradujo en un aumento de la capacidad y la concienciación entre políticos, funcionarios, profesionales y especialistas de P.I., titulares de derechos de P.I. y la comunidad de usuarios acerca del papel y la función que cumple el Centro de Arbitraje y Mediación de la OOS. </w:t>
      </w:r>
    </w:p>
    <w:p w:rsidR="00B070BF" w:rsidRPr="009577DE" w:rsidRDefault="00B070BF" w:rsidP="00B070BF">
      <w:pPr>
        <w:widowControl w:val="0"/>
        <w:autoSpaceDE w:val="0"/>
        <w:autoSpaceDN w:val="0"/>
        <w:adjustRightInd w:val="0"/>
        <w:rPr>
          <w:bCs/>
          <w:szCs w:val="22"/>
        </w:rPr>
      </w:pPr>
    </w:p>
    <w:p w:rsidR="00B070BF" w:rsidRPr="009577DE" w:rsidRDefault="00B070BF" w:rsidP="00B070BF">
      <w:pPr>
        <w:widowControl w:val="0"/>
        <w:autoSpaceDE w:val="0"/>
        <w:autoSpaceDN w:val="0"/>
        <w:adjustRightInd w:val="0"/>
        <w:rPr>
          <w:bCs/>
          <w:szCs w:val="22"/>
        </w:rPr>
      </w:pPr>
    </w:p>
    <w:p w:rsidR="00B070BF" w:rsidRPr="009577DE" w:rsidRDefault="00B070BF" w:rsidP="00B070BF">
      <w:pPr>
        <w:widowControl w:val="0"/>
        <w:jc w:val="both"/>
        <w:rPr>
          <w:bCs/>
          <w:szCs w:val="22"/>
          <w:lang w:val="pt-BR"/>
        </w:rPr>
      </w:pPr>
      <w:r w:rsidRPr="009577DE">
        <w:rPr>
          <w:bCs/>
          <w:sz w:val="20"/>
          <w:szCs w:val="22"/>
          <w:lang w:val="es-ES_tradnl"/>
        </w:rPr>
        <w:t>APLICACIÓN DE LA AGENDA PARA EL DESARROLLO</w:t>
      </w:r>
      <w:r w:rsidRPr="009577DE">
        <w:rPr>
          <w:bCs/>
          <w:sz w:val="20"/>
          <w:szCs w:val="22"/>
          <w:lang w:val="pt-BR"/>
        </w:rPr>
        <w:t xml:space="preserve"> </w:t>
      </w:r>
    </w:p>
    <w:p w:rsidR="00B070BF" w:rsidRPr="009577DE" w:rsidRDefault="00B070BF" w:rsidP="00B070BF">
      <w:pPr>
        <w:widowControl w:val="0"/>
        <w:autoSpaceDE w:val="0"/>
        <w:autoSpaceDN w:val="0"/>
        <w:adjustRightInd w:val="0"/>
        <w:rPr>
          <w:bCs/>
          <w:szCs w:val="22"/>
        </w:rPr>
      </w:pPr>
    </w:p>
    <w:p w:rsidR="00B070BF" w:rsidRPr="009577DE" w:rsidRDefault="00B070BF" w:rsidP="00B070BF">
      <w:pPr>
        <w:widowControl w:val="0"/>
        <w:numPr>
          <w:ilvl w:val="0"/>
          <w:numId w:val="15"/>
        </w:numPr>
        <w:autoSpaceDE w:val="0"/>
        <w:autoSpaceDN w:val="0"/>
        <w:adjustRightInd w:val="0"/>
        <w:jc w:val="both"/>
        <w:rPr>
          <w:sz w:val="20"/>
        </w:rPr>
      </w:pPr>
      <w:r w:rsidRPr="009577DE">
        <w:rPr>
          <w:rFonts w:eastAsia="MS Mincho"/>
          <w:bCs/>
          <w:sz w:val="20"/>
          <w:lang w:val="es-ES_tradnl" w:eastAsia="ja-JP" w:bidi="th-TH"/>
        </w:rPr>
        <w:t xml:space="preserve">El diseño de actividades en el marco del programa 14 se basó en las </w:t>
      </w:r>
      <w:r w:rsidRPr="009577DE">
        <w:rPr>
          <w:iCs/>
          <w:sz w:val="20"/>
          <w:lang w:val="es-ES_tradnl"/>
        </w:rPr>
        <w:t xml:space="preserve">recomendaciones </w:t>
      </w:r>
      <w:r w:rsidRPr="009577DE">
        <w:rPr>
          <w:sz w:val="20"/>
        </w:rPr>
        <w:t xml:space="preserve">2, 9, 14, 22, 24, 30, 40 y 42 </w:t>
      </w:r>
      <w:r w:rsidRPr="009577DE">
        <w:rPr>
          <w:iCs/>
          <w:sz w:val="20"/>
        </w:rPr>
        <w:t>de la Agenda para el Desarrollo</w:t>
      </w:r>
      <w:r w:rsidRPr="009577DE">
        <w:rPr>
          <w:sz w:val="20"/>
        </w:rPr>
        <w:t xml:space="preserve">.  </w:t>
      </w:r>
    </w:p>
    <w:p w:rsidR="00B070BF" w:rsidRPr="009577DE" w:rsidRDefault="00B070BF" w:rsidP="00B070BF">
      <w:pPr>
        <w:widowControl w:val="0"/>
        <w:autoSpaceDE w:val="0"/>
        <w:autoSpaceDN w:val="0"/>
        <w:adjustRightInd w:val="0"/>
        <w:jc w:val="both"/>
        <w:rPr>
          <w:rFonts w:eastAsia="MS Mincho"/>
          <w:szCs w:val="22"/>
          <w:lang w:eastAsia="ja-JP" w:bidi="th-TH"/>
        </w:rPr>
      </w:pPr>
    </w:p>
    <w:p w:rsidR="00B070BF" w:rsidRPr="009577DE" w:rsidRDefault="00B070BF" w:rsidP="00B070BF">
      <w:pPr>
        <w:widowControl w:val="0"/>
        <w:numPr>
          <w:ilvl w:val="0"/>
          <w:numId w:val="15"/>
        </w:numPr>
        <w:autoSpaceDE w:val="0"/>
        <w:autoSpaceDN w:val="0"/>
        <w:adjustRightInd w:val="0"/>
        <w:jc w:val="both"/>
        <w:rPr>
          <w:sz w:val="20"/>
        </w:rPr>
      </w:pPr>
      <w:r w:rsidRPr="009577DE">
        <w:rPr>
          <w:sz w:val="20"/>
        </w:rPr>
        <w:t xml:space="preserve">En este sentido, el programa 20 sigue siendo el punto de coordinación dentro de la OMPI responsable de movilizar recursos extrapresupuestarios (recomendación 2) y de colaborar con el programa 9 para la puesta en marcha del proyecto de creación de una base de datos destinada a responder con los recursos disponibles a las necesidades de desarrollo relacionadas con la P.I en el marco de la Agenda para el Desarrollo (recomendación 9). </w:t>
      </w:r>
    </w:p>
    <w:p w:rsidR="00B070BF" w:rsidRPr="009577DE" w:rsidRDefault="00B070BF" w:rsidP="00B070BF">
      <w:pPr>
        <w:widowControl w:val="0"/>
        <w:autoSpaceDE w:val="0"/>
        <w:autoSpaceDN w:val="0"/>
        <w:adjustRightInd w:val="0"/>
        <w:jc w:val="both"/>
        <w:rPr>
          <w:sz w:val="20"/>
        </w:rPr>
      </w:pPr>
    </w:p>
    <w:p w:rsidR="00B070BF" w:rsidRPr="009577DE" w:rsidRDefault="00B070BF" w:rsidP="00B070BF">
      <w:pPr>
        <w:widowControl w:val="0"/>
        <w:numPr>
          <w:ilvl w:val="0"/>
          <w:numId w:val="15"/>
        </w:numPr>
        <w:autoSpaceDE w:val="0"/>
        <w:autoSpaceDN w:val="0"/>
        <w:adjustRightInd w:val="0"/>
        <w:jc w:val="both"/>
        <w:rPr>
          <w:rFonts w:eastAsia="MS Mincho"/>
          <w:bCs/>
          <w:szCs w:val="22"/>
          <w:lang w:val="es-ES_tradnl" w:eastAsia="ja-JP" w:bidi="th-TH"/>
        </w:rPr>
      </w:pPr>
      <w:r w:rsidRPr="009577DE">
        <w:rPr>
          <w:sz w:val="20"/>
          <w:lang w:val="es-ES_tradnl"/>
        </w:rPr>
        <w:t>Con respecto a la recomendación 14 sobre ofrecer asesoramiento a países en desarrollo y PMA para la aplicación y la puesta en marcha de los derechos y obligaciones y el conocimiento y uso de las flexibilidades contempladas en el Acuerdo sobre los ADPIC, el programa 20, en colaboración con los sectores fundamentales de la OMPI, aseguró que las actividades emprendidas por la OMC reflejarán esta recomendación.</w:t>
      </w:r>
      <w:r w:rsidRPr="009577DE">
        <w:rPr>
          <w:rFonts w:eastAsia="MS Mincho"/>
          <w:bCs/>
          <w:szCs w:val="22"/>
          <w:lang w:val="es-ES_tradnl" w:eastAsia="ja-JP" w:bidi="th-TH"/>
        </w:rPr>
        <w:t xml:space="preserve">  </w:t>
      </w:r>
    </w:p>
    <w:p w:rsidR="00B070BF" w:rsidRPr="009577DE" w:rsidRDefault="00B070BF" w:rsidP="00B070BF">
      <w:pPr>
        <w:widowControl w:val="0"/>
        <w:autoSpaceDE w:val="0"/>
        <w:autoSpaceDN w:val="0"/>
        <w:adjustRightInd w:val="0"/>
        <w:jc w:val="both"/>
        <w:rPr>
          <w:rFonts w:eastAsia="MS Mincho"/>
          <w:szCs w:val="22"/>
          <w:lang w:val="es-ES_tradnl" w:eastAsia="ja-JP" w:bidi="th-TH"/>
        </w:rPr>
      </w:pPr>
    </w:p>
    <w:p w:rsidR="00B070BF" w:rsidRPr="009577DE" w:rsidRDefault="00B070BF" w:rsidP="00B070BF">
      <w:pPr>
        <w:widowControl w:val="0"/>
        <w:numPr>
          <w:ilvl w:val="0"/>
          <w:numId w:val="15"/>
        </w:numPr>
        <w:autoSpaceDE w:val="0"/>
        <w:autoSpaceDN w:val="0"/>
        <w:adjustRightInd w:val="0"/>
        <w:jc w:val="both"/>
        <w:rPr>
          <w:sz w:val="20"/>
          <w:lang w:val="es-ES_tradnl"/>
        </w:rPr>
      </w:pPr>
      <w:r w:rsidRPr="009577DE">
        <w:rPr>
          <w:sz w:val="20"/>
          <w:lang w:val="es-ES_tradnl"/>
        </w:rPr>
        <w:t xml:space="preserve">El programa 20 trabajó además con ciertos sectores de la OMPI para mejorar su colaboración con otras organizaciones intergubernamentales. Durante el año 2012, y de conformidad con la Agenda para el Desarrollo (recomendaciones 30 y 40), el programa insistió en reforzar el compromiso de la OMPI con la labor de las Naciones Unidas y en cumplir plenamente su papel como organismo especializado. En este sentido, los tres ámbitos de actuación clave en 2012 fueron: la Conferencia de Río +20 y el seguimiento de la misma; las iniciativas interinstitucionales relacionadas con los ODM y la Agenda de </w:t>
      </w:r>
      <w:r w:rsidRPr="009577DE">
        <w:rPr>
          <w:sz w:val="20"/>
          <w:lang w:val="es-ES_tradnl"/>
        </w:rPr>
        <w:lastRenderedPageBreak/>
        <w:t xml:space="preserve">Desarrollo posterior a 2015; y los preparativos para la reunión del Consejo Económico y Social de 2013. </w:t>
      </w:r>
    </w:p>
    <w:p w:rsidR="00B070BF" w:rsidRPr="009577DE" w:rsidRDefault="00B070BF" w:rsidP="00B070BF">
      <w:pPr>
        <w:widowControl w:val="0"/>
        <w:autoSpaceDE w:val="0"/>
        <w:autoSpaceDN w:val="0"/>
        <w:adjustRightInd w:val="0"/>
        <w:jc w:val="both"/>
        <w:rPr>
          <w:rFonts w:eastAsia="MS Mincho"/>
          <w:szCs w:val="22"/>
          <w:lang w:val="es-ES_tradnl" w:eastAsia="ja-JP" w:bidi="th-TH"/>
        </w:rPr>
      </w:pPr>
    </w:p>
    <w:p w:rsidR="00B070BF" w:rsidRPr="009577DE" w:rsidRDefault="00B070BF" w:rsidP="00B070BF">
      <w:pPr>
        <w:widowControl w:val="0"/>
        <w:numPr>
          <w:ilvl w:val="0"/>
          <w:numId w:val="15"/>
        </w:numPr>
        <w:autoSpaceDE w:val="0"/>
        <w:autoSpaceDN w:val="0"/>
        <w:adjustRightInd w:val="0"/>
        <w:jc w:val="both"/>
        <w:rPr>
          <w:sz w:val="20"/>
        </w:rPr>
      </w:pPr>
      <w:r w:rsidRPr="009577DE">
        <w:rPr>
          <w:sz w:val="20"/>
        </w:rPr>
        <w:t xml:space="preserve">El programa 20 también ha procurado aumentar la participación de la sociedad civil en distintas reuniones de la OMPI. En este sentido, en abril de 2012 se convocó la primera reunión anual abierta a todas las ONG acreditadas, que tuvieron la oportunidad de dialogar con el Director General acerca de las prioridades y objetivos de la OMPI en 2012 y de las cuestiones relacionadas con el sistema internacional de propiedad intelectual. </w:t>
      </w:r>
    </w:p>
    <w:p w:rsidR="00B070BF" w:rsidRPr="009577DE" w:rsidRDefault="00B070BF" w:rsidP="00B070BF">
      <w:pPr>
        <w:widowControl w:val="0"/>
        <w:autoSpaceDE w:val="0"/>
        <w:autoSpaceDN w:val="0"/>
        <w:adjustRightInd w:val="0"/>
        <w:jc w:val="both"/>
        <w:rPr>
          <w:sz w:val="20"/>
        </w:rPr>
      </w:pPr>
    </w:p>
    <w:p w:rsidR="00B070BF" w:rsidRPr="009577DE" w:rsidRDefault="00B070BF" w:rsidP="00B070BF">
      <w:pPr>
        <w:widowControl w:val="0"/>
        <w:autoSpaceDE w:val="0"/>
        <w:autoSpaceDN w:val="0"/>
        <w:adjustRightInd w:val="0"/>
        <w:jc w:val="both"/>
        <w:rPr>
          <w:sz w:val="20"/>
        </w:rPr>
      </w:pPr>
    </w:p>
    <w:p w:rsidR="00B070BF" w:rsidRPr="009577DE" w:rsidRDefault="00B070BF" w:rsidP="00B070BF">
      <w:pPr>
        <w:widowControl w:val="0"/>
        <w:jc w:val="both"/>
        <w:rPr>
          <w:sz w:val="20"/>
          <w:lang w:val="es-ES_tradnl"/>
        </w:rPr>
      </w:pPr>
      <w:r w:rsidRPr="009577DE">
        <w:rPr>
          <w:sz w:val="20"/>
          <w:lang w:val="es-ES_tradnl"/>
        </w:rPr>
        <w:t>DATOS SOBRE EL RENDIMIENTO</w:t>
      </w:r>
    </w:p>
    <w:p w:rsidR="00B070BF" w:rsidRPr="009577DE" w:rsidRDefault="00B070BF" w:rsidP="00B070BF">
      <w:pPr>
        <w:widowControl w:val="0"/>
        <w:autoSpaceDE w:val="0"/>
        <w:autoSpaceDN w:val="0"/>
        <w:adjustRightInd w:val="0"/>
        <w:jc w:val="both"/>
        <w:rPr>
          <w:sz w:val="20"/>
        </w:rPr>
      </w:pPr>
    </w:p>
    <w:tbl>
      <w:tblPr>
        <w:tblW w:w="5000" w:type="pct"/>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973"/>
        <w:gridCol w:w="1364"/>
        <w:gridCol w:w="1738"/>
        <w:gridCol w:w="3417"/>
        <w:gridCol w:w="1079"/>
      </w:tblGrid>
      <w:tr w:rsidR="00B070BF" w:rsidRPr="009577DE" w:rsidTr="00C33D4A">
        <w:trPr>
          <w:cantSplit/>
        </w:trPr>
        <w:tc>
          <w:tcPr>
            <w:tcW w:w="5000" w:type="pct"/>
            <w:gridSpan w:val="5"/>
            <w:tcBorders>
              <w:top w:val="single" w:sz="4" w:space="0" w:color="auto"/>
              <w:bottom w:val="single" w:sz="4" w:space="0" w:color="auto"/>
            </w:tcBorders>
            <w:shd w:val="clear" w:color="auto" w:fill="CCFFFF"/>
            <w:vAlign w:val="center"/>
          </w:tcPr>
          <w:p w:rsidR="00B070BF" w:rsidRPr="009577DE" w:rsidRDefault="00B070BF" w:rsidP="00C33D4A">
            <w:pPr>
              <w:widowControl w:val="0"/>
              <w:spacing w:before="120" w:after="120"/>
              <w:ind w:left="1735" w:hanging="1735"/>
              <w:rPr>
                <w:b/>
                <w:bCs/>
                <w:sz w:val="16"/>
                <w:szCs w:val="16"/>
                <w:lang w:val="es-ES_tradnl"/>
              </w:rPr>
            </w:pPr>
            <w:bookmarkStart w:id="54" w:name="_Toc359846807"/>
            <w:r w:rsidRPr="009577DE">
              <w:rPr>
                <w:b/>
                <w:bCs/>
                <w:sz w:val="16"/>
                <w:szCs w:val="16"/>
                <w:lang w:val="es-ES_tradnl"/>
              </w:rPr>
              <w:t>Resultado previsto:</w:t>
            </w:r>
            <w:r w:rsidRPr="009577DE">
              <w:rPr>
                <w:b/>
                <w:bCs/>
                <w:sz w:val="16"/>
                <w:szCs w:val="16"/>
                <w:lang w:val="es-ES_tradnl"/>
              </w:rPr>
              <w:tab/>
            </w:r>
            <w:r w:rsidRPr="009577DE">
              <w:rPr>
                <w:bCs/>
                <w:sz w:val="16"/>
                <w:szCs w:val="16"/>
                <w:lang w:val="es-ES_tradnl"/>
              </w:rPr>
              <w:t xml:space="preserve"> La OMPI participa y colabora eficazmente en los procesos y negociaciones de las NN.UU. y otras OIG.</w:t>
            </w:r>
          </w:p>
        </w:tc>
      </w:tr>
      <w:tr w:rsidR="00B070BF" w:rsidRPr="009577DE" w:rsidTr="00C33D4A">
        <w:trPr>
          <w:cantSplit/>
        </w:trPr>
        <w:tc>
          <w:tcPr>
            <w:tcW w:w="1031" w:type="pct"/>
            <w:tcBorders>
              <w:top w:val="single" w:sz="4" w:space="0" w:color="auto"/>
            </w:tcBorders>
            <w:shd w:val="clear" w:color="auto" w:fill="auto"/>
            <w:vAlign w:val="center"/>
          </w:tcPr>
          <w:p w:rsidR="00B070BF" w:rsidRPr="009577DE" w:rsidRDefault="00B070BF" w:rsidP="00C33D4A">
            <w:pPr>
              <w:widowControl w:val="0"/>
              <w:spacing w:after="120"/>
              <w:rPr>
                <w:sz w:val="16"/>
                <w:szCs w:val="16"/>
                <w:lang w:val="es-ES_tradnl"/>
              </w:rPr>
            </w:pPr>
            <w:r w:rsidRPr="009577DE">
              <w:rPr>
                <w:b/>
                <w:bCs/>
                <w:sz w:val="16"/>
                <w:szCs w:val="16"/>
                <w:lang w:val="es-ES_tradnl"/>
              </w:rPr>
              <w:t>Indicadores de rendimiento</w:t>
            </w:r>
          </w:p>
        </w:tc>
        <w:tc>
          <w:tcPr>
            <w:tcW w:w="713" w:type="pct"/>
            <w:tcBorders>
              <w:top w:val="single" w:sz="4" w:space="0" w:color="auto"/>
            </w:tcBorders>
            <w:shd w:val="clear" w:color="auto" w:fill="C0C0C0"/>
          </w:tcPr>
          <w:p w:rsidR="00B070BF" w:rsidRPr="009577DE" w:rsidRDefault="00B070BF" w:rsidP="00C33D4A">
            <w:pPr>
              <w:widowControl w:val="0"/>
              <w:spacing w:after="120"/>
              <w:rPr>
                <w:b/>
                <w:bCs/>
                <w:sz w:val="16"/>
                <w:szCs w:val="16"/>
                <w:lang w:val="es-ES_tradnl"/>
              </w:rPr>
            </w:pPr>
            <w:r w:rsidRPr="009577DE">
              <w:rPr>
                <w:b/>
                <w:bCs/>
                <w:sz w:val="16"/>
                <w:szCs w:val="16"/>
                <w:lang w:val="es-ES_tradnl"/>
              </w:rPr>
              <w:t>Referencia (</w:t>
            </w:r>
            <w:proofErr w:type="spellStart"/>
            <w:r w:rsidRPr="009577DE">
              <w:rPr>
                <w:b/>
                <w:bCs/>
                <w:sz w:val="16"/>
                <w:szCs w:val="16"/>
                <w:lang w:val="es-ES_tradnl"/>
              </w:rPr>
              <w:t>Presup</w:t>
            </w:r>
            <w:proofErr w:type="spellEnd"/>
            <w:r w:rsidRPr="009577DE">
              <w:rPr>
                <w:b/>
                <w:bCs/>
                <w:sz w:val="16"/>
                <w:szCs w:val="16"/>
                <w:lang w:val="es-ES_tradnl"/>
              </w:rPr>
              <w:t xml:space="preserve">. por </w:t>
            </w:r>
            <w:proofErr w:type="spellStart"/>
            <w:r w:rsidRPr="009577DE">
              <w:rPr>
                <w:b/>
                <w:bCs/>
                <w:sz w:val="16"/>
                <w:szCs w:val="16"/>
                <w:lang w:val="es-ES_tradnl"/>
              </w:rPr>
              <w:t>prog</w:t>
            </w:r>
            <w:proofErr w:type="spellEnd"/>
            <w:r w:rsidRPr="009577DE">
              <w:rPr>
                <w:b/>
                <w:bCs/>
                <w:sz w:val="16"/>
                <w:szCs w:val="16"/>
                <w:lang w:val="es-ES_tradnl"/>
              </w:rPr>
              <w:t>. 2012/13)</w:t>
            </w:r>
          </w:p>
        </w:tc>
        <w:tc>
          <w:tcPr>
            <w:tcW w:w="908" w:type="pct"/>
            <w:tcBorders>
              <w:top w:val="single" w:sz="4" w:space="0" w:color="auto"/>
            </w:tcBorders>
            <w:shd w:val="clear" w:color="auto" w:fill="auto"/>
            <w:tcMar>
              <w:top w:w="110" w:type="dxa"/>
            </w:tcMar>
            <w:vAlign w:val="center"/>
          </w:tcPr>
          <w:p w:rsidR="00B070BF" w:rsidRPr="009577DE" w:rsidRDefault="00B070BF" w:rsidP="00C33D4A">
            <w:pPr>
              <w:widowControl w:val="0"/>
              <w:spacing w:after="120"/>
              <w:rPr>
                <w:b/>
                <w:sz w:val="16"/>
                <w:szCs w:val="16"/>
                <w:lang w:val="es-ES_tradnl"/>
              </w:rPr>
            </w:pPr>
            <w:r w:rsidRPr="00BF138D">
              <w:rPr>
                <w:b/>
                <w:color w:val="993300"/>
                <w:sz w:val="16"/>
                <w:szCs w:val="16"/>
                <w:lang w:val="es-ES_tradnl"/>
              </w:rPr>
              <w:t>Referencia actualizada a finales de 2011</w:t>
            </w:r>
            <w:r w:rsidRPr="009577DE">
              <w:rPr>
                <w:b/>
                <w:sz w:val="16"/>
                <w:szCs w:val="16"/>
                <w:lang w:val="es-ES_tradnl"/>
              </w:rPr>
              <w:t xml:space="preserve"> </w:t>
            </w:r>
          </w:p>
        </w:tc>
        <w:tc>
          <w:tcPr>
            <w:tcW w:w="1785" w:type="pct"/>
            <w:tcBorders>
              <w:top w:val="single" w:sz="4" w:space="0" w:color="auto"/>
            </w:tcBorders>
            <w:shd w:val="clear" w:color="auto" w:fill="FFFFFF"/>
            <w:tcMar>
              <w:top w:w="110" w:type="dxa"/>
            </w:tcMar>
            <w:vAlign w:val="center"/>
          </w:tcPr>
          <w:p w:rsidR="00B070BF" w:rsidRPr="009577DE" w:rsidRDefault="00B070BF" w:rsidP="00C33D4A">
            <w:pPr>
              <w:widowControl w:val="0"/>
              <w:spacing w:after="120"/>
              <w:rPr>
                <w:sz w:val="16"/>
                <w:szCs w:val="16"/>
                <w:lang w:val="es-ES_tradnl"/>
              </w:rPr>
            </w:pPr>
            <w:r w:rsidRPr="009577DE">
              <w:rPr>
                <w:b/>
                <w:bCs/>
                <w:sz w:val="16"/>
                <w:szCs w:val="16"/>
                <w:lang w:val="es-ES_tradnl"/>
              </w:rPr>
              <w:t>Datos sobre el rendimiento</w:t>
            </w:r>
          </w:p>
        </w:tc>
        <w:tc>
          <w:tcPr>
            <w:tcW w:w="564" w:type="pct"/>
            <w:tcBorders>
              <w:top w:val="single" w:sz="4" w:space="0" w:color="auto"/>
            </w:tcBorders>
            <w:shd w:val="clear" w:color="auto" w:fill="auto"/>
            <w:tcMar>
              <w:top w:w="110" w:type="dxa"/>
            </w:tcMar>
            <w:vAlign w:val="center"/>
          </w:tcPr>
          <w:p w:rsidR="00B070BF" w:rsidRPr="009577DE" w:rsidRDefault="00B070BF" w:rsidP="00C33D4A">
            <w:pPr>
              <w:widowControl w:val="0"/>
              <w:spacing w:after="120"/>
              <w:jc w:val="center"/>
              <w:rPr>
                <w:b/>
                <w:bCs/>
                <w:sz w:val="16"/>
                <w:szCs w:val="16"/>
                <w:lang w:val="es-ES_tradnl"/>
              </w:rPr>
            </w:pPr>
            <w:r w:rsidRPr="009577DE">
              <w:rPr>
                <w:b/>
                <w:bCs/>
                <w:sz w:val="16"/>
                <w:szCs w:val="16"/>
                <w:lang w:val="es-ES_tradnl"/>
              </w:rPr>
              <w:t>Clave de colores</w:t>
            </w:r>
          </w:p>
        </w:tc>
      </w:tr>
      <w:tr w:rsidR="00B070BF" w:rsidRPr="009577DE" w:rsidTr="00C33D4A">
        <w:trPr>
          <w:cantSplit/>
        </w:trPr>
        <w:tc>
          <w:tcPr>
            <w:tcW w:w="1031" w:type="pct"/>
            <w:shd w:val="clear" w:color="auto" w:fill="auto"/>
          </w:tcPr>
          <w:p w:rsidR="00B070BF" w:rsidRPr="009577DE" w:rsidRDefault="00B070BF" w:rsidP="00C33D4A">
            <w:pPr>
              <w:widowControl w:val="0"/>
              <w:rPr>
                <w:sz w:val="16"/>
                <w:szCs w:val="16"/>
                <w:lang w:val="es-ES_tradnl"/>
              </w:rPr>
            </w:pPr>
            <w:r w:rsidRPr="009577DE">
              <w:rPr>
                <w:sz w:val="16"/>
                <w:szCs w:val="16"/>
                <w:lang w:val="es-ES_tradnl"/>
              </w:rPr>
              <w:t>Utilización de las aportaciones de la OMPI en informes, resoluciones y documentos de procesos de las partes interesadas.</w:t>
            </w:r>
          </w:p>
          <w:p w:rsidR="00B070BF" w:rsidRPr="009577DE" w:rsidRDefault="00B070BF" w:rsidP="00C33D4A">
            <w:pPr>
              <w:widowControl w:val="0"/>
              <w:rPr>
                <w:sz w:val="16"/>
                <w:szCs w:val="16"/>
                <w:lang w:val="es-ES_tradnl"/>
              </w:rPr>
            </w:pPr>
          </w:p>
        </w:tc>
        <w:tc>
          <w:tcPr>
            <w:tcW w:w="713" w:type="pct"/>
            <w:shd w:val="clear" w:color="auto" w:fill="C0C0C0"/>
          </w:tcPr>
          <w:p w:rsidR="00B070BF" w:rsidRPr="009577DE" w:rsidRDefault="00B070BF" w:rsidP="00C33D4A">
            <w:pPr>
              <w:widowControl w:val="0"/>
              <w:rPr>
                <w:sz w:val="16"/>
                <w:szCs w:val="16"/>
                <w:lang w:val="es-ES_tradnl"/>
              </w:rPr>
            </w:pPr>
            <w:r w:rsidRPr="009577DE">
              <w:rPr>
                <w:sz w:val="16"/>
                <w:szCs w:val="16"/>
                <w:lang w:val="es-ES_tradnl"/>
              </w:rPr>
              <w:t>No se dispone de datos.</w:t>
            </w:r>
          </w:p>
        </w:tc>
        <w:tc>
          <w:tcPr>
            <w:tcW w:w="908" w:type="pct"/>
            <w:shd w:val="clear" w:color="auto" w:fill="auto"/>
            <w:tcMar>
              <w:top w:w="110" w:type="dxa"/>
            </w:tcMar>
          </w:tcPr>
          <w:p w:rsidR="00B070BF" w:rsidRPr="00F2661C" w:rsidRDefault="00B070BF" w:rsidP="00C33D4A">
            <w:pPr>
              <w:widowControl w:val="0"/>
              <w:rPr>
                <w:color w:val="993300"/>
                <w:sz w:val="16"/>
                <w:szCs w:val="16"/>
                <w:lang w:val="es-ES_tradnl" w:bidi="th-TH"/>
              </w:rPr>
            </w:pPr>
            <w:r w:rsidRPr="00F2661C">
              <w:rPr>
                <w:color w:val="993300"/>
                <w:sz w:val="16"/>
                <w:szCs w:val="16"/>
                <w:lang w:val="es-ES_tradnl" w:bidi="th-TH"/>
              </w:rPr>
              <w:t>20 de 24 aportaciones (2010/11)</w:t>
            </w:r>
          </w:p>
        </w:tc>
        <w:tc>
          <w:tcPr>
            <w:tcW w:w="1785" w:type="pct"/>
            <w:shd w:val="clear" w:color="auto" w:fill="FFFFFF"/>
            <w:tcMar>
              <w:top w:w="110" w:type="dxa"/>
            </w:tcMar>
          </w:tcPr>
          <w:p w:rsidR="00B070BF" w:rsidRPr="009577DE" w:rsidRDefault="00B070BF" w:rsidP="00C33D4A">
            <w:pPr>
              <w:widowControl w:val="0"/>
              <w:rPr>
                <w:sz w:val="16"/>
                <w:szCs w:val="16"/>
                <w:lang w:val="es-ES_tradnl" w:bidi="th-TH"/>
              </w:rPr>
            </w:pPr>
            <w:r w:rsidRPr="009577DE">
              <w:rPr>
                <w:sz w:val="16"/>
                <w:szCs w:val="16"/>
                <w:lang w:val="es-ES_tradnl" w:bidi="th-TH"/>
              </w:rPr>
              <w:t>16 aportaciones en 2012, todas las cuales se reflejaron satisfactoriamente.</w:t>
            </w:r>
          </w:p>
          <w:p w:rsidR="00B070BF" w:rsidRPr="009577DE" w:rsidRDefault="00B070BF" w:rsidP="00C33D4A">
            <w:pPr>
              <w:widowControl w:val="0"/>
              <w:rPr>
                <w:sz w:val="16"/>
                <w:szCs w:val="16"/>
                <w:lang w:val="es-ES_tradnl" w:bidi="th-TH"/>
              </w:rPr>
            </w:pPr>
          </w:p>
          <w:p w:rsidR="00B070BF" w:rsidRPr="009577DE" w:rsidRDefault="00B070BF" w:rsidP="00C33D4A">
            <w:pPr>
              <w:widowControl w:val="0"/>
              <w:rPr>
                <w:sz w:val="16"/>
                <w:szCs w:val="16"/>
                <w:lang w:val="es-ES_tradnl" w:bidi="th-TH"/>
              </w:rPr>
            </w:pPr>
          </w:p>
          <w:p w:rsidR="00B070BF" w:rsidRPr="009577DE" w:rsidRDefault="00B070BF" w:rsidP="00C33D4A">
            <w:pPr>
              <w:widowControl w:val="0"/>
              <w:rPr>
                <w:sz w:val="16"/>
                <w:szCs w:val="16"/>
                <w:lang w:val="es-ES_tradnl"/>
              </w:rPr>
            </w:pPr>
          </w:p>
        </w:tc>
        <w:tc>
          <w:tcPr>
            <w:tcW w:w="564" w:type="pct"/>
            <w:shd w:val="clear" w:color="auto" w:fill="auto"/>
            <w:tcMar>
              <w:top w:w="110" w:type="dxa"/>
            </w:tcMar>
          </w:tcPr>
          <w:p w:rsidR="00B070BF" w:rsidRPr="009577DE" w:rsidRDefault="00B070BF" w:rsidP="00C33D4A">
            <w:pPr>
              <w:widowControl w:val="0"/>
              <w:jc w:val="center"/>
              <w:rPr>
                <w:bCs/>
                <w:sz w:val="16"/>
                <w:szCs w:val="16"/>
                <w:lang w:val="es-ES_tradnl"/>
              </w:rPr>
            </w:pPr>
            <w:r w:rsidRPr="009577DE">
              <w:rPr>
                <w:b/>
                <w:color w:val="008000"/>
                <w:sz w:val="16"/>
                <w:szCs w:val="16"/>
                <w:lang w:val="es-ES_tradnl"/>
              </w:rPr>
              <w:t>Progresa con normalidad</w:t>
            </w:r>
          </w:p>
          <w:p w:rsidR="00B070BF" w:rsidRPr="009577DE" w:rsidRDefault="00B070BF" w:rsidP="00C33D4A">
            <w:pPr>
              <w:widowControl w:val="0"/>
              <w:jc w:val="center"/>
              <w:rPr>
                <w:bCs/>
                <w:sz w:val="16"/>
                <w:szCs w:val="16"/>
                <w:lang w:val="es-ES_tradnl"/>
              </w:rPr>
            </w:pPr>
          </w:p>
          <w:p w:rsidR="00B070BF" w:rsidRPr="009577DE" w:rsidRDefault="00B070BF" w:rsidP="00C33D4A">
            <w:pPr>
              <w:widowControl w:val="0"/>
              <w:jc w:val="center"/>
              <w:rPr>
                <w:bCs/>
                <w:sz w:val="16"/>
                <w:szCs w:val="16"/>
                <w:lang w:val="es-ES_tradnl"/>
              </w:rPr>
            </w:pPr>
          </w:p>
        </w:tc>
      </w:tr>
      <w:tr w:rsidR="00B070BF" w:rsidRPr="009577DE" w:rsidTr="00C33D4A">
        <w:trPr>
          <w:cantSplit/>
        </w:trPr>
        <w:tc>
          <w:tcPr>
            <w:tcW w:w="1031" w:type="pct"/>
            <w:shd w:val="clear" w:color="auto" w:fill="auto"/>
          </w:tcPr>
          <w:p w:rsidR="00B070BF" w:rsidRPr="009577DE" w:rsidRDefault="00B070BF" w:rsidP="00C33D4A">
            <w:pPr>
              <w:widowControl w:val="0"/>
              <w:rPr>
                <w:sz w:val="16"/>
                <w:szCs w:val="16"/>
                <w:lang w:val="es-ES_tradnl"/>
              </w:rPr>
            </w:pPr>
            <w:r w:rsidRPr="009577DE">
              <w:rPr>
                <w:sz w:val="16"/>
                <w:szCs w:val="16"/>
                <w:lang w:val="es-ES_tradnl"/>
              </w:rPr>
              <w:t>Comentarios recibidos sobre la aportación o participación de la OMPI en los procesos y foros de las Naciones Unidas y otras OIG.</w:t>
            </w:r>
          </w:p>
        </w:tc>
        <w:tc>
          <w:tcPr>
            <w:tcW w:w="713" w:type="pct"/>
            <w:shd w:val="clear" w:color="auto" w:fill="C0C0C0"/>
          </w:tcPr>
          <w:p w:rsidR="00B070BF" w:rsidRPr="009577DE" w:rsidRDefault="00B070BF" w:rsidP="00C33D4A">
            <w:pPr>
              <w:widowControl w:val="0"/>
              <w:rPr>
                <w:sz w:val="16"/>
                <w:szCs w:val="16"/>
                <w:lang w:val="es-ES_tradnl"/>
              </w:rPr>
            </w:pPr>
            <w:r w:rsidRPr="009577DE">
              <w:rPr>
                <w:sz w:val="16"/>
                <w:szCs w:val="16"/>
                <w:lang w:val="es-ES_tradnl"/>
              </w:rPr>
              <w:t>No se dispone de datos.</w:t>
            </w:r>
          </w:p>
        </w:tc>
        <w:tc>
          <w:tcPr>
            <w:tcW w:w="908" w:type="pct"/>
            <w:shd w:val="clear" w:color="auto" w:fill="auto"/>
            <w:tcMar>
              <w:top w:w="110" w:type="dxa"/>
            </w:tcMar>
          </w:tcPr>
          <w:p w:rsidR="00B070BF" w:rsidRPr="00F2661C" w:rsidRDefault="00B070BF" w:rsidP="00C33D4A">
            <w:pPr>
              <w:widowControl w:val="0"/>
              <w:rPr>
                <w:color w:val="993300"/>
                <w:sz w:val="16"/>
                <w:szCs w:val="16"/>
                <w:lang w:val="es-ES_tradnl" w:bidi="th-TH"/>
              </w:rPr>
            </w:pPr>
          </w:p>
        </w:tc>
        <w:tc>
          <w:tcPr>
            <w:tcW w:w="1785" w:type="pct"/>
            <w:shd w:val="clear" w:color="auto" w:fill="FFFFFF"/>
            <w:tcMar>
              <w:top w:w="110" w:type="dxa"/>
            </w:tcMar>
          </w:tcPr>
          <w:p w:rsidR="00B070BF" w:rsidRPr="009577DE" w:rsidRDefault="00B070BF" w:rsidP="00C33D4A">
            <w:pPr>
              <w:widowControl w:val="0"/>
              <w:rPr>
                <w:sz w:val="16"/>
                <w:szCs w:val="16"/>
                <w:lang w:val="es-ES_tradnl"/>
              </w:rPr>
            </w:pPr>
            <w:r w:rsidRPr="009577DE">
              <w:rPr>
                <w:sz w:val="16"/>
                <w:szCs w:val="16"/>
                <w:lang w:val="es-ES_tradnl"/>
              </w:rPr>
              <w:t>No se dispone de datos.</w:t>
            </w:r>
          </w:p>
          <w:p w:rsidR="00B070BF" w:rsidRPr="009577DE" w:rsidRDefault="00B070BF" w:rsidP="00C33D4A">
            <w:pPr>
              <w:widowControl w:val="0"/>
              <w:rPr>
                <w:sz w:val="16"/>
                <w:szCs w:val="16"/>
                <w:lang w:val="es-ES_tradnl"/>
              </w:rPr>
            </w:pPr>
          </w:p>
        </w:tc>
        <w:tc>
          <w:tcPr>
            <w:tcW w:w="564" w:type="pct"/>
            <w:shd w:val="clear" w:color="auto" w:fill="auto"/>
            <w:tcMar>
              <w:top w:w="110" w:type="dxa"/>
            </w:tcMar>
          </w:tcPr>
          <w:p w:rsidR="00B070BF" w:rsidRPr="009577DE" w:rsidRDefault="00B070BF" w:rsidP="00C33D4A">
            <w:pPr>
              <w:widowControl w:val="0"/>
              <w:jc w:val="center"/>
              <w:rPr>
                <w:b/>
                <w:sz w:val="16"/>
                <w:szCs w:val="16"/>
                <w:lang w:val="es-ES_tradnl"/>
              </w:rPr>
            </w:pPr>
            <w:proofErr w:type="spellStart"/>
            <w:r w:rsidRPr="009577DE">
              <w:rPr>
                <w:b/>
                <w:sz w:val="16"/>
                <w:szCs w:val="16"/>
                <w:lang w:val="es-ES_tradnl"/>
              </w:rPr>
              <w:t>Interrum</w:t>
            </w:r>
            <w:proofErr w:type="spellEnd"/>
            <w:r w:rsidRPr="009577DE">
              <w:rPr>
                <w:b/>
                <w:sz w:val="16"/>
                <w:szCs w:val="16"/>
                <w:lang w:val="es-ES_tradnl"/>
              </w:rPr>
              <w:t>-pido</w:t>
            </w:r>
          </w:p>
        </w:tc>
      </w:tr>
      <w:tr w:rsidR="00B070BF" w:rsidRPr="009577DE" w:rsidTr="00C33D4A">
        <w:trPr>
          <w:cantSplit/>
        </w:trPr>
        <w:tc>
          <w:tcPr>
            <w:tcW w:w="1031" w:type="pct"/>
            <w:shd w:val="clear" w:color="auto" w:fill="auto"/>
          </w:tcPr>
          <w:p w:rsidR="00B070BF" w:rsidRPr="009577DE" w:rsidRDefault="00B070BF" w:rsidP="00C33D4A">
            <w:pPr>
              <w:widowControl w:val="0"/>
              <w:rPr>
                <w:sz w:val="16"/>
                <w:szCs w:val="16"/>
                <w:lang w:val="es-ES_tradnl"/>
              </w:rPr>
            </w:pPr>
            <w:r w:rsidRPr="009577DE">
              <w:rPr>
                <w:sz w:val="16"/>
                <w:szCs w:val="16"/>
                <w:lang w:val="es-ES_tradnl"/>
              </w:rPr>
              <w:t>Porcentaje de respuestas cursadas puntualmente atendiendo a peticiones externas de aportación por parte de organismos de las NN.UU., OIG, etc.</w:t>
            </w:r>
          </w:p>
        </w:tc>
        <w:tc>
          <w:tcPr>
            <w:tcW w:w="713" w:type="pct"/>
            <w:shd w:val="clear" w:color="auto" w:fill="C0C0C0"/>
          </w:tcPr>
          <w:p w:rsidR="00B070BF" w:rsidRPr="009577DE" w:rsidRDefault="00B070BF" w:rsidP="00C33D4A">
            <w:pPr>
              <w:widowControl w:val="0"/>
              <w:rPr>
                <w:sz w:val="16"/>
                <w:szCs w:val="16"/>
                <w:lang w:val="es-ES_tradnl"/>
              </w:rPr>
            </w:pPr>
            <w:r w:rsidRPr="009577DE">
              <w:rPr>
                <w:sz w:val="16"/>
                <w:szCs w:val="16"/>
                <w:lang w:val="es-ES_tradnl"/>
              </w:rPr>
              <w:t>No se dispone de datos.</w:t>
            </w:r>
          </w:p>
        </w:tc>
        <w:tc>
          <w:tcPr>
            <w:tcW w:w="908" w:type="pct"/>
            <w:shd w:val="clear" w:color="auto" w:fill="auto"/>
            <w:tcMar>
              <w:top w:w="110" w:type="dxa"/>
            </w:tcMar>
          </w:tcPr>
          <w:p w:rsidR="00B070BF" w:rsidRPr="00F2661C" w:rsidRDefault="00B070BF" w:rsidP="00C33D4A">
            <w:pPr>
              <w:widowControl w:val="0"/>
              <w:rPr>
                <w:color w:val="993300"/>
                <w:sz w:val="16"/>
                <w:szCs w:val="16"/>
                <w:lang w:val="es-ES_tradnl" w:bidi="th-TH"/>
              </w:rPr>
            </w:pPr>
            <w:r w:rsidRPr="00F2661C">
              <w:rPr>
                <w:color w:val="993300"/>
                <w:sz w:val="16"/>
                <w:szCs w:val="16"/>
                <w:lang w:val="es-ES_tradnl" w:bidi="th-TH"/>
              </w:rPr>
              <w:t>80%</w:t>
            </w:r>
          </w:p>
        </w:tc>
        <w:tc>
          <w:tcPr>
            <w:tcW w:w="1785" w:type="pct"/>
            <w:shd w:val="clear" w:color="auto" w:fill="FFFFFF"/>
            <w:tcMar>
              <w:top w:w="110" w:type="dxa"/>
            </w:tcMar>
          </w:tcPr>
          <w:p w:rsidR="00B070BF" w:rsidRPr="009577DE" w:rsidRDefault="00B070BF" w:rsidP="00C33D4A">
            <w:pPr>
              <w:widowControl w:val="0"/>
              <w:rPr>
                <w:sz w:val="16"/>
                <w:szCs w:val="16"/>
                <w:lang w:val="es-ES_tradnl"/>
              </w:rPr>
            </w:pPr>
            <w:r w:rsidRPr="009577DE">
              <w:rPr>
                <w:sz w:val="16"/>
                <w:szCs w:val="16"/>
                <w:lang w:val="es-ES_tradnl"/>
              </w:rPr>
              <w:t>Se procesó el 83% en el plazo de 5 días hábiles.</w:t>
            </w:r>
          </w:p>
          <w:p w:rsidR="00B070BF" w:rsidRPr="009577DE" w:rsidRDefault="00B070BF" w:rsidP="00C33D4A">
            <w:pPr>
              <w:widowControl w:val="0"/>
              <w:rPr>
                <w:sz w:val="16"/>
                <w:szCs w:val="16"/>
                <w:lang w:val="es-ES_tradnl"/>
              </w:rPr>
            </w:pPr>
          </w:p>
          <w:p w:rsidR="00B070BF" w:rsidRPr="009577DE" w:rsidRDefault="00B070BF" w:rsidP="00C33D4A">
            <w:pPr>
              <w:widowControl w:val="0"/>
              <w:rPr>
                <w:sz w:val="16"/>
                <w:szCs w:val="16"/>
                <w:lang w:val="es-ES_tradnl"/>
              </w:rPr>
            </w:pPr>
          </w:p>
          <w:p w:rsidR="00B070BF" w:rsidRPr="009577DE" w:rsidRDefault="00B070BF" w:rsidP="00C33D4A">
            <w:pPr>
              <w:widowControl w:val="0"/>
              <w:rPr>
                <w:sz w:val="16"/>
                <w:szCs w:val="16"/>
                <w:lang w:val="es-ES_tradnl"/>
              </w:rPr>
            </w:pPr>
          </w:p>
        </w:tc>
        <w:tc>
          <w:tcPr>
            <w:tcW w:w="564" w:type="pct"/>
            <w:shd w:val="clear" w:color="auto" w:fill="auto"/>
            <w:tcMar>
              <w:top w:w="110" w:type="dxa"/>
            </w:tcMar>
          </w:tcPr>
          <w:p w:rsidR="00B070BF" w:rsidRPr="009577DE" w:rsidRDefault="00B070BF" w:rsidP="00C33D4A">
            <w:pPr>
              <w:widowControl w:val="0"/>
              <w:jc w:val="center"/>
              <w:rPr>
                <w:bCs/>
                <w:sz w:val="16"/>
                <w:szCs w:val="16"/>
                <w:lang w:val="es-ES_tradnl"/>
              </w:rPr>
            </w:pPr>
            <w:r w:rsidRPr="009577DE">
              <w:rPr>
                <w:b/>
                <w:color w:val="008000"/>
                <w:sz w:val="16"/>
                <w:szCs w:val="16"/>
                <w:lang w:val="es-ES_tradnl"/>
              </w:rPr>
              <w:t>Progresa con normalidad</w:t>
            </w:r>
          </w:p>
          <w:p w:rsidR="00B070BF" w:rsidRPr="009577DE" w:rsidRDefault="00B070BF" w:rsidP="00C33D4A">
            <w:pPr>
              <w:widowControl w:val="0"/>
              <w:jc w:val="center"/>
              <w:rPr>
                <w:bCs/>
                <w:sz w:val="16"/>
                <w:szCs w:val="16"/>
                <w:lang w:val="es-ES_tradnl"/>
              </w:rPr>
            </w:pPr>
          </w:p>
          <w:p w:rsidR="00B070BF" w:rsidRPr="009577DE" w:rsidRDefault="00B070BF" w:rsidP="00C33D4A">
            <w:pPr>
              <w:widowControl w:val="0"/>
              <w:jc w:val="center"/>
              <w:rPr>
                <w:bCs/>
                <w:sz w:val="16"/>
                <w:szCs w:val="16"/>
                <w:lang w:val="es-ES_tradnl"/>
              </w:rPr>
            </w:pPr>
          </w:p>
          <w:p w:rsidR="00B070BF" w:rsidRPr="009577DE" w:rsidRDefault="00B070BF" w:rsidP="00C33D4A">
            <w:pPr>
              <w:widowControl w:val="0"/>
              <w:jc w:val="center"/>
              <w:rPr>
                <w:bCs/>
                <w:sz w:val="16"/>
                <w:szCs w:val="16"/>
                <w:lang w:val="es-ES_tradnl"/>
              </w:rPr>
            </w:pPr>
            <w:r w:rsidRPr="009577DE">
              <w:rPr>
                <w:bCs/>
                <w:sz w:val="16"/>
                <w:szCs w:val="16"/>
                <w:lang w:val="es-ES_tradnl"/>
              </w:rPr>
              <w:br/>
            </w:r>
            <w:r w:rsidRPr="009577DE">
              <w:rPr>
                <w:bCs/>
                <w:sz w:val="16"/>
                <w:szCs w:val="16"/>
                <w:lang w:val="es-ES_tradnl"/>
              </w:rPr>
              <w:br/>
            </w:r>
          </w:p>
        </w:tc>
      </w:tr>
      <w:tr w:rsidR="00B070BF" w:rsidRPr="009577DE" w:rsidTr="00C33D4A">
        <w:trPr>
          <w:cantSplit/>
        </w:trPr>
        <w:tc>
          <w:tcPr>
            <w:tcW w:w="1031" w:type="pct"/>
            <w:tcBorders>
              <w:bottom w:val="single" w:sz="4" w:space="0" w:color="auto"/>
            </w:tcBorders>
            <w:shd w:val="clear" w:color="auto" w:fill="auto"/>
          </w:tcPr>
          <w:p w:rsidR="00B070BF" w:rsidRPr="009577DE" w:rsidRDefault="00B070BF" w:rsidP="00C33D4A">
            <w:pPr>
              <w:widowControl w:val="0"/>
              <w:rPr>
                <w:sz w:val="16"/>
                <w:szCs w:val="16"/>
                <w:lang w:val="es-ES_tradnl"/>
              </w:rPr>
            </w:pPr>
            <w:r w:rsidRPr="009577DE">
              <w:rPr>
                <w:sz w:val="16"/>
                <w:szCs w:val="16"/>
                <w:lang w:val="es-ES_tradnl"/>
              </w:rPr>
              <w:t>Número de actividades o planes de trabajo comunes emprendidos y examinados con arreglo a acuerdos concertados con organizaciones asociadas (memorandos de entendimiento nuevos o vigentes suscritos con OIG).</w:t>
            </w:r>
          </w:p>
          <w:p w:rsidR="00B070BF" w:rsidRPr="009577DE" w:rsidRDefault="00B070BF" w:rsidP="00C33D4A">
            <w:pPr>
              <w:widowControl w:val="0"/>
              <w:rPr>
                <w:sz w:val="16"/>
                <w:szCs w:val="16"/>
                <w:lang w:val="es-ES_tradnl"/>
              </w:rPr>
            </w:pPr>
          </w:p>
        </w:tc>
        <w:tc>
          <w:tcPr>
            <w:tcW w:w="713" w:type="pct"/>
            <w:tcBorders>
              <w:bottom w:val="single" w:sz="4" w:space="0" w:color="auto"/>
            </w:tcBorders>
            <w:shd w:val="clear" w:color="auto" w:fill="C0C0C0"/>
          </w:tcPr>
          <w:p w:rsidR="00B070BF" w:rsidRPr="009577DE" w:rsidRDefault="00B070BF" w:rsidP="00C33D4A">
            <w:pPr>
              <w:widowControl w:val="0"/>
              <w:rPr>
                <w:sz w:val="16"/>
                <w:szCs w:val="16"/>
                <w:lang w:val="es-ES_tradnl"/>
              </w:rPr>
            </w:pPr>
            <w:r w:rsidRPr="009577DE">
              <w:rPr>
                <w:sz w:val="16"/>
                <w:szCs w:val="16"/>
                <w:lang w:val="es-ES_tradnl"/>
              </w:rPr>
              <w:t>No se dispone de datos.</w:t>
            </w:r>
          </w:p>
        </w:tc>
        <w:tc>
          <w:tcPr>
            <w:tcW w:w="908" w:type="pct"/>
            <w:tcBorders>
              <w:bottom w:val="single" w:sz="4" w:space="0" w:color="auto"/>
            </w:tcBorders>
            <w:shd w:val="clear" w:color="auto" w:fill="auto"/>
            <w:tcMar>
              <w:top w:w="110" w:type="dxa"/>
            </w:tcMar>
          </w:tcPr>
          <w:p w:rsidR="00B070BF" w:rsidRPr="00F2661C" w:rsidRDefault="00B070BF" w:rsidP="00C33D4A">
            <w:pPr>
              <w:widowControl w:val="0"/>
              <w:rPr>
                <w:color w:val="993300"/>
                <w:sz w:val="16"/>
                <w:szCs w:val="16"/>
                <w:lang w:val="es-ES_tradnl"/>
              </w:rPr>
            </w:pPr>
            <w:r w:rsidRPr="00F2661C">
              <w:rPr>
                <w:color w:val="993300"/>
                <w:sz w:val="16"/>
                <w:szCs w:val="16"/>
                <w:lang w:val="es-ES_tradnl"/>
              </w:rPr>
              <w:t>Señaladas en programas pertinentes de 2010/11.</w:t>
            </w:r>
          </w:p>
        </w:tc>
        <w:tc>
          <w:tcPr>
            <w:tcW w:w="1785" w:type="pct"/>
            <w:tcBorders>
              <w:bottom w:val="single" w:sz="4" w:space="0" w:color="auto"/>
            </w:tcBorders>
            <w:shd w:val="clear" w:color="auto" w:fill="FFFFFF"/>
            <w:tcMar>
              <w:top w:w="110" w:type="dxa"/>
            </w:tcMar>
          </w:tcPr>
          <w:p w:rsidR="00B070BF" w:rsidRPr="009577DE" w:rsidRDefault="00B070BF" w:rsidP="00C33D4A">
            <w:pPr>
              <w:widowControl w:val="0"/>
              <w:rPr>
                <w:sz w:val="16"/>
                <w:szCs w:val="16"/>
                <w:highlight w:val="cyan"/>
                <w:lang w:val="es-ES_tradnl"/>
              </w:rPr>
            </w:pPr>
            <w:r w:rsidRPr="009577DE">
              <w:rPr>
                <w:sz w:val="16"/>
                <w:szCs w:val="16"/>
                <w:lang w:val="es-ES_tradnl"/>
              </w:rPr>
              <w:t xml:space="preserve">12 actividades comunes (p. ej., la Semana Mundial del Espíritu Empresarial 2012 (una actividad conjunta de las Naciones Unidas en la que participaron la OMPI, la UNCTAD, la OIT y el UNITAR);  la actividad paralela del sistema de las Naciones Unidas sobre tecnología durante la 18ª Conferencia de las Partes en la Convención Marco de las Naciones Unidas sobre el Cambio Climático, celebrada en Doha). </w:t>
            </w:r>
          </w:p>
        </w:tc>
        <w:tc>
          <w:tcPr>
            <w:tcW w:w="564" w:type="pct"/>
            <w:tcBorders>
              <w:bottom w:val="single" w:sz="4" w:space="0" w:color="auto"/>
            </w:tcBorders>
            <w:shd w:val="clear" w:color="auto" w:fill="auto"/>
            <w:tcMar>
              <w:top w:w="110" w:type="dxa"/>
            </w:tcMar>
          </w:tcPr>
          <w:p w:rsidR="00B070BF" w:rsidRPr="009577DE" w:rsidRDefault="00B070BF" w:rsidP="00C33D4A">
            <w:pPr>
              <w:widowControl w:val="0"/>
              <w:jc w:val="center"/>
              <w:rPr>
                <w:b/>
                <w:sz w:val="16"/>
                <w:szCs w:val="16"/>
                <w:lang w:val="es-ES_tradnl"/>
              </w:rPr>
            </w:pPr>
            <w:r w:rsidRPr="009577DE">
              <w:rPr>
                <w:b/>
                <w:color w:val="008000"/>
                <w:sz w:val="16"/>
                <w:szCs w:val="16"/>
                <w:lang w:val="es-ES_tradnl"/>
              </w:rPr>
              <w:t>Progresa con normalidad</w:t>
            </w:r>
          </w:p>
          <w:p w:rsidR="00B070BF" w:rsidRPr="009577DE" w:rsidRDefault="00B070BF" w:rsidP="00C33D4A">
            <w:pPr>
              <w:widowControl w:val="0"/>
              <w:jc w:val="center"/>
              <w:rPr>
                <w:bCs/>
                <w:sz w:val="16"/>
                <w:szCs w:val="16"/>
                <w:lang w:val="es-ES_tradnl"/>
              </w:rPr>
            </w:pPr>
          </w:p>
          <w:p w:rsidR="00B070BF" w:rsidRPr="009577DE" w:rsidRDefault="00B070BF" w:rsidP="00C33D4A">
            <w:pPr>
              <w:widowControl w:val="0"/>
              <w:jc w:val="center"/>
              <w:rPr>
                <w:bCs/>
                <w:sz w:val="16"/>
                <w:szCs w:val="16"/>
                <w:lang w:val="es-ES_tradnl"/>
              </w:rPr>
            </w:pPr>
          </w:p>
        </w:tc>
      </w:tr>
      <w:tr w:rsidR="00B070BF" w:rsidRPr="009577DE" w:rsidTr="00C33D4A">
        <w:trPr>
          <w:cantSplit/>
        </w:trPr>
        <w:tc>
          <w:tcPr>
            <w:tcW w:w="5000" w:type="pct"/>
            <w:gridSpan w:val="5"/>
            <w:tcBorders>
              <w:top w:val="single" w:sz="4" w:space="0" w:color="auto"/>
              <w:bottom w:val="single" w:sz="4" w:space="0" w:color="auto"/>
            </w:tcBorders>
            <w:shd w:val="clear" w:color="auto" w:fill="CCFFFF"/>
            <w:vAlign w:val="center"/>
          </w:tcPr>
          <w:p w:rsidR="00B070BF" w:rsidRPr="009577DE" w:rsidRDefault="00B070BF" w:rsidP="00C33D4A">
            <w:pPr>
              <w:widowControl w:val="0"/>
              <w:spacing w:before="120" w:after="120"/>
              <w:ind w:left="1735" w:hanging="1735"/>
              <w:rPr>
                <w:b/>
                <w:bCs/>
                <w:sz w:val="16"/>
                <w:szCs w:val="16"/>
                <w:lang w:val="es-ES_tradnl"/>
              </w:rPr>
            </w:pPr>
            <w:r w:rsidRPr="009577DE">
              <w:rPr>
                <w:b/>
                <w:bCs/>
                <w:sz w:val="16"/>
                <w:szCs w:val="16"/>
                <w:lang w:val="es-ES_tradnl"/>
              </w:rPr>
              <w:t>Resultado previsto:</w:t>
            </w:r>
            <w:r w:rsidRPr="009577DE">
              <w:rPr>
                <w:b/>
                <w:bCs/>
                <w:sz w:val="16"/>
                <w:szCs w:val="16"/>
                <w:lang w:val="es-ES_tradnl"/>
              </w:rPr>
              <w:tab/>
            </w:r>
            <w:r w:rsidRPr="009577DE">
              <w:rPr>
                <w:bCs/>
                <w:sz w:val="16"/>
                <w:szCs w:val="16"/>
                <w:lang w:val="es-ES_tradnl"/>
              </w:rPr>
              <w:t xml:space="preserve"> Intercambios abiertos, transparentes y dinámicos con las ONG.</w:t>
            </w:r>
          </w:p>
        </w:tc>
      </w:tr>
      <w:tr w:rsidR="00B070BF" w:rsidRPr="009577DE" w:rsidTr="00C33D4A">
        <w:trPr>
          <w:cantSplit/>
        </w:trPr>
        <w:tc>
          <w:tcPr>
            <w:tcW w:w="1031" w:type="pct"/>
            <w:tcBorders>
              <w:top w:val="single" w:sz="4" w:space="0" w:color="auto"/>
            </w:tcBorders>
            <w:shd w:val="clear" w:color="auto" w:fill="auto"/>
            <w:vAlign w:val="center"/>
          </w:tcPr>
          <w:p w:rsidR="00B070BF" w:rsidRPr="009577DE" w:rsidRDefault="00B070BF" w:rsidP="00C33D4A">
            <w:pPr>
              <w:widowControl w:val="0"/>
              <w:spacing w:after="120"/>
              <w:rPr>
                <w:sz w:val="16"/>
                <w:szCs w:val="16"/>
                <w:lang w:val="es-ES_tradnl"/>
              </w:rPr>
            </w:pPr>
            <w:r w:rsidRPr="009577DE">
              <w:rPr>
                <w:b/>
                <w:bCs/>
                <w:sz w:val="16"/>
                <w:szCs w:val="16"/>
                <w:lang w:val="es-ES_tradnl"/>
              </w:rPr>
              <w:t>Indicadores de rendimiento</w:t>
            </w:r>
          </w:p>
        </w:tc>
        <w:tc>
          <w:tcPr>
            <w:tcW w:w="713" w:type="pct"/>
            <w:tcBorders>
              <w:top w:val="single" w:sz="4" w:space="0" w:color="auto"/>
            </w:tcBorders>
            <w:shd w:val="clear" w:color="auto" w:fill="C0C0C0"/>
          </w:tcPr>
          <w:p w:rsidR="00B070BF" w:rsidRPr="009577DE" w:rsidRDefault="00B070BF" w:rsidP="00C33D4A">
            <w:pPr>
              <w:widowControl w:val="0"/>
              <w:spacing w:after="120"/>
              <w:rPr>
                <w:b/>
                <w:bCs/>
                <w:sz w:val="16"/>
                <w:szCs w:val="16"/>
                <w:lang w:val="es-ES_tradnl"/>
              </w:rPr>
            </w:pPr>
            <w:r w:rsidRPr="009577DE">
              <w:rPr>
                <w:b/>
                <w:bCs/>
                <w:sz w:val="16"/>
                <w:szCs w:val="16"/>
                <w:lang w:val="es-ES_tradnl"/>
              </w:rPr>
              <w:t>Referencia (</w:t>
            </w:r>
            <w:proofErr w:type="spellStart"/>
            <w:r w:rsidRPr="009577DE">
              <w:rPr>
                <w:b/>
                <w:bCs/>
                <w:sz w:val="16"/>
                <w:szCs w:val="16"/>
                <w:lang w:val="es-ES_tradnl"/>
              </w:rPr>
              <w:t>Presup</w:t>
            </w:r>
            <w:proofErr w:type="spellEnd"/>
            <w:r w:rsidRPr="009577DE">
              <w:rPr>
                <w:b/>
                <w:bCs/>
                <w:sz w:val="16"/>
                <w:szCs w:val="16"/>
                <w:lang w:val="es-ES_tradnl"/>
              </w:rPr>
              <w:t xml:space="preserve">. por </w:t>
            </w:r>
            <w:proofErr w:type="spellStart"/>
            <w:r w:rsidRPr="009577DE">
              <w:rPr>
                <w:b/>
                <w:bCs/>
                <w:sz w:val="16"/>
                <w:szCs w:val="16"/>
                <w:lang w:val="es-ES_tradnl"/>
              </w:rPr>
              <w:t>prog</w:t>
            </w:r>
            <w:proofErr w:type="spellEnd"/>
            <w:r w:rsidRPr="009577DE">
              <w:rPr>
                <w:b/>
                <w:bCs/>
                <w:sz w:val="16"/>
                <w:szCs w:val="16"/>
                <w:lang w:val="es-ES_tradnl"/>
              </w:rPr>
              <w:t>. 2012/13)</w:t>
            </w:r>
          </w:p>
        </w:tc>
        <w:tc>
          <w:tcPr>
            <w:tcW w:w="908" w:type="pct"/>
            <w:tcBorders>
              <w:top w:val="single" w:sz="4" w:space="0" w:color="auto"/>
            </w:tcBorders>
            <w:shd w:val="clear" w:color="auto" w:fill="auto"/>
            <w:tcMar>
              <w:top w:w="110" w:type="dxa"/>
            </w:tcMar>
            <w:vAlign w:val="center"/>
          </w:tcPr>
          <w:p w:rsidR="00B070BF" w:rsidRPr="009577DE" w:rsidRDefault="00B070BF" w:rsidP="00C33D4A">
            <w:pPr>
              <w:widowControl w:val="0"/>
              <w:spacing w:after="120"/>
              <w:rPr>
                <w:b/>
                <w:sz w:val="16"/>
                <w:szCs w:val="16"/>
                <w:lang w:val="es-ES_tradnl"/>
              </w:rPr>
            </w:pPr>
            <w:r w:rsidRPr="00BF138D">
              <w:rPr>
                <w:b/>
                <w:color w:val="993300"/>
                <w:sz w:val="16"/>
                <w:szCs w:val="16"/>
                <w:lang w:val="es-ES_tradnl"/>
              </w:rPr>
              <w:t>Referencia actualizada a finales de 2011</w:t>
            </w:r>
            <w:r w:rsidRPr="009577DE">
              <w:rPr>
                <w:b/>
                <w:sz w:val="16"/>
                <w:szCs w:val="16"/>
                <w:lang w:val="es-ES_tradnl"/>
              </w:rPr>
              <w:t xml:space="preserve"> </w:t>
            </w:r>
          </w:p>
        </w:tc>
        <w:tc>
          <w:tcPr>
            <w:tcW w:w="1785" w:type="pct"/>
            <w:tcBorders>
              <w:top w:val="single" w:sz="4" w:space="0" w:color="auto"/>
            </w:tcBorders>
            <w:shd w:val="clear" w:color="auto" w:fill="FFFFFF"/>
            <w:tcMar>
              <w:top w:w="110" w:type="dxa"/>
            </w:tcMar>
            <w:vAlign w:val="center"/>
          </w:tcPr>
          <w:p w:rsidR="00B070BF" w:rsidRPr="009577DE" w:rsidRDefault="00B070BF" w:rsidP="00C33D4A">
            <w:pPr>
              <w:widowControl w:val="0"/>
              <w:spacing w:after="120"/>
              <w:rPr>
                <w:sz w:val="16"/>
                <w:szCs w:val="16"/>
                <w:lang w:val="es-ES_tradnl"/>
              </w:rPr>
            </w:pPr>
            <w:r w:rsidRPr="009577DE">
              <w:rPr>
                <w:b/>
                <w:bCs/>
                <w:sz w:val="16"/>
                <w:szCs w:val="16"/>
                <w:lang w:val="es-ES_tradnl"/>
              </w:rPr>
              <w:t>Datos sobre el rendimiento</w:t>
            </w:r>
          </w:p>
        </w:tc>
        <w:tc>
          <w:tcPr>
            <w:tcW w:w="564" w:type="pct"/>
            <w:tcBorders>
              <w:top w:val="single" w:sz="4" w:space="0" w:color="auto"/>
            </w:tcBorders>
            <w:shd w:val="clear" w:color="auto" w:fill="auto"/>
            <w:tcMar>
              <w:top w:w="110" w:type="dxa"/>
            </w:tcMar>
            <w:vAlign w:val="center"/>
          </w:tcPr>
          <w:p w:rsidR="00B070BF" w:rsidRPr="009577DE" w:rsidRDefault="00B070BF" w:rsidP="00C33D4A">
            <w:pPr>
              <w:widowControl w:val="0"/>
              <w:spacing w:after="120"/>
              <w:jc w:val="center"/>
              <w:rPr>
                <w:b/>
                <w:bCs/>
                <w:sz w:val="16"/>
                <w:szCs w:val="16"/>
                <w:lang w:val="es-ES_tradnl"/>
              </w:rPr>
            </w:pPr>
            <w:r w:rsidRPr="009577DE">
              <w:rPr>
                <w:b/>
                <w:bCs/>
                <w:sz w:val="16"/>
                <w:szCs w:val="16"/>
                <w:lang w:val="es-ES_tradnl"/>
              </w:rPr>
              <w:t>Clave de colores</w:t>
            </w:r>
          </w:p>
        </w:tc>
      </w:tr>
      <w:tr w:rsidR="00B070BF" w:rsidRPr="009577DE" w:rsidTr="00C33D4A">
        <w:trPr>
          <w:cantSplit/>
        </w:trPr>
        <w:tc>
          <w:tcPr>
            <w:tcW w:w="1031" w:type="pct"/>
            <w:shd w:val="clear" w:color="auto" w:fill="auto"/>
          </w:tcPr>
          <w:p w:rsidR="00B070BF" w:rsidRPr="009577DE" w:rsidRDefault="00B070BF" w:rsidP="00C33D4A">
            <w:pPr>
              <w:widowControl w:val="0"/>
              <w:rPr>
                <w:sz w:val="16"/>
                <w:szCs w:val="16"/>
                <w:lang w:val="es-ES_tradnl"/>
              </w:rPr>
            </w:pPr>
            <w:r w:rsidRPr="009577DE">
              <w:rPr>
                <w:sz w:val="16"/>
                <w:szCs w:val="16"/>
                <w:lang w:val="es-ES_tradnl"/>
              </w:rPr>
              <w:t>Número de reuniones informativas, reuniones y actividades organizadas para ONG.</w:t>
            </w:r>
          </w:p>
        </w:tc>
        <w:tc>
          <w:tcPr>
            <w:tcW w:w="713" w:type="pct"/>
            <w:shd w:val="clear" w:color="auto" w:fill="C0C0C0"/>
          </w:tcPr>
          <w:p w:rsidR="00B070BF" w:rsidRPr="009577DE" w:rsidRDefault="00B070BF" w:rsidP="00C33D4A">
            <w:pPr>
              <w:widowControl w:val="0"/>
              <w:rPr>
                <w:sz w:val="16"/>
                <w:szCs w:val="16"/>
                <w:lang w:val="es-ES_tradnl"/>
              </w:rPr>
            </w:pPr>
            <w:r w:rsidRPr="009577DE">
              <w:rPr>
                <w:sz w:val="16"/>
                <w:szCs w:val="16"/>
                <w:lang w:val="es-ES_tradnl"/>
              </w:rPr>
              <w:t>No se dispone de datos.</w:t>
            </w:r>
          </w:p>
        </w:tc>
        <w:tc>
          <w:tcPr>
            <w:tcW w:w="908" w:type="pct"/>
            <w:shd w:val="clear" w:color="auto" w:fill="auto"/>
            <w:tcMar>
              <w:top w:w="110" w:type="dxa"/>
            </w:tcMar>
          </w:tcPr>
          <w:p w:rsidR="00B070BF" w:rsidRPr="009577DE" w:rsidRDefault="00B070BF" w:rsidP="00C33D4A">
            <w:pPr>
              <w:widowControl w:val="0"/>
              <w:rPr>
                <w:sz w:val="16"/>
                <w:szCs w:val="16"/>
                <w:lang w:val="es-ES_tradnl"/>
              </w:rPr>
            </w:pPr>
            <w:r w:rsidRPr="009577DE">
              <w:rPr>
                <w:sz w:val="16"/>
                <w:szCs w:val="16"/>
                <w:lang w:val="es-ES_tradnl"/>
              </w:rPr>
              <w:t>4</w:t>
            </w:r>
          </w:p>
        </w:tc>
        <w:tc>
          <w:tcPr>
            <w:tcW w:w="1785" w:type="pct"/>
            <w:shd w:val="clear" w:color="auto" w:fill="FFFFFF"/>
            <w:tcMar>
              <w:top w:w="110" w:type="dxa"/>
            </w:tcMar>
          </w:tcPr>
          <w:p w:rsidR="00B070BF" w:rsidRPr="009577DE" w:rsidRDefault="00B070BF" w:rsidP="00C33D4A">
            <w:pPr>
              <w:widowControl w:val="0"/>
              <w:rPr>
                <w:sz w:val="16"/>
                <w:szCs w:val="16"/>
                <w:lang w:val="es-ES_tradnl"/>
              </w:rPr>
            </w:pPr>
            <w:r w:rsidRPr="009577DE">
              <w:rPr>
                <w:sz w:val="16"/>
                <w:szCs w:val="16"/>
                <w:lang w:val="es-ES_tradnl"/>
              </w:rPr>
              <w:t>3</w:t>
            </w:r>
          </w:p>
        </w:tc>
        <w:tc>
          <w:tcPr>
            <w:tcW w:w="564" w:type="pct"/>
            <w:shd w:val="clear" w:color="auto" w:fill="auto"/>
            <w:tcMar>
              <w:top w:w="110" w:type="dxa"/>
            </w:tcMar>
          </w:tcPr>
          <w:p w:rsidR="00B070BF" w:rsidRPr="009577DE" w:rsidRDefault="00B070BF" w:rsidP="00C33D4A">
            <w:pPr>
              <w:widowControl w:val="0"/>
              <w:jc w:val="center"/>
              <w:rPr>
                <w:b/>
                <w:sz w:val="16"/>
                <w:szCs w:val="16"/>
                <w:lang w:val="es-ES_tradnl"/>
              </w:rPr>
            </w:pPr>
            <w:r w:rsidRPr="009577DE">
              <w:rPr>
                <w:b/>
                <w:color w:val="008000"/>
                <w:sz w:val="16"/>
                <w:szCs w:val="16"/>
                <w:lang w:val="es-ES_tradnl"/>
              </w:rPr>
              <w:t>Progresa con normalidad</w:t>
            </w:r>
          </w:p>
          <w:p w:rsidR="00B070BF" w:rsidRPr="009577DE" w:rsidRDefault="00B070BF" w:rsidP="00C33D4A">
            <w:pPr>
              <w:widowControl w:val="0"/>
              <w:jc w:val="center"/>
              <w:rPr>
                <w:bCs/>
                <w:sz w:val="16"/>
                <w:szCs w:val="16"/>
                <w:lang w:val="es-ES_tradnl"/>
              </w:rPr>
            </w:pPr>
          </w:p>
          <w:p w:rsidR="00B070BF" w:rsidRPr="009577DE" w:rsidRDefault="00B070BF" w:rsidP="00C33D4A">
            <w:pPr>
              <w:widowControl w:val="0"/>
              <w:jc w:val="center"/>
              <w:rPr>
                <w:bCs/>
                <w:sz w:val="16"/>
                <w:szCs w:val="16"/>
                <w:lang w:val="es-ES_tradnl"/>
              </w:rPr>
            </w:pPr>
          </w:p>
        </w:tc>
      </w:tr>
      <w:tr w:rsidR="00B070BF" w:rsidRPr="009577DE" w:rsidTr="00C33D4A">
        <w:trPr>
          <w:cantSplit/>
        </w:trPr>
        <w:tc>
          <w:tcPr>
            <w:tcW w:w="1031" w:type="pct"/>
            <w:tcBorders>
              <w:bottom w:val="single" w:sz="4" w:space="0" w:color="auto"/>
            </w:tcBorders>
            <w:shd w:val="clear" w:color="auto" w:fill="auto"/>
          </w:tcPr>
          <w:p w:rsidR="00B070BF" w:rsidRPr="009577DE" w:rsidRDefault="00B070BF" w:rsidP="00C33D4A">
            <w:pPr>
              <w:widowControl w:val="0"/>
              <w:rPr>
                <w:sz w:val="16"/>
                <w:szCs w:val="16"/>
                <w:lang w:val="es-ES_tradnl"/>
              </w:rPr>
            </w:pPr>
            <w:r w:rsidRPr="009577DE">
              <w:rPr>
                <w:sz w:val="16"/>
                <w:szCs w:val="16"/>
                <w:lang w:val="es-ES_tradnl"/>
              </w:rPr>
              <w:t>Número de reuniones informativas, reuniones y actividades organizadas para ONG de países en desarrollo y PMA.</w:t>
            </w:r>
          </w:p>
        </w:tc>
        <w:tc>
          <w:tcPr>
            <w:tcW w:w="713" w:type="pct"/>
            <w:tcBorders>
              <w:bottom w:val="single" w:sz="4" w:space="0" w:color="auto"/>
            </w:tcBorders>
            <w:shd w:val="clear" w:color="auto" w:fill="C0C0C0"/>
          </w:tcPr>
          <w:p w:rsidR="00B070BF" w:rsidRPr="009577DE" w:rsidRDefault="00B070BF" w:rsidP="00C33D4A">
            <w:pPr>
              <w:widowControl w:val="0"/>
              <w:rPr>
                <w:sz w:val="16"/>
                <w:szCs w:val="16"/>
                <w:lang w:val="es-ES_tradnl"/>
              </w:rPr>
            </w:pPr>
            <w:r w:rsidRPr="009577DE">
              <w:rPr>
                <w:sz w:val="16"/>
                <w:szCs w:val="16"/>
                <w:lang w:val="es-ES_tradnl"/>
              </w:rPr>
              <w:t>No se dispone de datos.</w:t>
            </w:r>
          </w:p>
        </w:tc>
        <w:tc>
          <w:tcPr>
            <w:tcW w:w="908" w:type="pct"/>
            <w:tcBorders>
              <w:bottom w:val="single" w:sz="4" w:space="0" w:color="auto"/>
            </w:tcBorders>
            <w:shd w:val="clear" w:color="auto" w:fill="auto"/>
            <w:tcMar>
              <w:top w:w="110" w:type="dxa"/>
            </w:tcMar>
          </w:tcPr>
          <w:p w:rsidR="00B070BF" w:rsidRPr="009577DE" w:rsidRDefault="00B070BF" w:rsidP="00C33D4A">
            <w:pPr>
              <w:widowControl w:val="0"/>
              <w:rPr>
                <w:sz w:val="16"/>
                <w:szCs w:val="16"/>
                <w:lang w:val="es-ES_tradnl"/>
              </w:rPr>
            </w:pPr>
          </w:p>
        </w:tc>
        <w:tc>
          <w:tcPr>
            <w:tcW w:w="1785" w:type="pct"/>
            <w:tcBorders>
              <w:bottom w:val="single" w:sz="4" w:space="0" w:color="auto"/>
            </w:tcBorders>
            <w:shd w:val="clear" w:color="auto" w:fill="FFFFFF"/>
            <w:tcMar>
              <w:top w:w="110" w:type="dxa"/>
            </w:tcMar>
          </w:tcPr>
          <w:p w:rsidR="00B070BF" w:rsidRPr="009577DE" w:rsidRDefault="00B070BF" w:rsidP="00C33D4A">
            <w:pPr>
              <w:widowControl w:val="0"/>
              <w:rPr>
                <w:sz w:val="16"/>
                <w:szCs w:val="16"/>
                <w:lang w:val="es-ES_tradnl"/>
              </w:rPr>
            </w:pPr>
            <w:r w:rsidRPr="009577DE">
              <w:rPr>
                <w:sz w:val="16"/>
                <w:szCs w:val="16"/>
                <w:lang w:val="es-ES_tradnl"/>
              </w:rPr>
              <w:t>No se dispone de datos.</w:t>
            </w:r>
          </w:p>
          <w:p w:rsidR="00B070BF" w:rsidRPr="009577DE" w:rsidRDefault="00B070BF" w:rsidP="00C33D4A">
            <w:pPr>
              <w:widowControl w:val="0"/>
              <w:rPr>
                <w:sz w:val="16"/>
                <w:szCs w:val="16"/>
                <w:lang w:val="es-ES_tradnl"/>
              </w:rPr>
            </w:pPr>
          </w:p>
        </w:tc>
        <w:tc>
          <w:tcPr>
            <w:tcW w:w="564" w:type="pct"/>
            <w:tcBorders>
              <w:bottom w:val="single" w:sz="4" w:space="0" w:color="auto"/>
            </w:tcBorders>
            <w:shd w:val="clear" w:color="auto" w:fill="auto"/>
            <w:tcMar>
              <w:top w:w="110" w:type="dxa"/>
            </w:tcMar>
          </w:tcPr>
          <w:p w:rsidR="00B070BF" w:rsidRPr="009577DE" w:rsidRDefault="00B070BF" w:rsidP="00C33D4A">
            <w:pPr>
              <w:widowControl w:val="0"/>
              <w:jc w:val="center"/>
              <w:rPr>
                <w:b/>
                <w:sz w:val="16"/>
                <w:szCs w:val="16"/>
                <w:lang w:val="es-ES_tradnl"/>
              </w:rPr>
            </w:pPr>
            <w:proofErr w:type="spellStart"/>
            <w:r w:rsidRPr="009577DE">
              <w:rPr>
                <w:b/>
                <w:sz w:val="16"/>
                <w:szCs w:val="16"/>
                <w:lang w:val="es-ES_tradnl"/>
              </w:rPr>
              <w:t>Interrum</w:t>
            </w:r>
            <w:proofErr w:type="spellEnd"/>
            <w:r w:rsidRPr="009577DE">
              <w:rPr>
                <w:b/>
                <w:sz w:val="16"/>
                <w:szCs w:val="16"/>
                <w:lang w:val="es-ES_tradnl"/>
              </w:rPr>
              <w:t>-pido</w:t>
            </w:r>
          </w:p>
        </w:tc>
      </w:tr>
      <w:tr w:rsidR="00B070BF" w:rsidRPr="009577DE" w:rsidTr="00C33D4A">
        <w:trPr>
          <w:cantSplit/>
        </w:trPr>
        <w:tc>
          <w:tcPr>
            <w:tcW w:w="5000" w:type="pct"/>
            <w:gridSpan w:val="5"/>
            <w:tcBorders>
              <w:top w:val="single" w:sz="4" w:space="0" w:color="auto"/>
              <w:bottom w:val="single" w:sz="4" w:space="0" w:color="auto"/>
            </w:tcBorders>
            <w:shd w:val="clear" w:color="auto" w:fill="CCFFFF"/>
            <w:vAlign w:val="center"/>
          </w:tcPr>
          <w:p w:rsidR="00B070BF" w:rsidRPr="009577DE" w:rsidRDefault="00B070BF" w:rsidP="00C33D4A">
            <w:pPr>
              <w:widowControl w:val="0"/>
              <w:spacing w:before="120" w:after="120"/>
              <w:ind w:left="1735" w:hanging="1735"/>
              <w:rPr>
                <w:b/>
                <w:bCs/>
                <w:sz w:val="16"/>
                <w:szCs w:val="16"/>
                <w:lang w:val="es-ES_tradnl"/>
              </w:rPr>
            </w:pPr>
            <w:r w:rsidRPr="009577DE">
              <w:rPr>
                <w:b/>
                <w:bCs/>
                <w:sz w:val="16"/>
                <w:szCs w:val="16"/>
                <w:lang w:val="es-ES_tradnl"/>
              </w:rPr>
              <w:lastRenderedPageBreak/>
              <w:t>Resultado previsto:</w:t>
            </w:r>
            <w:r w:rsidRPr="009577DE">
              <w:rPr>
                <w:b/>
                <w:bCs/>
                <w:sz w:val="16"/>
                <w:szCs w:val="16"/>
                <w:lang w:val="es-ES_tradnl"/>
              </w:rPr>
              <w:tab/>
            </w:r>
            <w:r w:rsidRPr="009577DE">
              <w:rPr>
                <w:bCs/>
                <w:sz w:val="16"/>
                <w:szCs w:val="16"/>
                <w:lang w:val="es-ES_tradnl"/>
              </w:rPr>
              <w:t xml:space="preserve"> Aumento de los recursos extrapresupuestarios disponibles para utilizar la P.I. en aras del desarrollo por medio de contribuciones directas a la OMPI o gracias al acceso a otros mecanismos de financiación externos.</w:t>
            </w:r>
          </w:p>
        </w:tc>
      </w:tr>
      <w:tr w:rsidR="00B070BF" w:rsidRPr="009577DE" w:rsidTr="00C33D4A">
        <w:trPr>
          <w:cantSplit/>
        </w:trPr>
        <w:tc>
          <w:tcPr>
            <w:tcW w:w="1031" w:type="pct"/>
            <w:tcBorders>
              <w:top w:val="single" w:sz="4" w:space="0" w:color="auto"/>
            </w:tcBorders>
            <w:shd w:val="clear" w:color="auto" w:fill="auto"/>
            <w:vAlign w:val="center"/>
          </w:tcPr>
          <w:p w:rsidR="00B070BF" w:rsidRPr="009577DE" w:rsidRDefault="00B070BF" w:rsidP="00C33D4A">
            <w:pPr>
              <w:widowControl w:val="0"/>
              <w:spacing w:after="120"/>
              <w:rPr>
                <w:sz w:val="16"/>
                <w:szCs w:val="16"/>
                <w:lang w:val="es-ES_tradnl"/>
              </w:rPr>
            </w:pPr>
            <w:r w:rsidRPr="009577DE">
              <w:rPr>
                <w:b/>
                <w:bCs/>
                <w:sz w:val="16"/>
                <w:szCs w:val="16"/>
                <w:lang w:val="es-ES_tradnl"/>
              </w:rPr>
              <w:t>Indicadores de rendimiento</w:t>
            </w:r>
          </w:p>
        </w:tc>
        <w:tc>
          <w:tcPr>
            <w:tcW w:w="713" w:type="pct"/>
            <w:tcBorders>
              <w:top w:val="single" w:sz="4" w:space="0" w:color="auto"/>
            </w:tcBorders>
            <w:shd w:val="clear" w:color="auto" w:fill="C0C0C0"/>
          </w:tcPr>
          <w:p w:rsidR="00B070BF" w:rsidRPr="009577DE" w:rsidRDefault="00B070BF" w:rsidP="00C33D4A">
            <w:pPr>
              <w:widowControl w:val="0"/>
              <w:spacing w:after="120"/>
              <w:rPr>
                <w:b/>
                <w:bCs/>
                <w:sz w:val="16"/>
                <w:szCs w:val="16"/>
                <w:lang w:val="es-ES_tradnl"/>
              </w:rPr>
            </w:pPr>
            <w:r w:rsidRPr="009577DE">
              <w:rPr>
                <w:b/>
                <w:bCs/>
                <w:sz w:val="16"/>
                <w:szCs w:val="16"/>
                <w:lang w:val="es-ES_tradnl"/>
              </w:rPr>
              <w:t>Referencia (</w:t>
            </w:r>
            <w:proofErr w:type="spellStart"/>
            <w:r w:rsidRPr="009577DE">
              <w:rPr>
                <w:b/>
                <w:bCs/>
                <w:sz w:val="16"/>
                <w:szCs w:val="16"/>
                <w:lang w:val="es-ES_tradnl"/>
              </w:rPr>
              <w:t>Presup</w:t>
            </w:r>
            <w:proofErr w:type="spellEnd"/>
            <w:r w:rsidRPr="009577DE">
              <w:rPr>
                <w:b/>
                <w:bCs/>
                <w:sz w:val="16"/>
                <w:szCs w:val="16"/>
                <w:lang w:val="es-ES_tradnl"/>
              </w:rPr>
              <w:t xml:space="preserve">. por </w:t>
            </w:r>
            <w:proofErr w:type="spellStart"/>
            <w:r w:rsidRPr="009577DE">
              <w:rPr>
                <w:b/>
                <w:bCs/>
                <w:sz w:val="16"/>
                <w:szCs w:val="16"/>
                <w:lang w:val="es-ES_tradnl"/>
              </w:rPr>
              <w:t>prog</w:t>
            </w:r>
            <w:proofErr w:type="spellEnd"/>
            <w:r w:rsidRPr="009577DE">
              <w:rPr>
                <w:b/>
                <w:bCs/>
                <w:sz w:val="16"/>
                <w:szCs w:val="16"/>
                <w:lang w:val="es-ES_tradnl"/>
              </w:rPr>
              <w:t>. 2012/13)</w:t>
            </w:r>
          </w:p>
        </w:tc>
        <w:tc>
          <w:tcPr>
            <w:tcW w:w="908" w:type="pct"/>
            <w:tcBorders>
              <w:top w:val="single" w:sz="4" w:space="0" w:color="auto"/>
            </w:tcBorders>
            <w:shd w:val="clear" w:color="auto" w:fill="auto"/>
            <w:tcMar>
              <w:top w:w="110" w:type="dxa"/>
            </w:tcMar>
            <w:vAlign w:val="center"/>
          </w:tcPr>
          <w:p w:rsidR="00B070BF" w:rsidRPr="009577DE" w:rsidRDefault="00B070BF" w:rsidP="00C33D4A">
            <w:pPr>
              <w:widowControl w:val="0"/>
              <w:spacing w:after="120"/>
              <w:rPr>
                <w:b/>
                <w:sz w:val="16"/>
                <w:szCs w:val="16"/>
                <w:lang w:val="es-ES_tradnl"/>
              </w:rPr>
            </w:pPr>
            <w:r w:rsidRPr="00BF138D">
              <w:rPr>
                <w:b/>
                <w:color w:val="993300"/>
                <w:sz w:val="16"/>
                <w:szCs w:val="16"/>
                <w:lang w:val="es-ES_tradnl"/>
              </w:rPr>
              <w:t>Referencia actualizada a finales de 2011</w:t>
            </w:r>
            <w:r w:rsidRPr="009577DE">
              <w:rPr>
                <w:b/>
                <w:sz w:val="16"/>
                <w:szCs w:val="16"/>
                <w:lang w:val="es-ES_tradnl"/>
              </w:rPr>
              <w:t xml:space="preserve"> </w:t>
            </w:r>
          </w:p>
        </w:tc>
        <w:tc>
          <w:tcPr>
            <w:tcW w:w="1785" w:type="pct"/>
            <w:tcBorders>
              <w:top w:val="single" w:sz="4" w:space="0" w:color="auto"/>
            </w:tcBorders>
            <w:shd w:val="clear" w:color="auto" w:fill="FFFFFF"/>
            <w:tcMar>
              <w:top w:w="110" w:type="dxa"/>
            </w:tcMar>
            <w:vAlign w:val="center"/>
          </w:tcPr>
          <w:p w:rsidR="00B070BF" w:rsidRPr="009577DE" w:rsidRDefault="00B070BF" w:rsidP="00C33D4A">
            <w:pPr>
              <w:widowControl w:val="0"/>
              <w:spacing w:after="120"/>
              <w:rPr>
                <w:sz w:val="16"/>
                <w:szCs w:val="16"/>
                <w:lang w:val="es-ES_tradnl"/>
              </w:rPr>
            </w:pPr>
            <w:r w:rsidRPr="009577DE">
              <w:rPr>
                <w:b/>
                <w:bCs/>
                <w:sz w:val="16"/>
                <w:szCs w:val="16"/>
                <w:lang w:val="es-ES_tradnl"/>
              </w:rPr>
              <w:t>Datos sobre el rendimiento</w:t>
            </w:r>
          </w:p>
        </w:tc>
        <w:tc>
          <w:tcPr>
            <w:tcW w:w="564" w:type="pct"/>
            <w:tcBorders>
              <w:top w:val="single" w:sz="4" w:space="0" w:color="auto"/>
            </w:tcBorders>
            <w:shd w:val="clear" w:color="auto" w:fill="auto"/>
            <w:tcMar>
              <w:top w:w="110" w:type="dxa"/>
            </w:tcMar>
            <w:vAlign w:val="center"/>
          </w:tcPr>
          <w:p w:rsidR="00B070BF" w:rsidRPr="009577DE" w:rsidRDefault="00B070BF" w:rsidP="00C33D4A">
            <w:pPr>
              <w:widowControl w:val="0"/>
              <w:spacing w:after="120"/>
              <w:jc w:val="center"/>
              <w:rPr>
                <w:b/>
                <w:bCs/>
                <w:sz w:val="16"/>
                <w:szCs w:val="16"/>
                <w:lang w:val="es-ES_tradnl"/>
              </w:rPr>
            </w:pPr>
            <w:r w:rsidRPr="009577DE">
              <w:rPr>
                <w:b/>
                <w:bCs/>
                <w:sz w:val="16"/>
                <w:szCs w:val="16"/>
                <w:lang w:val="es-ES_tradnl"/>
              </w:rPr>
              <w:t>Clave de colores</w:t>
            </w:r>
          </w:p>
        </w:tc>
      </w:tr>
      <w:tr w:rsidR="00B070BF" w:rsidRPr="009577DE" w:rsidTr="00C33D4A">
        <w:trPr>
          <w:cantSplit/>
        </w:trPr>
        <w:tc>
          <w:tcPr>
            <w:tcW w:w="1031" w:type="pct"/>
            <w:shd w:val="clear" w:color="auto" w:fill="auto"/>
          </w:tcPr>
          <w:p w:rsidR="00B070BF" w:rsidRPr="009577DE" w:rsidRDefault="00B070BF" w:rsidP="00C33D4A">
            <w:pPr>
              <w:widowControl w:val="0"/>
              <w:rPr>
                <w:sz w:val="16"/>
                <w:szCs w:val="16"/>
                <w:lang w:val="es-ES_tradnl"/>
              </w:rPr>
            </w:pPr>
            <w:r w:rsidRPr="009577DE">
              <w:rPr>
                <w:sz w:val="16"/>
                <w:szCs w:val="16"/>
                <w:lang w:val="es-ES_tradnl"/>
              </w:rPr>
              <w:t>Aumento de los fondos disponibles por medio de acuerdos de fondos fiduciarios.</w:t>
            </w:r>
          </w:p>
        </w:tc>
        <w:tc>
          <w:tcPr>
            <w:tcW w:w="713" w:type="pct"/>
            <w:shd w:val="clear" w:color="auto" w:fill="C0C0C0"/>
          </w:tcPr>
          <w:p w:rsidR="00B070BF" w:rsidRPr="009577DE" w:rsidRDefault="00B070BF" w:rsidP="00C33D4A">
            <w:pPr>
              <w:widowControl w:val="0"/>
              <w:rPr>
                <w:sz w:val="16"/>
                <w:szCs w:val="16"/>
                <w:lang w:val="es-ES_tradnl"/>
              </w:rPr>
            </w:pPr>
            <w:r w:rsidRPr="009577DE">
              <w:rPr>
                <w:sz w:val="16"/>
                <w:szCs w:val="16"/>
                <w:lang w:val="es-ES_tradnl"/>
              </w:rPr>
              <w:t>Véase el informe de gestión financiera correspondiente a 2010/11.</w:t>
            </w:r>
          </w:p>
        </w:tc>
        <w:tc>
          <w:tcPr>
            <w:tcW w:w="908" w:type="pct"/>
            <w:shd w:val="clear" w:color="auto" w:fill="auto"/>
            <w:tcMar>
              <w:top w:w="110" w:type="dxa"/>
            </w:tcMar>
          </w:tcPr>
          <w:p w:rsidR="00B070BF" w:rsidRPr="00F2661C" w:rsidRDefault="00B070BF" w:rsidP="00C33D4A">
            <w:pPr>
              <w:widowControl w:val="0"/>
              <w:rPr>
                <w:color w:val="993300"/>
                <w:sz w:val="16"/>
                <w:szCs w:val="16"/>
                <w:lang w:val="es-ES_tradnl"/>
              </w:rPr>
            </w:pPr>
            <w:r w:rsidRPr="00F2661C">
              <w:rPr>
                <w:color w:val="993300"/>
                <w:sz w:val="16"/>
                <w:szCs w:val="16"/>
                <w:lang w:val="es-ES_tradnl"/>
              </w:rPr>
              <w:t>11,9 millones de francos suizos para 2010/11.</w:t>
            </w:r>
          </w:p>
        </w:tc>
        <w:tc>
          <w:tcPr>
            <w:tcW w:w="1785" w:type="pct"/>
            <w:shd w:val="clear" w:color="auto" w:fill="FFFFFF"/>
            <w:tcMar>
              <w:top w:w="110" w:type="dxa"/>
            </w:tcMar>
          </w:tcPr>
          <w:p w:rsidR="00B070BF" w:rsidRPr="009577DE" w:rsidRDefault="00B070BF" w:rsidP="00C33D4A">
            <w:pPr>
              <w:widowControl w:val="0"/>
              <w:rPr>
                <w:sz w:val="16"/>
                <w:szCs w:val="16"/>
                <w:lang w:val="es-ES_tradnl" w:bidi="th-TH"/>
              </w:rPr>
            </w:pPr>
            <w:r w:rsidRPr="009577DE">
              <w:rPr>
                <w:sz w:val="16"/>
                <w:szCs w:val="16"/>
                <w:lang w:val="es-ES_tradnl" w:bidi="th-TH"/>
              </w:rPr>
              <w:t>Los ingresos procedentes de fondos fiduciarios en 2012 sumaron un total de 8,8 millones de francos suizos.  En 2011, esos ingresos habían ascendido a un total de 6,2 millones de francos suizos, lo que representa un aumento de 2,6 millones de francos suizos o de un 42% aproximadamente.</w:t>
            </w:r>
          </w:p>
          <w:p w:rsidR="00B070BF" w:rsidRPr="009577DE" w:rsidRDefault="00B070BF" w:rsidP="00C33D4A">
            <w:pPr>
              <w:widowControl w:val="0"/>
              <w:rPr>
                <w:sz w:val="16"/>
                <w:szCs w:val="16"/>
                <w:lang w:val="es-ES_tradnl"/>
              </w:rPr>
            </w:pPr>
          </w:p>
        </w:tc>
        <w:tc>
          <w:tcPr>
            <w:tcW w:w="564" w:type="pct"/>
            <w:shd w:val="clear" w:color="auto" w:fill="auto"/>
            <w:tcMar>
              <w:top w:w="110" w:type="dxa"/>
            </w:tcMar>
          </w:tcPr>
          <w:p w:rsidR="00B070BF" w:rsidRPr="009577DE" w:rsidRDefault="00B070BF" w:rsidP="00C33D4A">
            <w:pPr>
              <w:widowControl w:val="0"/>
              <w:jc w:val="center"/>
              <w:rPr>
                <w:b/>
                <w:sz w:val="16"/>
                <w:szCs w:val="16"/>
                <w:lang w:val="es-ES_tradnl"/>
              </w:rPr>
            </w:pPr>
            <w:r w:rsidRPr="009577DE">
              <w:rPr>
                <w:b/>
                <w:color w:val="008000"/>
                <w:sz w:val="16"/>
                <w:szCs w:val="16"/>
                <w:lang w:val="es-ES_tradnl"/>
              </w:rPr>
              <w:t>Progresa con normalidad</w:t>
            </w:r>
          </w:p>
          <w:p w:rsidR="00B070BF" w:rsidRPr="009577DE" w:rsidRDefault="00B070BF" w:rsidP="00C33D4A">
            <w:pPr>
              <w:widowControl w:val="0"/>
              <w:jc w:val="center"/>
              <w:rPr>
                <w:bCs/>
                <w:sz w:val="16"/>
                <w:szCs w:val="16"/>
                <w:lang w:val="es-ES_tradnl"/>
              </w:rPr>
            </w:pPr>
          </w:p>
          <w:p w:rsidR="00B070BF" w:rsidRPr="009577DE" w:rsidRDefault="00B070BF" w:rsidP="00C33D4A">
            <w:pPr>
              <w:widowControl w:val="0"/>
              <w:jc w:val="center"/>
              <w:rPr>
                <w:bCs/>
                <w:sz w:val="16"/>
                <w:szCs w:val="16"/>
                <w:lang w:val="es-ES_tradnl"/>
              </w:rPr>
            </w:pPr>
          </w:p>
        </w:tc>
      </w:tr>
      <w:tr w:rsidR="00B070BF" w:rsidRPr="009577DE" w:rsidTr="00C33D4A">
        <w:trPr>
          <w:cantSplit/>
        </w:trPr>
        <w:tc>
          <w:tcPr>
            <w:tcW w:w="1031" w:type="pct"/>
            <w:shd w:val="clear" w:color="auto" w:fill="auto"/>
          </w:tcPr>
          <w:p w:rsidR="00B070BF" w:rsidRPr="009577DE" w:rsidRDefault="00B070BF" w:rsidP="00C33D4A">
            <w:pPr>
              <w:widowControl w:val="0"/>
              <w:rPr>
                <w:sz w:val="16"/>
                <w:szCs w:val="16"/>
                <w:lang w:val="es-ES_tradnl"/>
              </w:rPr>
            </w:pPr>
            <w:r w:rsidRPr="009577DE">
              <w:rPr>
                <w:sz w:val="16"/>
                <w:szCs w:val="16"/>
                <w:lang w:val="es-ES_tradnl"/>
              </w:rPr>
              <w:t>Número y valor financiero de los proyectos ejecutados por la OMPI con financiación proveniente de mecanismos externos existentes financiados por donantes.</w:t>
            </w:r>
          </w:p>
        </w:tc>
        <w:tc>
          <w:tcPr>
            <w:tcW w:w="713" w:type="pct"/>
            <w:shd w:val="clear" w:color="auto" w:fill="C0C0C0"/>
          </w:tcPr>
          <w:p w:rsidR="00B070BF" w:rsidRPr="009577DE" w:rsidRDefault="00B070BF" w:rsidP="00C33D4A">
            <w:pPr>
              <w:widowControl w:val="0"/>
              <w:rPr>
                <w:sz w:val="16"/>
                <w:szCs w:val="16"/>
                <w:lang w:val="es-ES_tradnl"/>
              </w:rPr>
            </w:pPr>
            <w:r w:rsidRPr="009577DE">
              <w:rPr>
                <w:sz w:val="16"/>
                <w:szCs w:val="16"/>
                <w:lang w:val="es-ES_tradnl"/>
              </w:rPr>
              <w:t>No se dispone de datos.</w:t>
            </w:r>
          </w:p>
        </w:tc>
        <w:tc>
          <w:tcPr>
            <w:tcW w:w="908" w:type="pct"/>
            <w:shd w:val="clear" w:color="auto" w:fill="auto"/>
            <w:tcMar>
              <w:top w:w="110" w:type="dxa"/>
            </w:tcMar>
          </w:tcPr>
          <w:p w:rsidR="00B070BF" w:rsidRPr="00F2661C" w:rsidRDefault="00B070BF" w:rsidP="00C33D4A">
            <w:pPr>
              <w:widowControl w:val="0"/>
              <w:rPr>
                <w:color w:val="993300"/>
                <w:sz w:val="16"/>
                <w:szCs w:val="16"/>
                <w:lang w:val="es-ES_tradnl"/>
              </w:rPr>
            </w:pPr>
            <w:r w:rsidRPr="00F2661C">
              <w:rPr>
                <w:color w:val="993300"/>
                <w:sz w:val="16"/>
                <w:szCs w:val="16"/>
                <w:lang w:val="es-ES_tradnl"/>
              </w:rPr>
              <w:t>Cero</w:t>
            </w:r>
          </w:p>
        </w:tc>
        <w:tc>
          <w:tcPr>
            <w:tcW w:w="1785" w:type="pct"/>
            <w:shd w:val="clear" w:color="auto" w:fill="FFFFFF"/>
            <w:tcMar>
              <w:top w:w="110" w:type="dxa"/>
            </w:tcMar>
          </w:tcPr>
          <w:p w:rsidR="00B070BF" w:rsidRPr="009577DE" w:rsidRDefault="00B070BF" w:rsidP="00C33D4A">
            <w:pPr>
              <w:widowControl w:val="0"/>
              <w:rPr>
                <w:sz w:val="16"/>
                <w:szCs w:val="16"/>
                <w:lang w:val="es-ES_tradnl"/>
              </w:rPr>
            </w:pPr>
            <w:r w:rsidRPr="009577DE">
              <w:rPr>
                <w:sz w:val="16"/>
                <w:szCs w:val="16"/>
                <w:lang w:val="es-ES_tradnl" w:bidi="th-TH"/>
              </w:rPr>
              <w:t xml:space="preserve"> </w:t>
            </w:r>
            <w:r w:rsidRPr="009577DE">
              <w:rPr>
                <w:sz w:val="16"/>
                <w:szCs w:val="16"/>
                <w:lang w:val="es-ES_tradnl"/>
              </w:rPr>
              <w:t>No se dispone de datos.</w:t>
            </w:r>
          </w:p>
          <w:p w:rsidR="00B070BF" w:rsidRPr="009577DE" w:rsidRDefault="00B070BF" w:rsidP="00C33D4A">
            <w:pPr>
              <w:widowControl w:val="0"/>
              <w:rPr>
                <w:sz w:val="16"/>
                <w:szCs w:val="16"/>
                <w:lang w:val="es-ES_tradnl"/>
              </w:rPr>
            </w:pPr>
          </w:p>
          <w:p w:rsidR="00B070BF" w:rsidRPr="009577DE" w:rsidRDefault="00B070BF" w:rsidP="00C33D4A">
            <w:pPr>
              <w:widowControl w:val="0"/>
              <w:rPr>
                <w:sz w:val="16"/>
                <w:szCs w:val="16"/>
                <w:lang w:val="es-ES_tradnl"/>
              </w:rPr>
            </w:pPr>
          </w:p>
        </w:tc>
        <w:tc>
          <w:tcPr>
            <w:tcW w:w="564" w:type="pct"/>
            <w:shd w:val="clear" w:color="auto" w:fill="auto"/>
            <w:tcMar>
              <w:top w:w="110" w:type="dxa"/>
            </w:tcMar>
          </w:tcPr>
          <w:p w:rsidR="00B070BF" w:rsidRPr="009577DE" w:rsidRDefault="00B070BF" w:rsidP="00C33D4A">
            <w:pPr>
              <w:widowControl w:val="0"/>
              <w:jc w:val="center"/>
              <w:rPr>
                <w:b/>
                <w:sz w:val="16"/>
                <w:szCs w:val="16"/>
                <w:lang w:val="es-ES_tradnl"/>
              </w:rPr>
            </w:pPr>
            <w:proofErr w:type="spellStart"/>
            <w:r w:rsidRPr="009577DE">
              <w:rPr>
                <w:b/>
                <w:sz w:val="16"/>
                <w:szCs w:val="16"/>
                <w:lang w:val="es-ES_tradnl"/>
              </w:rPr>
              <w:t>Interrum</w:t>
            </w:r>
            <w:proofErr w:type="spellEnd"/>
            <w:r w:rsidRPr="009577DE">
              <w:rPr>
                <w:b/>
                <w:sz w:val="16"/>
                <w:szCs w:val="16"/>
                <w:lang w:val="es-ES_tradnl"/>
              </w:rPr>
              <w:t>-pido</w:t>
            </w:r>
          </w:p>
        </w:tc>
      </w:tr>
      <w:tr w:rsidR="00B070BF" w:rsidRPr="009577DE" w:rsidTr="00C33D4A">
        <w:trPr>
          <w:cantSplit/>
        </w:trPr>
        <w:tc>
          <w:tcPr>
            <w:tcW w:w="1031" w:type="pct"/>
            <w:shd w:val="clear" w:color="auto" w:fill="auto"/>
          </w:tcPr>
          <w:p w:rsidR="00B070BF" w:rsidRPr="009577DE" w:rsidRDefault="00B070BF" w:rsidP="00C33D4A">
            <w:pPr>
              <w:widowControl w:val="0"/>
              <w:rPr>
                <w:sz w:val="16"/>
                <w:szCs w:val="16"/>
                <w:lang w:val="es-ES_tradnl"/>
              </w:rPr>
            </w:pPr>
            <w:r w:rsidRPr="009577DE">
              <w:rPr>
                <w:sz w:val="16"/>
                <w:szCs w:val="16"/>
                <w:lang w:val="es-ES_tradnl"/>
              </w:rPr>
              <w:t>Elaboración de las Directrices para la Colaboración de la OMPI con el Sector Privado.</w:t>
            </w:r>
          </w:p>
        </w:tc>
        <w:tc>
          <w:tcPr>
            <w:tcW w:w="713" w:type="pct"/>
            <w:shd w:val="clear" w:color="auto" w:fill="C0C0C0"/>
          </w:tcPr>
          <w:p w:rsidR="00B070BF" w:rsidRPr="009577DE" w:rsidRDefault="00B070BF" w:rsidP="00C33D4A">
            <w:pPr>
              <w:widowControl w:val="0"/>
              <w:rPr>
                <w:sz w:val="16"/>
                <w:szCs w:val="16"/>
                <w:lang w:val="es-ES_tradnl"/>
              </w:rPr>
            </w:pPr>
            <w:r w:rsidRPr="009577DE">
              <w:rPr>
                <w:sz w:val="16"/>
                <w:szCs w:val="16"/>
                <w:lang w:val="es-ES_tradnl"/>
              </w:rPr>
              <w:t>Proyecto en curso de preparación para someterlo a consultas.</w:t>
            </w:r>
          </w:p>
        </w:tc>
        <w:tc>
          <w:tcPr>
            <w:tcW w:w="908" w:type="pct"/>
            <w:shd w:val="clear" w:color="auto" w:fill="auto"/>
            <w:tcMar>
              <w:top w:w="110" w:type="dxa"/>
            </w:tcMar>
          </w:tcPr>
          <w:p w:rsidR="00B070BF" w:rsidRPr="00F2661C" w:rsidRDefault="00B070BF" w:rsidP="00C33D4A">
            <w:pPr>
              <w:widowControl w:val="0"/>
              <w:rPr>
                <w:bCs/>
                <w:color w:val="993300"/>
                <w:sz w:val="16"/>
                <w:szCs w:val="16"/>
                <w:lang w:val="es-ES_tradnl"/>
              </w:rPr>
            </w:pPr>
            <w:r w:rsidRPr="00F2661C">
              <w:rPr>
                <w:bCs/>
                <w:color w:val="993300"/>
                <w:sz w:val="16"/>
                <w:szCs w:val="16"/>
                <w:lang w:val="es-ES_tradnl"/>
              </w:rPr>
              <w:t>El proyecto se preparó y se examinó internamente.  El proyecto final servirá de base para las consultas con los Estados miembros</w:t>
            </w:r>
          </w:p>
          <w:p w:rsidR="00B070BF" w:rsidRPr="00F2661C" w:rsidRDefault="00B070BF" w:rsidP="00C33D4A">
            <w:pPr>
              <w:widowControl w:val="0"/>
              <w:rPr>
                <w:color w:val="993300"/>
                <w:sz w:val="16"/>
                <w:szCs w:val="16"/>
                <w:lang w:val="es-ES_tradnl"/>
              </w:rPr>
            </w:pPr>
          </w:p>
        </w:tc>
        <w:tc>
          <w:tcPr>
            <w:tcW w:w="1785" w:type="pct"/>
            <w:shd w:val="clear" w:color="auto" w:fill="FFFFFF"/>
            <w:tcMar>
              <w:top w:w="110" w:type="dxa"/>
            </w:tcMar>
          </w:tcPr>
          <w:p w:rsidR="00B070BF" w:rsidRPr="009577DE" w:rsidRDefault="00B070BF" w:rsidP="00C33D4A">
            <w:pPr>
              <w:widowControl w:val="0"/>
              <w:rPr>
                <w:sz w:val="16"/>
                <w:szCs w:val="16"/>
                <w:lang w:val="es-ES_tradnl"/>
              </w:rPr>
            </w:pPr>
            <w:r w:rsidRPr="009577DE">
              <w:rPr>
                <w:sz w:val="16"/>
                <w:szCs w:val="16"/>
                <w:lang w:val="es-ES_tradnl"/>
              </w:rPr>
              <w:t xml:space="preserve">El proceso interno está en curso.  Se pretende iniciar las consultas en mayo de 2013 y, en función de los resultados, presentarlo al Comité del Programa y Presupuesto (PBC) en septiembre de 2013. </w:t>
            </w:r>
          </w:p>
          <w:p w:rsidR="00B070BF" w:rsidRPr="009577DE" w:rsidRDefault="00B070BF" w:rsidP="00C33D4A">
            <w:pPr>
              <w:widowControl w:val="0"/>
              <w:rPr>
                <w:sz w:val="16"/>
                <w:szCs w:val="16"/>
                <w:lang w:val="es-ES_tradnl"/>
              </w:rPr>
            </w:pPr>
          </w:p>
        </w:tc>
        <w:tc>
          <w:tcPr>
            <w:tcW w:w="564" w:type="pct"/>
            <w:shd w:val="clear" w:color="auto" w:fill="auto"/>
            <w:tcMar>
              <w:top w:w="110" w:type="dxa"/>
            </w:tcMar>
          </w:tcPr>
          <w:p w:rsidR="00B070BF" w:rsidRPr="009577DE" w:rsidRDefault="00B070BF" w:rsidP="00C33D4A">
            <w:pPr>
              <w:widowControl w:val="0"/>
              <w:jc w:val="center"/>
              <w:rPr>
                <w:b/>
                <w:sz w:val="16"/>
                <w:szCs w:val="16"/>
                <w:lang w:val="es-ES_tradnl"/>
              </w:rPr>
            </w:pPr>
            <w:r w:rsidRPr="009577DE">
              <w:rPr>
                <w:b/>
                <w:color w:val="008000"/>
                <w:sz w:val="16"/>
                <w:szCs w:val="16"/>
                <w:lang w:val="es-ES_tradnl"/>
              </w:rPr>
              <w:t>Progresa con normalidad</w:t>
            </w:r>
          </w:p>
          <w:p w:rsidR="00B070BF" w:rsidRPr="009577DE" w:rsidRDefault="00B070BF" w:rsidP="00C33D4A">
            <w:pPr>
              <w:widowControl w:val="0"/>
              <w:jc w:val="center"/>
              <w:rPr>
                <w:bCs/>
                <w:sz w:val="16"/>
                <w:szCs w:val="16"/>
                <w:lang w:val="es-ES_tradnl"/>
              </w:rPr>
            </w:pPr>
          </w:p>
          <w:p w:rsidR="00B070BF" w:rsidRPr="009577DE" w:rsidRDefault="00B070BF" w:rsidP="00C33D4A">
            <w:pPr>
              <w:widowControl w:val="0"/>
              <w:jc w:val="center"/>
              <w:rPr>
                <w:bCs/>
                <w:sz w:val="16"/>
                <w:szCs w:val="16"/>
                <w:lang w:val="es-ES_tradnl"/>
              </w:rPr>
            </w:pPr>
          </w:p>
          <w:p w:rsidR="00B070BF" w:rsidRPr="009577DE" w:rsidRDefault="00B070BF" w:rsidP="00C33D4A">
            <w:pPr>
              <w:widowControl w:val="0"/>
              <w:jc w:val="center"/>
              <w:rPr>
                <w:bCs/>
                <w:sz w:val="16"/>
                <w:szCs w:val="16"/>
                <w:lang w:val="es-ES_tradnl"/>
              </w:rPr>
            </w:pPr>
          </w:p>
        </w:tc>
      </w:tr>
    </w:tbl>
    <w:p w:rsidR="00B070BF" w:rsidRPr="009577DE" w:rsidRDefault="00B070BF" w:rsidP="00B070BF">
      <w:pPr>
        <w:widowControl w:val="0"/>
        <w:rPr>
          <w:b/>
          <w:sz w:val="18"/>
          <w:szCs w:val="18"/>
          <w:lang w:val="es-ES_tradnl"/>
        </w:rPr>
      </w:pPr>
    </w:p>
    <w:p w:rsidR="00B070BF" w:rsidRPr="009577DE" w:rsidRDefault="00B070BF" w:rsidP="00B070BF">
      <w:pPr>
        <w:widowControl w:val="0"/>
        <w:rPr>
          <w:sz w:val="18"/>
          <w:szCs w:val="18"/>
          <w:lang w:val="es-ES_tradnl"/>
        </w:rPr>
      </w:pPr>
    </w:p>
    <w:p w:rsidR="00B070BF" w:rsidRPr="009577DE" w:rsidRDefault="00B070BF" w:rsidP="00B070BF">
      <w:pPr>
        <w:widowControl w:val="0"/>
        <w:rPr>
          <w:sz w:val="20"/>
          <w:szCs w:val="22"/>
          <w:lang w:val="es-ES_tradnl"/>
        </w:rPr>
      </w:pPr>
      <w:r w:rsidRPr="009577DE">
        <w:rPr>
          <w:sz w:val="20"/>
          <w:szCs w:val="22"/>
          <w:lang w:val="es-ES_tradnl"/>
        </w:rPr>
        <w:t>PRESUPUESTO Y GASTOS REALES</w:t>
      </w:r>
    </w:p>
    <w:p w:rsidR="00B070BF" w:rsidRPr="006964C6" w:rsidRDefault="00B070BF" w:rsidP="00B070BF">
      <w:pPr>
        <w:widowControl w:val="0"/>
        <w:rPr>
          <w:sz w:val="20"/>
          <w:lang w:val="es-ES_tradnl"/>
        </w:rPr>
      </w:pPr>
    </w:p>
    <w:p w:rsidR="00B070BF" w:rsidRPr="006964C6" w:rsidRDefault="00B070BF" w:rsidP="00B070BF">
      <w:pPr>
        <w:widowControl w:val="0"/>
        <w:jc w:val="center"/>
        <w:rPr>
          <w:sz w:val="20"/>
          <w:lang w:val="es-ES_tradnl"/>
        </w:rPr>
      </w:pPr>
      <w:r w:rsidRPr="006964C6">
        <w:rPr>
          <w:sz w:val="20"/>
          <w:lang w:val="es-ES_tradnl"/>
        </w:rPr>
        <w:t>Presupuesto y gastos reales (por resultado)</w:t>
      </w:r>
    </w:p>
    <w:p w:rsidR="00B070BF" w:rsidRPr="009577DE" w:rsidRDefault="00B070BF" w:rsidP="00B070BF">
      <w:pPr>
        <w:widowControl w:val="0"/>
        <w:jc w:val="center"/>
        <w:rPr>
          <w:szCs w:val="22"/>
          <w:lang w:val="es-ES_tradnl"/>
        </w:rPr>
      </w:pPr>
      <w:r w:rsidRPr="006964C6">
        <w:rPr>
          <w:i/>
          <w:iCs/>
          <w:sz w:val="20"/>
          <w:lang w:val="es-ES_tradnl"/>
        </w:rPr>
        <w:t>(en miles de francos suizos)</w:t>
      </w:r>
      <w:r w:rsidRPr="006964C6">
        <w:rPr>
          <w:i/>
          <w:iCs/>
          <w:sz w:val="20"/>
          <w:lang w:val="es-ES_tradnl"/>
        </w:rPr>
        <w:br/>
      </w:r>
      <w:r w:rsidRPr="006964C6">
        <w:rPr>
          <w:i/>
          <w:iCs/>
          <w:sz w:val="20"/>
          <w:lang w:val="es-ES_tradnl"/>
        </w:rPr>
        <w:br/>
      </w:r>
      <w:r w:rsidRPr="009577DE">
        <w:rPr>
          <w:noProof/>
          <w:lang w:val="en-US" w:eastAsia="en-US"/>
        </w:rPr>
        <w:drawing>
          <wp:inline distT="0" distB="0" distL="0" distR="0" wp14:anchorId="55EAD9FF" wp14:editId="2DB9F43D">
            <wp:extent cx="5902325" cy="3122930"/>
            <wp:effectExtent l="0" t="0" r="3175" b="1270"/>
            <wp:docPr id="238" name="Pictur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902325" cy="3122930"/>
                    </a:xfrm>
                    <a:prstGeom prst="rect">
                      <a:avLst/>
                    </a:prstGeom>
                    <a:noFill/>
                    <a:ln>
                      <a:noFill/>
                    </a:ln>
                  </pic:spPr>
                </pic:pic>
              </a:graphicData>
            </a:graphic>
          </wp:inline>
        </w:drawing>
      </w:r>
    </w:p>
    <w:p w:rsidR="00B070BF" w:rsidRPr="006964C6" w:rsidRDefault="00B070BF" w:rsidP="00B070BF">
      <w:pPr>
        <w:widowControl w:val="0"/>
        <w:jc w:val="center"/>
        <w:rPr>
          <w:sz w:val="20"/>
          <w:lang w:val="es-ES_tradnl"/>
        </w:rPr>
      </w:pPr>
    </w:p>
    <w:p w:rsidR="00B070BF" w:rsidRPr="006964C6" w:rsidRDefault="00B070BF" w:rsidP="00B070BF">
      <w:pPr>
        <w:widowControl w:val="0"/>
        <w:jc w:val="center"/>
        <w:rPr>
          <w:sz w:val="20"/>
          <w:lang w:val="es-ES_tradnl"/>
        </w:rPr>
      </w:pPr>
    </w:p>
    <w:p w:rsidR="00B070BF" w:rsidRPr="009577DE" w:rsidRDefault="00B070BF" w:rsidP="00B070BF">
      <w:pPr>
        <w:keepNext/>
        <w:keepLines/>
        <w:widowControl w:val="0"/>
        <w:jc w:val="center"/>
        <w:rPr>
          <w:sz w:val="20"/>
          <w:lang w:val="es-ES_tradnl"/>
        </w:rPr>
      </w:pPr>
      <w:r w:rsidRPr="006964C6">
        <w:rPr>
          <w:sz w:val="20"/>
          <w:lang w:val="es-ES_tradnl"/>
        </w:rPr>
        <w:lastRenderedPageBreak/>
        <w:t>Presupuesto y gastos reales (de personal y no relativos al personal)</w:t>
      </w:r>
      <w:r w:rsidRPr="006964C6">
        <w:rPr>
          <w:sz w:val="20"/>
          <w:lang w:val="es-ES_tradnl"/>
        </w:rPr>
        <w:br/>
      </w:r>
      <w:r w:rsidRPr="006964C6">
        <w:rPr>
          <w:i/>
          <w:sz w:val="20"/>
          <w:lang w:val="es-ES_tradnl"/>
        </w:rPr>
        <w:t>(en miles de francos suizos)</w:t>
      </w:r>
      <w:r w:rsidRPr="006964C6">
        <w:rPr>
          <w:sz w:val="20"/>
          <w:lang w:val="es-ES_tradnl"/>
        </w:rPr>
        <w:br/>
      </w:r>
      <w:r w:rsidRPr="006964C6">
        <w:rPr>
          <w:sz w:val="20"/>
          <w:lang w:val="es-ES_tradnl"/>
        </w:rPr>
        <w:br/>
      </w:r>
      <w:r w:rsidRPr="009577DE">
        <w:rPr>
          <w:noProof/>
          <w:lang w:val="en-US" w:eastAsia="en-US"/>
        </w:rPr>
        <w:drawing>
          <wp:inline distT="0" distB="0" distL="0" distR="0" wp14:anchorId="51DB9184" wp14:editId="6F6A481F">
            <wp:extent cx="5902325" cy="1235075"/>
            <wp:effectExtent l="0" t="0" r="3175" b="3175"/>
            <wp:docPr id="237"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902325" cy="1235075"/>
                    </a:xfrm>
                    <a:prstGeom prst="rect">
                      <a:avLst/>
                    </a:prstGeom>
                    <a:noFill/>
                    <a:ln>
                      <a:noFill/>
                    </a:ln>
                  </pic:spPr>
                </pic:pic>
              </a:graphicData>
            </a:graphic>
          </wp:inline>
        </w:drawing>
      </w:r>
    </w:p>
    <w:p w:rsidR="00B070BF" w:rsidRPr="009577DE" w:rsidRDefault="00B070BF" w:rsidP="00B070BF">
      <w:pPr>
        <w:widowControl w:val="0"/>
        <w:autoSpaceDE w:val="0"/>
        <w:autoSpaceDN w:val="0"/>
        <w:adjustRightInd w:val="0"/>
        <w:rPr>
          <w:sz w:val="20"/>
          <w:lang w:val="es-ES_tradnl"/>
        </w:rPr>
      </w:pPr>
    </w:p>
    <w:p w:rsidR="00B070BF" w:rsidRPr="009577DE" w:rsidRDefault="00B070BF" w:rsidP="00B070BF">
      <w:pPr>
        <w:widowControl w:val="0"/>
        <w:autoSpaceDE w:val="0"/>
        <w:autoSpaceDN w:val="0"/>
        <w:adjustRightInd w:val="0"/>
        <w:rPr>
          <w:sz w:val="16"/>
          <w:szCs w:val="16"/>
          <w:lang w:val="es-ES_tradnl"/>
        </w:rPr>
      </w:pPr>
      <w:r w:rsidRPr="007C3E0F">
        <w:rPr>
          <w:sz w:val="16"/>
          <w:szCs w:val="16"/>
          <w:lang w:val="es-ES_tradnl"/>
        </w:rPr>
        <w:t>NOTAS:</w:t>
      </w:r>
    </w:p>
    <w:p w:rsidR="00B070BF" w:rsidRPr="009577DE" w:rsidRDefault="00B070BF" w:rsidP="00B070BF">
      <w:pPr>
        <w:widowControl w:val="0"/>
        <w:autoSpaceDE w:val="0"/>
        <w:autoSpaceDN w:val="0"/>
        <w:adjustRightInd w:val="0"/>
        <w:rPr>
          <w:sz w:val="16"/>
          <w:szCs w:val="16"/>
          <w:lang w:val="es-ES_tradnl"/>
        </w:rPr>
      </w:pPr>
    </w:p>
    <w:p w:rsidR="00B070BF" w:rsidRPr="009577DE" w:rsidRDefault="00B070BF" w:rsidP="00B070BF">
      <w:pPr>
        <w:widowControl w:val="0"/>
        <w:autoSpaceDE w:val="0"/>
        <w:autoSpaceDN w:val="0"/>
        <w:adjustRightInd w:val="0"/>
        <w:rPr>
          <w:sz w:val="16"/>
          <w:szCs w:val="16"/>
          <w:lang w:val="es-ES_tradnl"/>
        </w:rPr>
      </w:pPr>
      <w:r w:rsidRPr="009577DE">
        <w:rPr>
          <w:sz w:val="16"/>
          <w:szCs w:val="16"/>
          <w:lang w:val="es-ES_tradnl"/>
        </w:rPr>
        <w:t>1) El presupuesto después de las transferencias refleja el presupuesto de los programas ajustado después de las transferencias efectuadas en 2012/13 en virtud del artículo 5.5 del Reglamento Financiero.</w:t>
      </w:r>
    </w:p>
    <w:p w:rsidR="00B070BF" w:rsidRPr="009577DE" w:rsidRDefault="00B070BF" w:rsidP="00B070BF">
      <w:pPr>
        <w:widowControl w:val="0"/>
        <w:autoSpaceDE w:val="0"/>
        <w:autoSpaceDN w:val="0"/>
        <w:adjustRightInd w:val="0"/>
        <w:rPr>
          <w:sz w:val="16"/>
          <w:szCs w:val="16"/>
          <w:lang w:val="es-ES_tradnl"/>
        </w:rPr>
      </w:pPr>
    </w:p>
    <w:p w:rsidR="00B070BF" w:rsidRPr="009577DE" w:rsidRDefault="00B070BF" w:rsidP="00B070BF">
      <w:pPr>
        <w:widowControl w:val="0"/>
        <w:autoSpaceDE w:val="0"/>
        <w:autoSpaceDN w:val="0"/>
        <w:adjustRightInd w:val="0"/>
        <w:rPr>
          <w:sz w:val="16"/>
          <w:szCs w:val="16"/>
          <w:lang w:val="es-ES_tradnl"/>
        </w:rPr>
      </w:pPr>
      <w:r w:rsidRPr="009577DE">
        <w:rPr>
          <w:sz w:val="16"/>
          <w:szCs w:val="16"/>
          <w:lang w:val="es-ES_tradnl"/>
        </w:rPr>
        <w:t xml:space="preserve">2) La asignación para el personal del presupuesto de 2012/13 después de las transferencias representa los gastos reales efectuados hasta el 31 de marzo de 2013 y los importes presupuestados para los nueve meses restantes de 2013, sobre la base de costos estándar. </w:t>
      </w:r>
    </w:p>
    <w:p w:rsidR="00B070BF" w:rsidRPr="009577DE" w:rsidRDefault="00B070BF" w:rsidP="00B070BF">
      <w:pPr>
        <w:widowControl w:val="0"/>
        <w:autoSpaceDE w:val="0"/>
        <w:autoSpaceDN w:val="0"/>
        <w:adjustRightInd w:val="0"/>
        <w:rPr>
          <w:sz w:val="16"/>
          <w:szCs w:val="16"/>
          <w:lang w:val="es-ES_tradnl"/>
        </w:rPr>
      </w:pPr>
    </w:p>
    <w:p w:rsidR="00B070BF" w:rsidRPr="009577DE" w:rsidRDefault="00B070BF" w:rsidP="00B070BF">
      <w:pPr>
        <w:widowControl w:val="0"/>
        <w:autoSpaceDE w:val="0"/>
        <w:autoSpaceDN w:val="0"/>
        <w:adjustRightInd w:val="0"/>
        <w:rPr>
          <w:sz w:val="16"/>
          <w:szCs w:val="16"/>
          <w:lang w:val="es-ES_tradnl"/>
        </w:rPr>
      </w:pPr>
      <w:r w:rsidRPr="009577DE">
        <w:rPr>
          <w:sz w:val="16"/>
          <w:szCs w:val="16"/>
          <w:lang w:val="es-ES_tradnl"/>
        </w:rPr>
        <w:t>3) La asignación no relativa al personal del presupuesto de 2012/13 después de las transferencias refleja los ajustes a la baja efectuados para aumentar la eficacia en función de los costos, de conformidad con el compromiso de la Organización de reducir gastos por un importe de 10,2 millones de francos suizos en el bienio 2012/13.</w:t>
      </w:r>
    </w:p>
    <w:p w:rsidR="00B070BF" w:rsidRPr="009577DE" w:rsidRDefault="00B070BF" w:rsidP="00B070BF">
      <w:pPr>
        <w:widowControl w:val="0"/>
        <w:autoSpaceDE w:val="0"/>
        <w:autoSpaceDN w:val="0"/>
        <w:adjustRightInd w:val="0"/>
        <w:rPr>
          <w:bCs/>
          <w:sz w:val="20"/>
          <w:lang w:val="es-ES_tradnl"/>
        </w:rPr>
      </w:pPr>
    </w:p>
    <w:p w:rsidR="00B070BF" w:rsidRPr="009577DE" w:rsidRDefault="00B070BF" w:rsidP="00B070BF">
      <w:pPr>
        <w:widowControl w:val="0"/>
        <w:autoSpaceDE w:val="0"/>
        <w:autoSpaceDN w:val="0"/>
        <w:adjustRightInd w:val="0"/>
        <w:rPr>
          <w:bCs/>
          <w:sz w:val="20"/>
          <w:lang w:val="es-ES_tradnl"/>
        </w:rPr>
      </w:pPr>
    </w:p>
    <w:p w:rsidR="00B070BF" w:rsidRPr="009577DE" w:rsidRDefault="00B070BF" w:rsidP="00B070BF">
      <w:pPr>
        <w:widowControl w:val="0"/>
        <w:rPr>
          <w:sz w:val="20"/>
          <w:u w:val="single"/>
          <w:lang w:val="es-ES_tradnl"/>
        </w:rPr>
      </w:pPr>
      <w:r>
        <w:rPr>
          <w:sz w:val="20"/>
          <w:lang w:val="es-ES_tradnl"/>
        </w:rPr>
        <w:t xml:space="preserve">A.  </w:t>
      </w:r>
      <w:r w:rsidRPr="009577DE">
        <w:rPr>
          <w:sz w:val="20"/>
          <w:u w:val="single"/>
          <w:lang w:val="es-ES_tradnl"/>
        </w:rPr>
        <w:t xml:space="preserve">Presupuesto </w:t>
      </w:r>
      <w:r>
        <w:rPr>
          <w:sz w:val="20"/>
          <w:u w:val="single"/>
          <w:lang w:val="es-ES_tradnl"/>
        </w:rPr>
        <w:t>2012/13</w:t>
      </w:r>
      <w:r w:rsidRPr="009577DE">
        <w:rPr>
          <w:sz w:val="20"/>
          <w:u w:val="single"/>
          <w:lang w:val="es-ES_tradnl"/>
        </w:rPr>
        <w:t xml:space="preserve"> después de las transferencias</w:t>
      </w:r>
    </w:p>
    <w:p w:rsidR="00B070BF" w:rsidRPr="009577DE" w:rsidRDefault="00B070BF" w:rsidP="00B070BF">
      <w:pPr>
        <w:widowControl w:val="0"/>
        <w:rPr>
          <w:b/>
          <w:bCs/>
          <w:sz w:val="20"/>
          <w:lang w:val="es-ES_tradnl"/>
        </w:rPr>
      </w:pPr>
    </w:p>
    <w:p w:rsidR="00B070BF" w:rsidRPr="009577DE" w:rsidRDefault="00B070BF" w:rsidP="00B070BF">
      <w:pPr>
        <w:widowControl w:val="0"/>
        <w:numPr>
          <w:ilvl w:val="0"/>
          <w:numId w:val="15"/>
        </w:numPr>
        <w:autoSpaceDE w:val="0"/>
        <w:autoSpaceDN w:val="0"/>
        <w:adjustRightInd w:val="0"/>
        <w:jc w:val="both"/>
        <w:rPr>
          <w:sz w:val="20"/>
          <w:lang w:val="es-ES_tradnl"/>
        </w:rPr>
      </w:pPr>
      <w:r w:rsidRPr="009577DE">
        <w:rPr>
          <w:sz w:val="20"/>
          <w:lang w:val="es-ES_tradnl"/>
        </w:rPr>
        <w:t>La distribución de los recursos entre los distintos resultados refleja la atención que prestan las oficinas de la OMPI en el exterior a las actividades de apoyo a los servicios mundiales de P.I. de la OMPI, especialmente en el marco del resultado II.1 (Utilización estratégica del PCT, con conocimiento de causa).  La mayor eficacia en función de los costos se ha traducido en una menor asignación de recursos al resultado III.2 (Mejora de las capacidades en el ámbito de los recursos humanos).</w:t>
      </w:r>
    </w:p>
    <w:p w:rsidR="00B070BF" w:rsidRPr="009577DE" w:rsidRDefault="00B070BF" w:rsidP="00B070BF">
      <w:pPr>
        <w:widowControl w:val="0"/>
        <w:jc w:val="both"/>
        <w:rPr>
          <w:sz w:val="20"/>
          <w:highlight w:val="cyan"/>
          <w:lang w:val="es-ES_tradnl"/>
        </w:rPr>
      </w:pPr>
    </w:p>
    <w:p w:rsidR="00B070BF" w:rsidRPr="009577DE" w:rsidRDefault="00B070BF" w:rsidP="00B070BF">
      <w:pPr>
        <w:widowControl w:val="0"/>
        <w:numPr>
          <w:ilvl w:val="0"/>
          <w:numId w:val="15"/>
        </w:numPr>
        <w:autoSpaceDE w:val="0"/>
        <w:autoSpaceDN w:val="0"/>
        <w:adjustRightInd w:val="0"/>
        <w:jc w:val="both"/>
        <w:rPr>
          <w:sz w:val="20"/>
          <w:lang w:val="es-ES_tradnl"/>
        </w:rPr>
      </w:pPr>
      <w:r w:rsidRPr="009577DE">
        <w:rPr>
          <w:sz w:val="20"/>
          <w:lang w:val="es-ES_tradnl"/>
        </w:rPr>
        <w:t>La leve disminución observable en el marco del resultado III.10 (Aumento de los recursos extrapresupuestarios) refleja un cambio en la estrategia de movilización de los recursos extrapresupuestarios con objeto de prestar mayor atención a proyectos específicos.  La disminución neta respecto del resultado VIII.3 (Colaboración con las Naciones Unidas y otras OIG) es consecuencia de una disminución debida principalmente al ahorro relacionado con la eficiencia en función de los costos.</w:t>
      </w:r>
    </w:p>
    <w:p w:rsidR="00B070BF" w:rsidRPr="009577DE" w:rsidRDefault="00B070BF" w:rsidP="00B070BF">
      <w:pPr>
        <w:widowControl w:val="0"/>
        <w:autoSpaceDE w:val="0"/>
        <w:autoSpaceDN w:val="0"/>
        <w:adjustRightInd w:val="0"/>
        <w:rPr>
          <w:sz w:val="20"/>
          <w:lang w:val="es-ES_tradnl"/>
        </w:rPr>
      </w:pPr>
    </w:p>
    <w:p w:rsidR="00B070BF" w:rsidRPr="009577DE" w:rsidRDefault="00B070BF" w:rsidP="00B070BF">
      <w:pPr>
        <w:widowControl w:val="0"/>
        <w:jc w:val="both"/>
        <w:rPr>
          <w:sz w:val="20"/>
          <w:lang w:val="es-ES_tradnl"/>
        </w:rPr>
      </w:pPr>
      <w:r w:rsidRPr="009577DE">
        <w:rPr>
          <w:sz w:val="20"/>
          <w:lang w:val="es-ES_tradnl"/>
        </w:rPr>
        <w:t>B.</w:t>
      </w:r>
      <w:r>
        <w:rPr>
          <w:sz w:val="20"/>
          <w:lang w:val="es-ES_tradnl"/>
        </w:rPr>
        <w:t xml:space="preserve"> </w:t>
      </w:r>
      <w:r w:rsidRPr="009577DE">
        <w:rPr>
          <w:sz w:val="20"/>
          <w:lang w:val="es-ES_tradnl"/>
        </w:rPr>
        <w:t xml:space="preserve"> </w:t>
      </w:r>
      <w:r w:rsidRPr="009577DE">
        <w:rPr>
          <w:sz w:val="20"/>
          <w:u w:val="single"/>
          <w:lang w:val="es-ES_tradnl"/>
        </w:rPr>
        <w:t>Utilización del presupuesto 2012</w:t>
      </w:r>
    </w:p>
    <w:p w:rsidR="00B070BF" w:rsidRPr="009577DE" w:rsidRDefault="00B070BF" w:rsidP="00B070BF">
      <w:pPr>
        <w:widowControl w:val="0"/>
        <w:jc w:val="both"/>
        <w:rPr>
          <w:sz w:val="20"/>
          <w:lang w:val="es-ES_tradnl"/>
        </w:rPr>
      </w:pPr>
    </w:p>
    <w:p w:rsidR="00B070BF" w:rsidRPr="009577DE" w:rsidRDefault="00B070BF" w:rsidP="00B070BF">
      <w:pPr>
        <w:widowControl w:val="0"/>
        <w:numPr>
          <w:ilvl w:val="0"/>
          <w:numId w:val="15"/>
        </w:numPr>
        <w:autoSpaceDE w:val="0"/>
        <w:autoSpaceDN w:val="0"/>
        <w:adjustRightInd w:val="0"/>
        <w:jc w:val="both"/>
        <w:rPr>
          <w:sz w:val="20"/>
          <w:lang w:val="es-ES_tradnl"/>
        </w:rPr>
      </w:pPr>
      <w:r w:rsidRPr="009577DE">
        <w:rPr>
          <w:sz w:val="20"/>
          <w:lang w:val="es-ES_tradnl"/>
        </w:rPr>
        <w:t>La utilización del presupuesto se mantiene entre el 40% y el 60% en el primer año del bienio y progresa con normalidad.</w:t>
      </w:r>
    </w:p>
    <w:p w:rsidR="00B070BF" w:rsidRPr="009577DE" w:rsidRDefault="00B070BF" w:rsidP="00B070BF">
      <w:pPr>
        <w:widowControl w:val="0"/>
        <w:autoSpaceDE w:val="0"/>
        <w:autoSpaceDN w:val="0"/>
        <w:adjustRightInd w:val="0"/>
        <w:rPr>
          <w:bCs/>
          <w:sz w:val="20"/>
          <w:lang w:val="es-ES_tradnl"/>
        </w:rPr>
      </w:pPr>
    </w:p>
    <w:p w:rsidR="00B070BF" w:rsidRPr="009577DE" w:rsidRDefault="00B070BF" w:rsidP="00B070BF">
      <w:pPr>
        <w:rPr>
          <w:lang w:val="es-ES_tradnl"/>
        </w:rPr>
      </w:pPr>
    </w:p>
    <w:p w:rsidR="00B070BF" w:rsidRPr="009577DE" w:rsidRDefault="00B070BF" w:rsidP="00B070BF">
      <w:pPr>
        <w:pStyle w:val="Heading2"/>
        <w:tabs>
          <w:tab w:val="left" w:pos="2835"/>
        </w:tabs>
        <w:rPr>
          <w:b/>
          <w:lang w:val="es-ES_tradnl"/>
        </w:rPr>
      </w:pPr>
      <w:r w:rsidRPr="009577DE">
        <w:rPr>
          <w:lang w:val="es-ES_tradnl"/>
        </w:rPr>
        <w:br w:type="page"/>
      </w:r>
      <w:bookmarkStart w:id="55" w:name="_Toc359949331"/>
      <w:r w:rsidRPr="009577DE">
        <w:rPr>
          <w:b/>
          <w:lang w:val="es-ES_tradnl"/>
        </w:rPr>
        <w:lastRenderedPageBreak/>
        <w:t>PROGRAMA 21</w:t>
      </w:r>
      <w:r w:rsidRPr="009577DE">
        <w:rPr>
          <w:b/>
          <w:lang w:val="es-ES_tradnl"/>
        </w:rPr>
        <w:tab/>
        <w:t>GESTIÓN EJECUTIVA</w:t>
      </w:r>
      <w:bookmarkEnd w:id="54"/>
      <w:bookmarkEnd w:id="55"/>
    </w:p>
    <w:p w:rsidR="00B070BF" w:rsidRPr="009577DE" w:rsidRDefault="00B070BF" w:rsidP="00B070BF">
      <w:pPr>
        <w:widowControl w:val="0"/>
        <w:rPr>
          <w:sz w:val="18"/>
          <w:szCs w:val="18"/>
          <w:lang w:val="es-ES_tradnl"/>
        </w:rPr>
      </w:pPr>
    </w:p>
    <w:p w:rsidR="00B070BF" w:rsidRPr="009577DE" w:rsidRDefault="00B070BF" w:rsidP="00B070BF">
      <w:pPr>
        <w:widowControl w:val="0"/>
        <w:rPr>
          <w:sz w:val="18"/>
          <w:szCs w:val="18"/>
          <w:lang w:val="es-ES_tradnl"/>
        </w:rPr>
      </w:pPr>
    </w:p>
    <w:p w:rsidR="00B070BF" w:rsidRPr="009577DE" w:rsidRDefault="00B070BF" w:rsidP="00B070BF">
      <w:pPr>
        <w:widowControl w:val="0"/>
        <w:tabs>
          <w:tab w:val="left" w:pos="2268"/>
        </w:tabs>
        <w:rPr>
          <w:b/>
          <w:szCs w:val="22"/>
          <w:lang w:val="es-ES_tradnl"/>
        </w:rPr>
      </w:pPr>
      <w:r w:rsidRPr="009577DE">
        <w:rPr>
          <w:b/>
          <w:szCs w:val="22"/>
          <w:lang w:val="es-ES_tradnl"/>
        </w:rPr>
        <w:t>Director del Programa</w:t>
      </w:r>
      <w:r w:rsidRPr="009577DE">
        <w:rPr>
          <w:b/>
          <w:szCs w:val="22"/>
          <w:lang w:val="es-ES_tradnl"/>
        </w:rPr>
        <w:tab/>
        <w:t>Director General</w:t>
      </w:r>
    </w:p>
    <w:p w:rsidR="00B070BF" w:rsidRPr="009577DE" w:rsidRDefault="00B070BF" w:rsidP="00B070BF">
      <w:pPr>
        <w:widowControl w:val="0"/>
        <w:rPr>
          <w:sz w:val="20"/>
          <w:szCs w:val="12"/>
          <w:lang w:val="es-ES_tradnl"/>
        </w:rPr>
      </w:pPr>
    </w:p>
    <w:p w:rsidR="00B070BF" w:rsidRPr="009577DE" w:rsidRDefault="00B070BF" w:rsidP="00B070BF">
      <w:pPr>
        <w:widowControl w:val="0"/>
        <w:rPr>
          <w:bCs/>
          <w:sz w:val="18"/>
          <w:szCs w:val="10"/>
          <w:lang w:val="es-ES_tradnl"/>
        </w:rPr>
      </w:pPr>
    </w:p>
    <w:p w:rsidR="00B070BF" w:rsidRPr="009577DE" w:rsidRDefault="00B070BF" w:rsidP="00B070BF">
      <w:pPr>
        <w:widowControl w:val="0"/>
        <w:spacing w:line="260" w:lineRule="atLeast"/>
        <w:rPr>
          <w:bCs/>
          <w:sz w:val="20"/>
          <w:lang w:val="es-ES_tradnl"/>
        </w:rPr>
      </w:pPr>
      <w:r w:rsidRPr="009577DE">
        <w:rPr>
          <w:bCs/>
          <w:sz w:val="20"/>
          <w:lang w:val="es-ES_tradnl"/>
        </w:rPr>
        <w:t>RESEÑA DE LOS AVANCES LOGRADOS EN 2012</w:t>
      </w:r>
    </w:p>
    <w:p w:rsidR="00B070BF" w:rsidRPr="009577DE" w:rsidRDefault="00B070BF" w:rsidP="00B070BF">
      <w:pPr>
        <w:widowControl w:val="0"/>
        <w:jc w:val="both"/>
        <w:rPr>
          <w:szCs w:val="22"/>
          <w:lang w:val="es-ES_tradnl"/>
        </w:rPr>
      </w:pPr>
    </w:p>
    <w:p w:rsidR="00B070BF" w:rsidRPr="009577DE" w:rsidRDefault="00B070BF" w:rsidP="00B070BF">
      <w:pPr>
        <w:widowControl w:val="0"/>
        <w:numPr>
          <w:ilvl w:val="0"/>
          <w:numId w:val="36"/>
        </w:numPr>
        <w:autoSpaceDE w:val="0"/>
        <w:autoSpaceDN w:val="0"/>
        <w:adjustRightInd w:val="0"/>
        <w:jc w:val="both"/>
        <w:rPr>
          <w:sz w:val="20"/>
          <w:lang w:val="es-ES_tradnl"/>
        </w:rPr>
      </w:pPr>
      <w:r w:rsidRPr="009577DE">
        <w:rPr>
          <w:sz w:val="20"/>
          <w:lang w:val="es-ES_tradnl"/>
        </w:rPr>
        <w:t>El programa 21 abarca la Oficina del Director General, la Oficina del Consejero Jurídico, la División de Asuntos de las Asambleas y Documentación, la Oficina del Mediador, la Oficina de Ética Profesional y el Servicio de Protocolo.</w:t>
      </w:r>
    </w:p>
    <w:p w:rsidR="00B070BF" w:rsidRPr="009577DE" w:rsidRDefault="00B070BF" w:rsidP="00B070BF">
      <w:pPr>
        <w:widowControl w:val="0"/>
        <w:autoSpaceDE w:val="0"/>
        <w:autoSpaceDN w:val="0"/>
        <w:adjustRightInd w:val="0"/>
        <w:jc w:val="both"/>
        <w:rPr>
          <w:bCs/>
          <w:sz w:val="20"/>
          <w:lang w:val="es-ES_tradnl"/>
        </w:rPr>
      </w:pPr>
    </w:p>
    <w:p w:rsidR="00B070BF" w:rsidRPr="009577DE" w:rsidRDefault="00B070BF" w:rsidP="00B070BF">
      <w:pPr>
        <w:widowControl w:val="0"/>
        <w:numPr>
          <w:ilvl w:val="0"/>
          <w:numId w:val="36"/>
        </w:numPr>
        <w:autoSpaceDE w:val="0"/>
        <w:autoSpaceDN w:val="0"/>
        <w:adjustRightInd w:val="0"/>
        <w:jc w:val="both"/>
        <w:rPr>
          <w:bCs/>
          <w:sz w:val="20"/>
          <w:lang w:val="es-ES_tradnl"/>
        </w:rPr>
      </w:pPr>
      <w:r w:rsidRPr="009577DE">
        <w:rPr>
          <w:bCs/>
          <w:sz w:val="20"/>
          <w:lang w:val="es-ES_tradnl"/>
        </w:rPr>
        <w:t xml:space="preserve">La eficaz implicación con los Estados miembros y demás partes interesadas sigue representando el elemento esencial para la realización de nuevos progresos en orden al cumplimiento de las nueve metas estratégicas de la Organización.  Dicha implicación era importante en 2012 para apoyar el considerable cambio introducido en la Organización a nivel de reforma y mejora organizativas con el fin de posibilitar los necesarios avances en el plano normativo y en la aplicación de programas.  A tal efecto, al Director General celebró sesiones informativas periódicas con los Embajadores y reuniones con los Estados miembros, todas las cuales resultaron muy valiosas como medio de obtener los comentarios y el asesoramiento adecuados para impulsar el progreso en numerosos aspectos. </w:t>
      </w:r>
    </w:p>
    <w:p w:rsidR="00B070BF" w:rsidRPr="009577DE" w:rsidRDefault="00B070BF" w:rsidP="00B070BF">
      <w:pPr>
        <w:widowControl w:val="0"/>
        <w:autoSpaceDE w:val="0"/>
        <w:autoSpaceDN w:val="0"/>
        <w:adjustRightInd w:val="0"/>
        <w:jc w:val="both"/>
        <w:rPr>
          <w:bCs/>
          <w:sz w:val="20"/>
          <w:lang w:val="es-ES_tradnl"/>
        </w:rPr>
      </w:pPr>
    </w:p>
    <w:p w:rsidR="00B070BF" w:rsidRPr="009577DE" w:rsidRDefault="00B070BF" w:rsidP="00B070BF">
      <w:pPr>
        <w:widowControl w:val="0"/>
        <w:numPr>
          <w:ilvl w:val="0"/>
          <w:numId w:val="36"/>
        </w:numPr>
        <w:autoSpaceDE w:val="0"/>
        <w:autoSpaceDN w:val="0"/>
        <w:adjustRightInd w:val="0"/>
        <w:jc w:val="both"/>
        <w:rPr>
          <w:bCs/>
          <w:sz w:val="20"/>
          <w:lang w:val="es-ES_tradnl"/>
        </w:rPr>
      </w:pPr>
      <w:r w:rsidRPr="009577DE">
        <w:rPr>
          <w:bCs/>
          <w:sz w:val="20"/>
          <w:lang w:val="es-ES_tradnl"/>
        </w:rPr>
        <w:t>También se atendió muy especialmente a la implicación interna, sobre todo en lo concerniente a la gestión del cambio y a la creación en toda la Organización de un clima favorable al mismo.  A este respecto, las reuniones periódicas del equipo directivo superior proporcionaron orientación a las unidades de la Organización y sirvieron de vehículos para la transposición de las decisiones estratégicas en realidades prácticas.  El Director General desplegó considerables esfuerzos para comunicar no sólo con los gestores sino también con los miembros del personal (colectivamente o en grupos reducidos) en el empeño de transmitir un mensaje coherente a toda la Organización y así promover una actitud positiva hacia las necesarias reformas,</w:t>
      </w:r>
    </w:p>
    <w:p w:rsidR="00B070BF" w:rsidRPr="009577DE" w:rsidRDefault="00B070BF" w:rsidP="00B070BF">
      <w:pPr>
        <w:widowControl w:val="0"/>
        <w:autoSpaceDE w:val="0"/>
        <w:autoSpaceDN w:val="0"/>
        <w:adjustRightInd w:val="0"/>
        <w:jc w:val="both"/>
        <w:rPr>
          <w:bCs/>
          <w:sz w:val="20"/>
          <w:lang w:val="es-ES_tradnl"/>
        </w:rPr>
      </w:pPr>
    </w:p>
    <w:p w:rsidR="00B070BF" w:rsidRPr="009577DE" w:rsidRDefault="00B070BF" w:rsidP="00B070BF">
      <w:pPr>
        <w:widowControl w:val="0"/>
        <w:numPr>
          <w:ilvl w:val="0"/>
          <w:numId w:val="36"/>
        </w:numPr>
        <w:autoSpaceDE w:val="0"/>
        <w:autoSpaceDN w:val="0"/>
        <w:adjustRightInd w:val="0"/>
        <w:jc w:val="both"/>
        <w:rPr>
          <w:bCs/>
          <w:sz w:val="20"/>
          <w:lang w:val="es-ES_tradnl"/>
        </w:rPr>
      </w:pPr>
      <w:r w:rsidRPr="009577DE">
        <w:rPr>
          <w:bCs/>
          <w:sz w:val="20"/>
          <w:lang w:val="es-ES_tradnl"/>
        </w:rPr>
        <w:t>Un elemento esencial del proceso de cambio durante todo el año fue la satisfactoria conclusión del PAE</w:t>
      </w:r>
      <w:r w:rsidRPr="009577DE">
        <w:rPr>
          <w:sz w:val="20"/>
          <w:lang w:val="es-ES_tradnl"/>
        </w:rPr>
        <w:t>, el cual entrañaba una serie de iniciativas tendentes a la introducción de ambiciosas mejoras a nivel de Organización.  Dicho programa abarcaba 19 iniciativas interrelacionadas y agrupadas en torno a las cuatro prioridades centrales de la Organización; sus resultados se calibraron mediante un sondeo de personal y un tablero de control (ambos accesibles para los Estados miembros a través de Internet).  Los resultados son alentadores e indican que en muchos respectos el PAE ha aportado un nuevo enfoque a la cultura y los valores de la Secretaría, una mayor eficiencia de sus procedimientos operativos y una mejor alineación de los programas, la estructura y los recursos con las metas estratégicas de la Organización.</w:t>
      </w:r>
    </w:p>
    <w:p w:rsidR="00B070BF" w:rsidRPr="009577DE" w:rsidRDefault="00B070BF" w:rsidP="00B070BF">
      <w:pPr>
        <w:widowControl w:val="0"/>
        <w:autoSpaceDE w:val="0"/>
        <w:autoSpaceDN w:val="0"/>
        <w:adjustRightInd w:val="0"/>
        <w:jc w:val="both"/>
        <w:rPr>
          <w:bCs/>
          <w:sz w:val="20"/>
          <w:lang w:val="es-ES_tradnl"/>
        </w:rPr>
      </w:pPr>
    </w:p>
    <w:p w:rsidR="00B070BF" w:rsidRPr="009577DE" w:rsidRDefault="00B070BF" w:rsidP="00B070BF">
      <w:pPr>
        <w:widowControl w:val="0"/>
        <w:numPr>
          <w:ilvl w:val="0"/>
          <w:numId w:val="36"/>
        </w:numPr>
        <w:autoSpaceDE w:val="0"/>
        <w:autoSpaceDN w:val="0"/>
        <w:adjustRightInd w:val="0"/>
        <w:jc w:val="both"/>
        <w:rPr>
          <w:bCs/>
          <w:sz w:val="20"/>
          <w:lang w:val="es-ES_tradnl"/>
        </w:rPr>
      </w:pPr>
      <w:r w:rsidRPr="009577DE">
        <w:rPr>
          <w:bCs/>
          <w:sz w:val="20"/>
          <w:lang w:val="es-ES_tradnl"/>
        </w:rPr>
        <w:t>En este primer año completo de funcionamiento de la División de Asuntos de las Asambleas y Documentación pudieron apreciarse plenamente las ventajas de contar con una unidad central exclusivamente dedicada a gestionar los preparativos para las Asambleas.  Se mantuvieron y perfeccionaron innova</w:t>
      </w:r>
      <w:r w:rsidRPr="009577DE">
        <w:rPr>
          <w:sz w:val="20"/>
          <w:lang w:val="es-ES_tradnl"/>
        </w:rPr>
        <w:t>ciones y racionalizaciones organizativas como la retransmisión por Internet de las reuniones, la inscripción electrónica y los nuevos procedimientos de viaje.  La documentación fue entregada con sobrada antelación y más temprano que anteriormente.  Los actos paralelos se mejoraron en número y calidad.  El afán de extremar la eficiencia y proporcionar a los Estados miembros una experiencia más halagüeña de las Asambleas se reflejó en los elevados niveles de satisfacción registrados con motivo de una encuesta celebrada entre los participantes en 2012.</w:t>
      </w:r>
    </w:p>
    <w:p w:rsidR="00B070BF" w:rsidRPr="009577DE" w:rsidRDefault="00B070BF" w:rsidP="00B070BF">
      <w:pPr>
        <w:widowControl w:val="0"/>
        <w:autoSpaceDE w:val="0"/>
        <w:autoSpaceDN w:val="0"/>
        <w:adjustRightInd w:val="0"/>
        <w:jc w:val="both"/>
        <w:rPr>
          <w:bCs/>
          <w:sz w:val="20"/>
          <w:lang w:val="es-ES_tradnl"/>
        </w:rPr>
      </w:pPr>
    </w:p>
    <w:p w:rsidR="00B070BF" w:rsidRPr="009577DE" w:rsidRDefault="00B070BF" w:rsidP="00B070BF">
      <w:pPr>
        <w:widowControl w:val="0"/>
        <w:numPr>
          <w:ilvl w:val="0"/>
          <w:numId w:val="36"/>
        </w:numPr>
        <w:autoSpaceDE w:val="0"/>
        <w:autoSpaceDN w:val="0"/>
        <w:adjustRightInd w:val="0"/>
        <w:jc w:val="both"/>
        <w:rPr>
          <w:sz w:val="20"/>
          <w:lang w:val="es-ES_tradnl"/>
        </w:rPr>
      </w:pPr>
      <w:r w:rsidRPr="009577DE">
        <w:rPr>
          <w:sz w:val="20"/>
          <w:lang w:val="es-ES_tradnl"/>
        </w:rPr>
        <w:t xml:space="preserve">La Oficina del Consejero Jurídico tuvo que afrontar un año muy arduo, caracterizado por una creciente demanda de sus servicios.  La Oficina, con su diligencia, independencia y fiabilidad acostumbradas, ha seguido facilitando asesoramiento y servicios jurídicos al Director General, a la Secretaría y a los Estados miembros sobre asuntos constitucionales, asuntos jurídicos generales, contratos, Derecho de tratados, asuntos relacionados con la administración y los recursos humanos y cuestiones pertinentes a la propiedad intelectual.  Las funciones de depositario de los tratados administrados por la OMPI han continuado siendo desempeñadas de la manera más eficiente.  Al propio tiempo se ha registrado un apreciable incremento de la carga de trabajo relativa a las reuniones de los Estados miembros.  La prestación de asesoramiento y servicios a la Conferencia Diplomática de Beijing, incluida su fase preparatoria, mereció todos los encomios y estuvo admirablemente gestionada.  Del mismo modo, la Oficina continuó suministrando asesoramiento puntual y eficaz en relación con la nueva </w:t>
      </w:r>
      <w:r w:rsidRPr="009577DE">
        <w:rPr>
          <w:sz w:val="20"/>
          <w:lang w:val="es-ES_tradnl"/>
        </w:rPr>
        <w:lastRenderedPageBreak/>
        <w:t>sala de conferencias, lo que contribuyó al buen desenvolvimiento del proyecto dentro de un marco de calidad satisfactorio.</w:t>
      </w:r>
    </w:p>
    <w:p w:rsidR="00B070BF" w:rsidRPr="009577DE" w:rsidRDefault="00B070BF" w:rsidP="00B070BF">
      <w:pPr>
        <w:widowControl w:val="0"/>
        <w:autoSpaceDE w:val="0"/>
        <w:autoSpaceDN w:val="0"/>
        <w:adjustRightInd w:val="0"/>
        <w:jc w:val="both"/>
        <w:rPr>
          <w:sz w:val="20"/>
          <w:lang w:val="es-ES_tradnl"/>
        </w:rPr>
      </w:pPr>
    </w:p>
    <w:p w:rsidR="00B070BF" w:rsidRPr="009577DE" w:rsidRDefault="00B070BF" w:rsidP="00B070BF">
      <w:pPr>
        <w:widowControl w:val="0"/>
        <w:numPr>
          <w:ilvl w:val="0"/>
          <w:numId w:val="36"/>
        </w:numPr>
        <w:jc w:val="both"/>
        <w:rPr>
          <w:sz w:val="20"/>
          <w:lang w:val="es-ES_tradnl"/>
        </w:rPr>
      </w:pPr>
      <w:r w:rsidRPr="009577DE">
        <w:rPr>
          <w:sz w:val="20"/>
          <w:lang w:val="es-ES_tradnl"/>
        </w:rPr>
        <w:t>La OMPI continuó participando activamente en el sistema de las NN.UU., incluida la Junta de los jefes ejecutivos del sistema de las Naciones Unidas para la coordinación (JJE) con sus dos comités: el Comité de Alto Nivel sobre Gestión (HLCM) y el Comité de Alto Nivel sobre Programas (HLCP).  El Director General es el actual Presidente del HLCM (desde septiembre de 2012).  La OMPI colabora activamente con otros organismos de las NN.UU. aportando contribuciones sustantivas en materias de la incumbencia de la JJE, particularmente la Agenda para el Desarrollo después de 2015.</w:t>
      </w:r>
    </w:p>
    <w:p w:rsidR="00B070BF" w:rsidRPr="009577DE" w:rsidRDefault="00B070BF" w:rsidP="00B070BF">
      <w:pPr>
        <w:widowControl w:val="0"/>
        <w:autoSpaceDE w:val="0"/>
        <w:autoSpaceDN w:val="0"/>
        <w:adjustRightInd w:val="0"/>
        <w:jc w:val="both"/>
        <w:rPr>
          <w:sz w:val="20"/>
          <w:lang w:val="es-ES_tradnl"/>
        </w:rPr>
      </w:pPr>
    </w:p>
    <w:p w:rsidR="00B070BF" w:rsidRPr="009577DE" w:rsidRDefault="00B070BF" w:rsidP="00B070BF">
      <w:pPr>
        <w:widowControl w:val="0"/>
        <w:numPr>
          <w:ilvl w:val="0"/>
          <w:numId w:val="36"/>
        </w:numPr>
        <w:autoSpaceDE w:val="0"/>
        <w:autoSpaceDN w:val="0"/>
        <w:adjustRightInd w:val="0"/>
        <w:jc w:val="both"/>
        <w:rPr>
          <w:sz w:val="20"/>
          <w:lang w:val="es-ES_tradnl"/>
        </w:rPr>
      </w:pPr>
      <w:r w:rsidRPr="009577DE">
        <w:rPr>
          <w:sz w:val="20"/>
          <w:lang w:val="es-ES_tradnl"/>
        </w:rPr>
        <w:t>Se realizaron considerables progresos de cara al cumplimiento del compromiso asumido por el Director General en pro del establecimiento de un sistema completo de ética e integridad en la OMPI.  Dos importantes elementos del marco de ética e integridad se publicaron en 2012.  El Código de Ética Profesional de la OMPI, elaborado tras extensas consultas internas, define una plataforma común de principios rectores y de valores que el personal de la OMPI debe observar en el desempeño de sus funciones.  La Política de la OMPI en materia de protección de los denunciantes articula el valor atribuido por la Organización a la participación de los miembros de su personal en las actividades de vigilancia y la protección dispensada a los empleados que fueren objeto de medidas de represalia a causa de dicha participación.  Asimismo se puso en marcha un exhaustivo programa de formación; las primeras impresiones recibidas denotan una mayor concientización respecto de los principios de ética profesional en la OMPI y una creciente voluntad de abrazar la observancia de tales principios.</w:t>
      </w:r>
    </w:p>
    <w:p w:rsidR="00B070BF" w:rsidRPr="009577DE" w:rsidRDefault="00B070BF" w:rsidP="00B070BF">
      <w:pPr>
        <w:widowControl w:val="0"/>
        <w:jc w:val="both"/>
        <w:rPr>
          <w:sz w:val="20"/>
          <w:lang w:val="es-ES_tradnl"/>
        </w:rPr>
      </w:pPr>
    </w:p>
    <w:p w:rsidR="00B070BF" w:rsidRPr="009577DE" w:rsidRDefault="00B070BF" w:rsidP="00B070BF">
      <w:pPr>
        <w:widowControl w:val="0"/>
        <w:numPr>
          <w:ilvl w:val="0"/>
          <w:numId w:val="36"/>
        </w:numPr>
        <w:autoSpaceDE w:val="0"/>
        <w:autoSpaceDN w:val="0"/>
        <w:adjustRightInd w:val="0"/>
        <w:jc w:val="both"/>
        <w:rPr>
          <w:sz w:val="20"/>
          <w:lang w:val="es-ES_tradnl"/>
        </w:rPr>
      </w:pPr>
      <w:r w:rsidRPr="009577DE">
        <w:rPr>
          <w:sz w:val="20"/>
          <w:lang w:val="es-ES_tradnl"/>
        </w:rPr>
        <w:t>La Oficina del Mediador pasó a ser parte establecida del marco de rendición de cuentas e integridad de la OMPI.  Durante todo el año la oficina continuó promoviendo activamente un enfoque alternativo de los conflictos en el lugar de trabajo, manteniendo una comunicación regular con el personal y ofreciendo servicios de asesoramiento y mediación para ayudar a encontrar soluciones amigables y sostenibles.  Tanto las estadísticas de visitantes de su página Web como los resultados del sondeo de opinión celebrado en ese mismo año reflejan una actitud más favorable del personal hacia la solución informal de controversias.</w:t>
      </w:r>
    </w:p>
    <w:p w:rsidR="00B070BF" w:rsidRDefault="00B070BF" w:rsidP="00B070BF">
      <w:pPr>
        <w:widowControl w:val="0"/>
        <w:jc w:val="both"/>
        <w:rPr>
          <w:sz w:val="20"/>
          <w:lang w:val="es-ES_tradnl"/>
        </w:rPr>
      </w:pPr>
    </w:p>
    <w:p w:rsidR="00B070BF" w:rsidRPr="009577DE" w:rsidRDefault="00B070BF" w:rsidP="00B070BF">
      <w:pPr>
        <w:widowControl w:val="0"/>
        <w:jc w:val="both"/>
        <w:rPr>
          <w:sz w:val="20"/>
          <w:lang w:val="es-ES_tradnl"/>
        </w:rPr>
      </w:pPr>
    </w:p>
    <w:p w:rsidR="00B070BF" w:rsidRPr="009577DE" w:rsidRDefault="00B070BF" w:rsidP="00B070BF">
      <w:pPr>
        <w:widowControl w:val="0"/>
        <w:jc w:val="both"/>
        <w:rPr>
          <w:bCs/>
          <w:sz w:val="20"/>
          <w:lang w:val="es-ES_tradnl"/>
        </w:rPr>
      </w:pPr>
      <w:r w:rsidRPr="009577DE">
        <w:rPr>
          <w:bCs/>
          <w:sz w:val="20"/>
          <w:lang w:val="es-ES_tradnl"/>
        </w:rPr>
        <w:t xml:space="preserve">APLICACIÓN DE LA AGENDA PARA EL DESARROLLO </w:t>
      </w:r>
    </w:p>
    <w:p w:rsidR="00B070BF" w:rsidRPr="009577DE" w:rsidRDefault="00B070BF" w:rsidP="00B070BF">
      <w:pPr>
        <w:widowControl w:val="0"/>
        <w:autoSpaceDE w:val="0"/>
        <w:autoSpaceDN w:val="0"/>
        <w:adjustRightInd w:val="0"/>
        <w:jc w:val="both"/>
        <w:rPr>
          <w:bCs/>
          <w:sz w:val="20"/>
          <w:lang w:val="es-ES_tradnl"/>
        </w:rPr>
      </w:pPr>
    </w:p>
    <w:p w:rsidR="00B070BF" w:rsidRPr="009577DE" w:rsidRDefault="00B070BF" w:rsidP="00B070BF">
      <w:pPr>
        <w:widowControl w:val="0"/>
        <w:numPr>
          <w:ilvl w:val="0"/>
          <w:numId w:val="36"/>
        </w:numPr>
        <w:jc w:val="both"/>
        <w:rPr>
          <w:sz w:val="20"/>
          <w:lang w:val="es-ES_tradnl"/>
        </w:rPr>
      </w:pPr>
      <w:r w:rsidRPr="009577DE">
        <w:rPr>
          <w:sz w:val="20"/>
          <w:lang w:val="es-ES_tradnl"/>
        </w:rPr>
        <w:t xml:space="preserve">Todos los programas relacionados con la meta estratégica IX (“Estructura eficiente de apoyo administrativo y financiero que facilite la ejecución de los programas de la OMPI”) ofrecen asistencia u otros servicios al conjunto de la Organización para alcanzar los resultados previstos de la OMPI. En cuanto a ello, el programa 21, que incluye el trabajo de la Oficina del Director General, desempeña un papel fundamental al proporcionar la orientación estratégica y la supervisión global necesaria para facilitar la integración y la aplicación de la Agenda de la OMPI para el Desarrollo por parte de todos los sectores relevantes de la Organización. Para aplicar la recomendación 6 de la A.D. se estableció una Oficina de Ética Profesional y se publicó un Código de Ética Profesional tras las oportunas consultas con el Consejo del Personal y todo el personal de la OMPI. </w:t>
      </w:r>
    </w:p>
    <w:p w:rsidR="00B070BF" w:rsidRPr="009577DE" w:rsidRDefault="00B070BF" w:rsidP="00B070BF">
      <w:pPr>
        <w:widowControl w:val="0"/>
        <w:jc w:val="both"/>
        <w:rPr>
          <w:sz w:val="20"/>
          <w:lang w:val="es-ES_tradnl"/>
        </w:rPr>
      </w:pPr>
    </w:p>
    <w:p w:rsidR="00B070BF" w:rsidRPr="009577DE" w:rsidRDefault="00B070BF" w:rsidP="00B070BF">
      <w:pPr>
        <w:widowControl w:val="0"/>
        <w:jc w:val="both"/>
        <w:rPr>
          <w:sz w:val="20"/>
          <w:lang w:val="es-ES_tradnl"/>
        </w:rPr>
      </w:pPr>
    </w:p>
    <w:p w:rsidR="00B070BF" w:rsidRPr="009577DE" w:rsidRDefault="00B070BF" w:rsidP="00B070BF">
      <w:pPr>
        <w:widowControl w:val="0"/>
        <w:jc w:val="both"/>
        <w:rPr>
          <w:sz w:val="20"/>
          <w:lang w:val="es-ES_tradnl"/>
        </w:rPr>
      </w:pPr>
      <w:r w:rsidRPr="009771C7">
        <w:rPr>
          <w:sz w:val="20"/>
          <w:lang w:val="es-ES_tradnl"/>
        </w:rPr>
        <w:t>DATOS SOBRE EL RENDIMIENTO</w:t>
      </w:r>
    </w:p>
    <w:p w:rsidR="00B070BF" w:rsidRPr="009771C7" w:rsidRDefault="00B070BF" w:rsidP="00B070BF">
      <w:pPr>
        <w:widowControl w:val="0"/>
        <w:jc w:val="both"/>
        <w:rPr>
          <w:bCs/>
          <w:sz w:val="20"/>
          <w:lang w:val="es-ES_tradnl"/>
        </w:rPr>
      </w:pPr>
    </w:p>
    <w:tbl>
      <w:tblPr>
        <w:tblW w:w="5000" w:type="pct"/>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821"/>
        <w:gridCol w:w="2100"/>
        <w:gridCol w:w="1081"/>
        <w:gridCol w:w="257"/>
        <w:gridCol w:w="207"/>
        <w:gridCol w:w="3026"/>
        <w:gridCol w:w="1079"/>
      </w:tblGrid>
      <w:tr w:rsidR="00B070BF" w:rsidRPr="009577DE" w:rsidTr="00C33D4A">
        <w:trPr>
          <w:cantSplit/>
        </w:trPr>
        <w:tc>
          <w:tcPr>
            <w:tcW w:w="5000" w:type="pct"/>
            <w:gridSpan w:val="7"/>
            <w:tcBorders>
              <w:top w:val="single" w:sz="4" w:space="0" w:color="auto"/>
              <w:bottom w:val="single" w:sz="4" w:space="0" w:color="auto"/>
            </w:tcBorders>
            <w:shd w:val="clear" w:color="auto" w:fill="CCFFFF"/>
            <w:vAlign w:val="center"/>
          </w:tcPr>
          <w:p w:rsidR="00B070BF" w:rsidRPr="009577DE" w:rsidRDefault="00B070BF" w:rsidP="00C33D4A">
            <w:pPr>
              <w:widowControl w:val="0"/>
              <w:tabs>
                <w:tab w:val="left" w:pos="1452"/>
              </w:tabs>
              <w:spacing w:before="120" w:after="120"/>
              <w:ind w:left="1452" w:hanging="1452"/>
              <w:rPr>
                <w:b/>
                <w:bCs/>
                <w:sz w:val="16"/>
                <w:szCs w:val="16"/>
                <w:lang w:val="es-ES_tradnl"/>
              </w:rPr>
            </w:pPr>
            <w:r w:rsidRPr="009577DE">
              <w:rPr>
                <w:b/>
                <w:bCs/>
                <w:sz w:val="16"/>
                <w:szCs w:val="16"/>
                <w:lang w:val="es-ES_tradnl"/>
              </w:rPr>
              <w:t>Resultado previsto:</w:t>
            </w:r>
            <w:r w:rsidRPr="009577DE">
              <w:rPr>
                <w:b/>
                <w:bCs/>
                <w:sz w:val="16"/>
                <w:szCs w:val="16"/>
                <w:lang w:val="es-ES_tradnl"/>
              </w:rPr>
              <w:tab/>
            </w:r>
            <w:r w:rsidRPr="009577DE">
              <w:rPr>
                <w:bCs/>
                <w:sz w:val="16"/>
                <w:szCs w:val="16"/>
                <w:lang w:val="es-ES_tradnl"/>
              </w:rPr>
              <w:t xml:space="preserve"> Atención eficaz a los Estados miembros.</w:t>
            </w:r>
          </w:p>
        </w:tc>
      </w:tr>
      <w:tr w:rsidR="00B070BF" w:rsidRPr="009577DE" w:rsidTr="00C33D4A">
        <w:trPr>
          <w:cantSplit/>
        </w:trPr>
        <w:tc>
          <w:tcPr>
            <w:tcW w:w="960" w:type="pct"/>
            <w:tcBorders>
              <w:top w:val="single" w:sz="4" w:space="0" w:color="auto"/>
            </w:tcBorders>
            <w:shd w:val="clear" w:color="auto" w:fill="auto"/>
            <w:vAlign w:val="center"/>
          </w:tcPr>
          <w:p w:rsidR="00B070BF" w:rsidRPr="009577DE" w:rsidRDefault="00B070BF" w:rsidP="00C33D4A">
            <w:pPr>
              <w:widowControl w:val="0"/>
              <w:spacing w:after="120"/>
              <w:rPr>
                <w:sz w:val="16"/>
                <w:szCs w:val="16"/>
                <w:lang w:val="es-ES_tradnl"/>
              </w:rPr>
            </w:pPr>
            <w:r w:rsidRPr="009577DE">
              <w:rPr>
                <w:b/>
                <w:bCs/>
                <w:sz w:val="16"/>
                <w:szCs w:val="16"/>
                <w:lang w:val="es-ES_tradnl"/>
              </w:rPr>
              <w:t>Indicadores de rendimiento</w:t>
            </w:r>
          </w:p>
        </w:tc>
        <w:tc>
          <w:tcPr>
            <w:tcW w:w="1106" w:type="pct"/>
            <w:tcBorders>
              <w:top w:val="single" w:sz="4" w:space="0" w:color="auto"/>
            </w:tcBorders>
            <w:shd w:val="clear" w:color="auto" w:fill="C0C0C0"/>
          </w:tcPr>
          <w:p w:rsidR="00B070BF" w:rsidRPr="009577DE" w:rsidRDefault="00B070BF" w:rsidP="00C33D4A">
            <w:pPr>
              <w:widowControl w:val="0"/>
              <w:spacing w:after="120"/>
              <w:rPr>
                <w:b/>
                <w:bCs/>
                <w:sz w:val="16"/>
                <w:szCs w:val="16"/>
                <w:lang w:val="es-ES_tradnl"/>
              </w:rPr>
            </w:pPr>
            <w:r w:rsidRPr="009577DE">
              <w:rPr>
                <w:b/>
                <w:bCs/>
                <w:sz w:val="16"/>
                <w:szCs w:val="16"/>
                <w:lang w:val="es-ES_tradnl"/>
              </w:rPr>
              <w:t>Referencia (</w:t>
            </w:r>
            <w:proofErr w:type="spellStart"/>
            <w:r w:rsidRPr="009577DE">
              <w:rPr>
                <w:b/>
                <w:bCs/>
                <w:sz w:val="16"/>
                <w:szCs w:val="16"/>
                <w:lang w:val="es-ES_tradnl"/>
              </w:rPr>
              <w:t>Presup</w:t>
            </w:r>
            <w:proofErr w:type="spellEnd"/>
            <w:r w:rsidRPr="009577DE">
              <w:rPr>
                <w:b/>
                <w:bCs/>
                <w:sz w:val="16"/>
                <w:szCs w:val="16"/>
                <w:lang w:val="es-ES_tradnl"/>
              </w:rPr>
              <w:t xml:space="preserve">. por </w:t>
            </w:r>
            <w:proofErr w:type="spellStart"/>
            <w:r w:rsidRPr="009577DE">
              <w:rPr>
                <w:b/>
                <w:bCs/>
                <w:sz w:val="16"/>
                <w:szCs w:val="16"/>
                <w:lang w:val="es-ES_tradnl"/>
              </w:rPr>
              <w:t>prog</w:t>
            </w:r>
            <w:proofErr w:type="spellEnd"/>
            <w:r w:rsidRPr="009577DE">
              <w:rPr>
                <w:b/>
                <w:bCs/>
                <w:sz w:val="16"/>
                <w:szCs w:val="16"/>
                <w:lang w:val="es-ES_tradnl"/>
              </w:rPr>
              <w:t>. 2012/13)</w:t>
            </w:r>
          </w:p>
        </w:tc>
        <w:tc>
          <w:tcPr>
            <w:tcW w:w="834" w:type="pct"/>
            <w:gridSpan w:val="3"/>
            <w:tcBorders>
              <w:top w:val="single" w:sz="4" w:space="0" w:color="auto"/>
            </w:tcBorders>
            <w:shd w:val="clear" w:color="auto" w:fill="auto"/>
            <w:tcMar>
              <w:top w:w="110" w:type="dxa"/>
            </w:tcMar>
            <w:vAlign w:val="center"/>
          </w:tcPr>
          <w:p w:rsidR="00B070BF" w:rsidRPr="009577DE" w:rsidRDefault="00B070BF" w:rsidP="00C33D4A">
            <w:pPr>
              <w:widowControl w:val="0"/>
              <w:spacing w:after="120"/>
              <w:rPr>
                <w:b/>
                <w:sz w:val="16"/>
                <w:szCs w:val="16"/>
                <w:lang w:val="es-ES_tradnl"/>
              </w:rPr>
            </w:pPr>
            <w:r w:rsidRPr="00BF138D">
              <w:rPr>
                <w:b/>
                <w:color w:val="993300"/>
                <w:sz w:val="16"/>
                <w:szCs w:val="16"/>
                <w:lang w:val="es-ES_tradnl"/>
              </w:rPr>
              <w:t>Referencia actualizada a finales de 2011</w:t>
            </w:r>
            <w:r w:rsidRPr="009577DE">
              <w:rPr>
                <w:b/>
                <w:sz w:val="16"/>
                <w:szCs w:val="16"/>
                <w:lang w:val="es-ES_tradnl"/>
              </w:rPr>
              <w:t xml:space="preserve"> </w:t>
            </w:r>
          </w:p>
        </w:tc>
        <w:tc>
          <w:tcPr>
            <w:tcW w:w="1533" w:type="pct"/>
            <w:tcBorders>
              <w:top w:val="single" w:sz="4" w:space="0" w:color="auto"/>
            </w:tcBorders>
            <w:shd w:val="clear" w:color="auto" w:fill="FFFFFF"/>
            <w:tcMar>
              <w:top w:w="110" w:type="dxa"/>
            </w:tcMar>
            <w:vAlign w:val="center"/>
          </w:tcPr>
          <w:p w:rsidR="00B070BF" w:rsidRPr="009577DE" w:rsidRDefault="00B070BF" w:rsidP="00C33D4A">
            <w:pPr>
              <w:widowControl w:val="0"/>
              <w:spacing w:after="120"/>
              <w:rPr>
                <w:sz w:val="16"/>
                <w:szCs w:val="16"/>
                <w:lang w:val="es-ES_tradnl"/>
              </w:rPr>
            </w:pPr>
            <w:r w:rsidRPr="009577DE">
              <w:rPr>
                <w:b/>
                <w:bCs/>
                <w:sz w:val="16"/>
                <w:szCs w:val="16"/>
                <w:lang w:val="es-ES_tradnl"/>
              </w:rPr>
              <w:t xml:space="preserve">       Datos sobre el rendimiento</w:t>
            </w:r>
          </w:p>
        </w:tc>
        <w:tc>
          <w:tcPr>
            <w:tcW w:w="567" w:type="pct"/>
            <w:tcBorders>
              <w:top w:val="single" w:sz="4" w:space="0" w:color="auto"/>
            </w:tcBorders>
            <w:shd w:val="clear" w:color="auto" w:fill="auto"/>
            <w:tcMar>
              <w:top w:w="110" w:type="dxa"/>
            </w:tcMar>
            <w:vAlign w:val="center"/>
          </w:tcPr>
          <w:p w:rsidR="00B070BF" w:rsidRPr="009577DE" w:rsidRDefault="00B070BF" w:rsidP="00C33D4A">
            <w:pPr>
              <w:widowControl w:val="0"/>
              <w:spacing w:after="120"/>
              <w:jc w:val="center"/>
              <w:rPr>
                <w:b/>
                <w:bCs/>
                <w:sz w:val="16"/>
                <w:szCs w:val="16"/>
                <w:lang w:val="es-ES_tradnl"/>
              </w:rPr>
            </w:pPr>
            <w:r w:rsidRPr="009577DE">
              <w:rPr>
                <w:b/>
                <w:bCs/>
                <w:sz w:val="16"/>
                <w:szCs w:val="16"/>
                <w:lang w:val="es-ES_tradnl"/>
              </w:rPr>
              <w:t>Clave de colores</w:t>
            </w:r>
          </w:p>
        </w:tc>
      </w:tr>
      <w:tr w:rsidR="00B070BF" w:rsidRPr="009577DE" w:rsidTr="00C33D4A">
        <w:trPr>
          <w:cantSplit/>
        </w:trPr>
        <w:tc>
          <w:tcPr>
            <w:tcW w:w="960" w:type="pct"/>
            <w:shd w:val="clear" w:color="auto" w:fill="auto"/>
          </w:tcPr>
          <w:p w:rsidR="00B070BF" w:rsidRPr="009577DE" w:rsidRDefault="00B070BF" w:rsidP="00C33D4A">
            <w:pPr>
              <w:widowControl w:val="0"/>
              <w:rPr>
                <w:sz w:val="16"/>
                <w:szCs w:val="16"/>
                <w:lang w:val="es-ES_tradnl"/>
              </w:rPr>
            </w:pPr>
            <w:r w:rsidRPr="009577DE">
              <w:rPr>
                <w:sz w:val="16"/>
                <w:szCs w:val="16"/>
                <w:lang w:val="es-ES_tradnl"/>
              </w:rPr>
              <w:t>Porcentaje de sesiones de Comité precedidas de reuniones informativas para los Estados miembros.</w:t>
            </w:r>
          </w:p>
        </w:tc>
        <w:tc>
          <w:tcPr>
            <w:tcW w:w="1106" w:type="pct"/>
            <w:shd w:val="clear" w:color="auto" w:fill="C0C0C0"/>
          </w:tcPr>
          <w:p w:rsidR="00B070BF" w:rsidRPr="009577DE" w:rsidRDefault="00B070BF" w:rsidP="00C33D4A">
            <w:pPr>
              <w:widowControl w:val="0"/>
              <w:rPr>
                <w:sz w:val="16"/>
                <w:szCs w:val="16"/>
                <w:lang w:val="es-ES_tradnl"/>
              </w:rPr>
            </w:pPr>
            <w:r w:rsidRPr="009577DE">
              <w:rPr>
                <w:sz w:val="16"/>
                <w:szCs w:val="16"/>
                <w:lang w:val="es-ES_tradnl"/>
              </w:rPr>
              <w:t>Por determinar: número de reuniones de información organizadas antes de las reuniones de los comités celebradas en 2010/11.</w:t>
            </w:r>
          </w:p>
        </w:tc>
        <w:tc>
          <w:tcPr>
            <w:tcW w:w="834" w:type="pct"/>
            <w:gridSpan w:val="3"/>
            <w:shd w:val="clear" w:color="auto" w:fill="auto"/>
            <w:tcMar>
              <w:top w:w="110" w:type="dxa"/>
            </w:tcMar>
          </w:tcPr>
          <w:p w:rsidR="00B070BF" w:rsidRPr="009577DE" w:rsidRDefault="00B070BF" w:rsidP="00C33D4A">
            <w:pPr>
              <w:widowControl w:val="0"/>
              <w:rPr>
                <w:sz w:val="16"/>
                <w:szCs w:val="16"/>
                <w:lang w:val="es-ES_tradnl" w:bidi="th-TH"/>
              </w:rPr>
            </w:pPr>
            <w:r w:rsidRPr="00F2661C">
              <w:rPr>
                <w:color w:val="993300"/>
                <w:sz w:val="16"/>
                <w:szCs w:val="16"/>
                <w:lang w:val="es-ES_tradnl"/>
              </w:rPr>
              <w:t>Por determinar: número de reuniones de información organizadas antes de las reuniones de los comités celebradas en 2011:  80%</w:t>
            </w:r>
          </w:p>
        </w:tc>
        <w:tc>
          <w:tcPr>
            <w:tcW w:w="1533" w:type="pct"/>
            <w:shd w:val="clear" w:color="auto" w:fill="FFFFFF"/>
            <w:tcMar>
              <w:top w:w="110" w:type="dxa"/>
            </w:tcMar>
          </w:tcPr>
          <w:p w:rsidR="00B070BF" w:rsidRPr="009577DE" w:rsidRDefault="00B070BF" w:rsidP="00C33D4A">
            <w:pPr>
              <w:widowControl w:val="0"/>
              <w:rPr>
                <w:sz w:val="16"/>
                <w:szCs w:val="16"/>
                <w:lang w:val="es-ES_tradnl" w:bidi="th-TH"/>
              </w:rPr>
            </w:pPr>
            <w:r w:rsidRPr="009577DE">
              <w:rPr>
                <w:sz w:val="16"/>
                <w:szCs w:val="16"/>
                <w:lang w:val="es-ES_tradnl" w:bidi="th-TH"/>
              </w:rPr>
              <w:t>Un 83%, según una encuesta de los secretarios de los comités.</w:t>
            </w:r>
          </w:p>
          <w:p w:rsidR="00B070BF" w:rsidRPr="009577DE" w:rsidRDefault="00B070BF" w:rsidP="00C33D4A">
            <w:pPr>
              <w:widowControl w:val="0"/>
              <w:rPr>
                <w:sz w:val="16"/>
                <w:szCs w:val="16"/>
                <w:lang w:val="es-ES_tradnl" w:bidi="th-TH"/>
              </w:rPr>
            </w:pPr>
          </w:p>
          <w:p w:rsidR="00B070BF" w:rsidRPr="009577DE" w:rsidRDefault="00B070BF" w:rsidP="00C33D4A">
            <w:pPr>
              <w:widowControl w:val="0"/>
              <w:rPr>
                <w:sz w:val="16"/>
                <w:szCs w:val="16"/>
                <w:lang w:val="es-ES_tradnl" w:bidi="th-TH"/>
              </w:rPr>
            </w:pPr>
          </w:p>
          <w:p w:rsidR="00B070BF" w:rsidRPr="009577DE" w:rsidRDefault="00B070BF" w:rsidP="00C33D4A">
            <w:pPr>
              <w:widowControl w:val="0"/>
              <w:rPr>
                <w:sz w:val="16"/>
                <w:szCs w:val="16"/>
                <w:lang w:val="es-ES_tradnl" w:bidi="th-TH"/>
              </w:rPr>
            </w:pPr>
          </w:p>
          <w:p w:rsidR="00B070BF" w:rsidRPr="009577DE" w:rsidRDefault="00B070BF" w:rsidP="00C33D4A">
            <w:pPr>
              <w:widowControl w:val="0"/>
              <w:rPr>
                <w:sz w:val="16"/>
                <w:szCs w:val="16"/>
                <w:lang w:val="es-ES_tradnl" w:bidi="th-TH"/>
              </w:rPr>
            </w:pPr>
          </w:p>
          <w:p w:rsidR="00B070BF" w:rsidRPr="009577DE" w:rsidRDefault="00B070BF" w:rsidP="00C33D4A">
            <w:pPr>
              <w:widowControl w:val="0"/>
              <w:rPr>
                <w:sz w:val="16"/>
                <w:szCs w:val="16"/>
                <w:lang w:val="es-ES_tradnl" w:bidi="th-TH"/>
              </w:rPr>
            </w:pPr>
          </w:p>
          <w:p w:rsidR="00B070BF" w:rsidRPr="009577DE" w:rsidRDefault="00B070BF" w:rsidP="00C33D4A">
            <w:pPr>
              <w:widowControl w:val="0"/>
              <w:rPr>
                <w:sz w:val="16"/>
                <w:szCs w:val="16"/>
                <w:lang w:val="es-ES_tradnl"/>
              </w:rPr>
            </w:pPr>
          </w:p>
        </w:tc>
        <w:tc>
          <w:tcPr>
            <w:tcW w:w="567" w:type="pct"/>
            <w:shd w:val="clear" w:color="auto" w:fill="auto"/>
            <w:tcMar>
              <w:top w:w="110" w:type="dxa"/>
            </w:tcMar>
          </w:tcPr>
          <w:p w:rsidR="00B070BF" w:rsidRPr="009577DE" w:rsidRDefault="00B070BF" w:rsidP="00C33D4A">
            <w:pPr>
              <w:widowControl w:val="0"/>
              <w:jc w:val="center"/>
              <w:rPr>
                <w:b/>
                <w:sz w:val="16"/>
                <w:szCs w:val="16"/>
                <w:lang w:val="es-ES_tradnl"/>
              </w:rPr>
            </w:pPr>
            <w:r w:rsidRPr="009577DE">
              <w:rPr>
                <w:b/>
                <w:color w:val="008000"/>
                <w:sz w:val="16"/>
                <w:szCs w:val="16"/>
                <w:lang w:val="es-ES_tradnl"/>
              </w:rPr>
              <w:t>Progresa con normalidad</w:t>
            </w:r>
          </w:p>
          <w:p w:rsidR="00B070BF" w:rsidRPr="009577DE" w:rsidRDefault="00B070BF" w:rsidP="00C33D4A">
            <w:pPr>
              <w:widowControl w:val="0"/>
              <w:jc w:val="center"/>
              <w:rPr>
                <w:b/>
                <w:sz w:val="16"/>
                <w:szCs w:val="16"/>
                <w:lang w:val="es-ES_tradnl"/>
              </w:rPr>
            </w:pPr>
          </w:p>
          <w:p w:rsidR="00B070BF" w:rsidRPr="009577DE" w:rsidRDefault="00B070BF" w:rsidP="00C33D4A">
            <w:pPr>
              <w:widowControl w:val="0"/>
              <w:jc w:val="center"/>
              <w:rPr>
                <w:b/>
                <w:sz w:val="16"/>
                <w:szCs w:val="16"/>
                <w:lang w:val="es-ES_tradnl"/>
              </w:rPr>
            </w:pPr>
          </w:p>
        </w:tc>
      </w:tr>
      <w:tr w:rsidR="00B070BF" w:rsidRPr="009577DE" w:rsidTr="00C33D4A">
        <w:trPr>
          <w:cantSplit/>
        </w:trPr>
        <w:tc>
          <w:tcPr>
            <w:tcW w:w="960" w:type="pct"/>
            <w:shd w:val="clear" w:color="auto" w:fill="auto"/>
          </w:tcPr>
          <w:p w:rsidR="00B070BF" w:rsidRPr="009577DE" w:rsidRDefault="00B070BF" w:rsidP="00C33D4A">
            <w:pPr>
              <w:widowControl w:val="0"/>
              <w:rPr>
                <w:sz w:val="16"/>
                <w:szCs w:val="16"/>
                <w:lang w:val="es-ES_tradnl"/>
              </w:rPr>
            </w:pPr>
            <w:r w:rsidRPr="009577DE">
              <w:rPr>
                <w:sz w:val="16"/>
                <w:szCs w:val="16"/>
                <w:lang w:val="es-ES_tradnl"/>
              </w:rPr>
              <w:lastRenderedPageBreak/>
              <w:t>Porcentaje de cartas dirigidas al Director General por los Estados miembros que han obtenido respuesta en el plazo de dos semanas.</w:t>
            </w:r>
          </w:p>
        </w:tc>
        <w:tc>
          <w:tcPr>
            <w:tcW w:w="1106" w:type="pct"/>
            <w:shd w:val="clear" w:color="auto" w:fill="C0C0C0"/>
          </w:tcPr>
          <w:p w:rsidR="00B070BF" w:rsidRPr="009577DE" w:rsidRDefault="00B070BF" w:rsidP="00C33D4A">
            <w:pPr>
              <w:widowControl w:val="0"/>
              <w:rPr>
                <w:sz w:val="16"/>
                <w:szCs w:val="16"/>
                <w:lang w:val="es-ES_tradnl"/>
              </w:rPr>
            </w:pPr>
            <w:r w:rsidRPr="009577DE">
              <w:rPr>
                <w:sz w:val="16"/>
                <w:szCs w:val="16"/>
                <w:lang w:val="es-ES_tradnl"/>
              </w:rPr>
              <w:t>Por determinar.</w:t>
            </w:r>
          </w:p>
        </w:tc>
        <w:tc>
          <w:tcPr>
            <w:tcW w:w="834" w:type="pct"/>
            <w:gridSpan w:val="3"/>
            <w:shd w:val="clear" w:color="auto" w:fill="auto"/>
            <w:tcMar>
              <w:top w:w="110" w:type="dxa"/>
            </w:tcMar>
          </w:tcPr>
          <w:p w:rsidR="00B070BF" w:rsidRPr="009577DE" w:rsidRDefault="00B070BF" w:rsidP="00C33D4A">
            <w:pPr>
              <w:widowControl w:val="0"/>
              <w:rPr>
                <w:sz w:val="16"/>
                <w:szCs w:val="16"/>
                <w:lang w:val="es-ES_tradnl" w:bidi="th-TH"/>
              </w:rPr>
            </w:pPr>
            <w:r w:rsidRPr="009577DE">
              <w:rPr>
                <w:sz w:val="16"/>
                <w:szCs w:val="16"/>
                <w:lang w:val="es-ES_tradnl" w:bidi="th-TH"/>
              </w:rPr>
              <w:t>80%</w:t>
            </w:r>
          </w:p>
        </w:tc>
        <w:tc>
          <w:tcPr>
            <w:tcW w:w="1533" w:type="pct"/>
            <w:shd w:val="clear" w:color="auto" w:fill="FFFFFF"/>
            <w:tcMar>
              <w:top w:w="110" w:type="dxa"/>
            </w:tcMar>
          </w:tcPr>
          <w:p w:rsidR="00B070BF" w:rsidRPr="009577DE" w:rsidRDefault="00B070BF" w:rsidP="00C33D4A">
            <w:pPr>
              <w:widowControl w:val="0"/>
              <w:rPr>
                <w:sz w:val="16"/>
                <w:szCs w:val="16"/>
                <w:lang w:val="es-ES_tradnl"/>
              </w:rPr>
            </w:pPr>
            <w:r w:rsidRPr="009577DE">
              <w:rPr>
                <w:sz w:val="16"/>
                <w:szCs w:val="16"/>
                <w:lang w:val="es-ES_tradnl"/>
              </w:rPr>
              <w:t xml:space="preserve">Un 82%, según una evaluación de la correspondencia recibida y enviada. </w:t>
            </w:r>
          </w:p>
          <w:p w:rsidR="00B070BF" w:rsidRPr="009577DE" w:rsidRDefault="00B070BF" w:rsidP="00C33D4A">
            <w:pPr>
              <w:widowControl w:val="0"/>
              <w:rPr>
                <w:sz w:val="16"/>
                <w:szCs w:val="16"/>
                <w:lang w:val="es-ES_tradnl"/>
              </w:rPr>
            </w:pPr>
          </w:p>
          <w:p w:rsidR="00B070BF" w:rsidRPr="009577DE" w:rsidRDefault="00B070BF" w:rsidP="00C33D4A">
            <w:pPr>
              <w:widowControl w:val="0"/>
              <w:rPr>
                <w:sz w:val="16"/>
                <w:szCs w:val="16"/>
                <w:lang w:val="es-ES_tradnl"/>
              </w:rPr>
            </w:pPr>
          </w:p>
          <w:p w:rsidR="00B070BF" w:rsidRPr="009577DE" w:rsidRDefault="00B070BF" w:rsidP="00C33D4A">
            <w:pPr>
              <w:widowControl w:val="0"/>
              <w:rPr>
                <w:sz w:val="16"/>
                <w:szCs w:val="16"/>
                <w:lang w:val="es-ES_tradnl"/>
              </w:rPr>
            </w:pPr>
          </w:p>
          <w:p w:rsidR="00B070BF" w:rsidRPr="009577DE" w:rsidRDefault="00B070BF" w:rsidP="00C33D4A">
            <w:pPr>
              <w:widowControl w:val="0"/>
              <w:rPr>
                <w:sz w:val="16"/>
                <w:szCs w:val="16"/>
                <w:lang w:val="es-ES_tradnl"/>
              </w:rPr>
            </w:pPr>
          </w:p>
        </w:tc>
        <w:tc>
          <w:tcPr>
            <w:tcW w:w="567" w:type="pct"/>
            <w:shd w:val="clear" w:color="auto" w:fill="auto"/>
            <w:tcMar>
              <w:top w:w="110" w:type="dxa"/>
            </w:tcMar>
          </w:tcPr>
          <w:p w:rsidR="00B070BF" w:rsidRPr="009577DE" w:rsidRDefault="00B070BF" w:rsidP="00C33D4A">
            <w:pPr>
              <w:widowControl w:val="0"/>
              <w:jc w:val="center"/>
              <w:rPr>
                <w:b/>
                <w:sz w:val="16"/>
                <w:szCs w:val="16"/>
                <w:lang w:val="es-ES_tradnl"/>
              </w:rPr>
            </w:pPr>
            <w:r w:rsidRPr="009577DE">
              <w:rPr>
                <w:b/>
                <w:color w:val="008000"/>
                <w:sz w:val="16"/>
                <w:szCs w:val="16"/>
                <w:lang w:val="es-ES_tradnl"/>
              </w:rPr>
              <w:t>Progresa con normalidad</w:t>
            </w:r>
          </w:p>
          <w:p w:rsidR="00B070BF" w:rsidRPr="009577DE" w:rsidRDefault="00B070BF" w:rsidP="00C33D4A">
            <w:pPr>
              <w:widowControl w:val="0"/>
              <w:jc w:val="center"/>
              <w:rPr>
                <w:b/>
                <w:sz w:val="16"/>
                <w:szCs w:val="16"/>
                <w:lang w:val="es-ES_tradnl"/>
              </w:rPr>
            </w:pPr>
          </w:p>
          <w:p w:rsidR="00B070BF" w:rsidRPr="009577DE" w:rsidRDefault="00B070BF" w:rsidP="00C33D4A">
            <w:pPr>
              <w:widowControl w:val="0"/>
              <w:jc w:val="center"/>
              <w:rPr>
                <w:b/>
                <w:sz w:val="16"/>
                <w:szCs w:val="16"/>
                <w:lang w:val="es-ES_tradnl"/>
              </w:rPr>
            </w:pPr>
          </w:p>
        </w:tc>
      </w:tr>
      <w:tr w:rsidR="00B070BF" w:rsidRPr="009577DE" w:rsidTr="00C33D4A">
        <w:trPr>
          <w:cantSplit/>
        </w:trPr>
        <w:tc>
          <w:tcPr>
            <w:tcW w:w="960" w:type="pct"/>
            <w:shd w:val="clear" w:color="auto" w:fill="auto"/>
          </w:tcPr>
          <w:p w:rsidR="00B070BF" w:rsidRPr="009577DE" w:rsidRDefault="00B070BF" w:rsidP="00C33D4A">
            <w:pPr>
              <w:widowControl w:val="0"/>
              <w:rPr>
                <w:sz w:val="16"/>
                <w:szCs w:val="16"/>
                <w:lang w:val="es-ES_tradnl"/>
              </w:rPr>
            </w:pPr>
            <w:r w:rsidRPr="009577DE">
              <w:rPr>
                <w:sz w:val="16"/>
                <w:szCs w:val="16"/>
                <w:lang w:val="es-ES_tradnl"/>
              </w:rPr>
              <w:t>Índice de satisfacción de los Estados miembros respecto de la preparación y funcionamiento de las Asambleas.</w:t>
            </w:r>
          </w:p>
        </w:tc>
        <w:tc>
          <w:tcPr>
            <w:tcW w:w="1106" w:type="pct"/>
            <w:shd w:val="clear" w:color="auto" w:fill="C0C0C0"/>
          </w:tcPr>
          <w:p w:rsidR="00B070BF" w:rsidRPr="009577DE" w:rsidRDefault="00B070BF" w:rsidP="00C33D4A">
            <w:pPr>
              <w:widowControl w:val="0"/>
              <w:rPr>
                <w:sz w:val="16"/>
                <w:szCs w:val="16"/>
                <w:lang w:val="es-ES_tradnl"/>
              </w:rPr>
            </w:pPr>
            <w:r w:rsidRPr="009577DE">
              <w:rPr>
                <w:sz w:val="16"/>
                <w:szCs w:val="16"/>
                <w:lang w:val="es-ES_tradnl"/>
              </w:rPr>
              <w:t>No se dispone de datos.</w:t>
            </w:r>
          </w:p>
        </w:tc>
        <w:tc>
          <w:tcPr>
            <w:tcW w:w="834" w:type="pct"/>
            <w:gridSpan w:val="3"/>
            <w:shd w:val="clear" w:color="auto" w:fill="auto"/>
            <w:tcMar>
              <w:top w:w="110" w:type="dxa"/>
            </w:tcMar>
          </w:tcPr>
          <w:p w:rsidR="00B070BF" w:rsidRPr="009577DE" w:rsidRDefault="00B070BF" w:rsidP="00C33D4A">
            <w:pPr>
              <w:widowControl w:val="0"/>
              <w:rPr>
                <w:sz w:val="16"/>
                <w:szCs w:val="16"/>
                <w:highlight w:val="cyan"/>
                <w:lang w:val="es-ES_tradnl"/>
              </w:rPr>
            </w:pPr>
          </w:p>
        </w:tc>
        <w:tc>
          <w:tcPr>
            <w:tcW w:w="1533" w:type="pct"/>
            <w:shd w:val="clear" w:color="auto" w:fill="FFFFFF"/>
            <w:tcMar>
              <w:top w:w="110" w:type="dxa"/>
            </w:tcMar>
          </w:tcPr>
          <w:p w:rsidR="00B070BF" w:rsidRPr="009577DE" w:rsidRDefault="00B070BF" w:rsidP="00C33D4A">
            <w:pPr>
              <w:widowControl w:val="0"/>
              <w:rPr>
                <w:sz w:val="16"/>
                <w:szCs w:val="16"/>
                <w:lang w:val="es-ES_tradnl"/>
              </w:rPr>
            </w:pPr>
            <w:r w:rsidRPr="009577DE">
              <w:rPr>
                <w:sz w:val="16"/>
                <w:szCs w:val="16"/>
                <w:lang w:val="es-ES_tradnl"/>
              </w:rPr>
              <w:t xml:space="preserve">Un 88%, según una encuesta de las Asambleas de los Estados miembros de la OMPI realizada en 2012. </w:t>
            </w:r>
          </w:p>
          <w:p w:rsidR="00B070BF" w:rsidRPr="009577DE" w:rsidRDefault="00B070BF" w:rsidP="00C33D4A">
            <w:pPr>
              <w:widowControl w:val="0"/>
              <w:rPr>
                <w:sz w:val="16"/>
                <w:szCs w:val="16"/>
                <w:lang w:val="es-ES_tradnl"/>
              </w:rPr>
            </w:pPr>
          </w:p>
          <w:p w:rsidR="00B070BF" w:rsidRPr="009577DE" w:rsidRDefault="00B070BF" w:rsidP="00C33D4A">
            <w:pPr>
              <w:widowControl w:val="0"/>
              <w:rPr>
                <w:sz w:val="16"/>
                <w:szCs w:val="16"/>
                <w:lang w:val="es-ES_tradnl"/>
              </w:rPr>
            </w:pPr>
          </w:p>
          <w:p w:rsidR="00B070BF" w:rsidRPr="009577DE" w:rsidRDefault="00B070BF" w:rsidP="00C33D4A">
            <w:pPr>
              <w:widowControl w:val="0"/>
              <w:rPr>
                <w:sz w:val="16"/>
                <w:szCs w:val="16"/>
                <w:lang w:val="es-ES_tradnl"/>
              </w:rPr>
            </w:pPr>
          </w:p>
          <w:p w:rsidR="00B070BF" w:rsidRPr="009577DE" w:rsidRDefault="00B070BF" w:rsidP="00C33D4A">
            <w:pPr>
              <w:widowControl w:val="0"/>
              <w:rPr>
                <w:sz w:val="16"/>
                <w:szCs w:val="16"/>
                <w:lang w:val="es-ES_tradnl"/>
              </w:rPr>
            </w:pPr>
          </w:p>
          <w:p w:rsidR="00B070BF" w:rsidRPr="009577DE" w:rsidRDefault="00B070BF" w:rsidP="00C33D4A">
            <w:pPr>
              <w:widowControl w:val="0"/>
              <w:rPr>
                <w:sz w:val="16"/>
                <w:szCs w:val="16"/>
                <w:lang w:val="es-ES_tradnl"/>
              </w:rPr>
            </w:pPr>
          </w:p>
        </w:tc>
        <w:tc>
          <w:tcPr>
            <w:tcW w:w="567" w:type="pct"/>
            <w:shd w:val="clear" w:color="auto" w:fill="auto"/>
            <w:tcMar>
              <w:top w:w="110" w:type="dxa"/>
            </w:tcMar>
          </w:tcPr>
          <w:p w:rsidR="00B070BF" w:rsidRPr="009577DE" w:rsidRDefault="00B070BF" w:rsidP="00C33D4A">
            <w:pPr>
              <w:widowControl w:val="0"/>
              <w:jc w:val="center"/>
              <w:rPr>
                <w:b/>
                <w:sz w:val="16"/>
                <w:szCs w:val="16"/>
                <w:lang w:val="es-ES_tradnl"/>
              </w:rPr>
            </w:pPr>
            <w:r w:rsidRPr="009577DE">
              <w:rPr>
                <w:b/>
                <w:color w:val="008000"/>
                <w:sz w:val="16"/>
                <w:szCs w:val="16"/>
                <w:lang w:val="es-ES_tradnl"/>
              </w:rPr>
              <w:t>Progresa con normalidad</w:t>
            </w:r>
          </w:p>
          <w:p w:rsidR="00B070BF" w:rsidRPr="009577DE" w:rsidRDefault="00B070BF" w:rsidP="00C33D4A">
            <w:pPr>
              <w:widowControl w:val="0"/>
              <w:jc w:val="center"/>
              <w:rPr>
                <w:b/>
                <w:sz w:val="16"/>
                <w:szCs w:val="16"/>
                <w:lang w:val="es-ES_tradnl"/>
              </w:rPr>
            </w:pPr>
          </w:p>
          <w:p w:rsidR="00B070BF" w:rsidRPr="009577DE" w:rsidRDefault="00B070BF" w:rsidP="00C33D4A">
            <w:pPr>
              <w:widowControl w:val="0"/>
              <w:jc w:val="center"/>
              <w:rPr>
                <w:b/>
                <w:sz w:val="16"/>
                <w:szCs w:val="16"/>
                <w:lang w:val="es-ES_tradnl"/>
              </w:rPr>
            </w:pPr>
          </w:p>
        </w:tc>
      </w:tr>
      <w:tr w:rsidR="00B070BF" w:rsidRPr="009577DE" w:rsidTr="00C33D4A">
        <w:trPr>
          <w:cantSplit/>
        </w:trPr>
        <w:tc>
          <w:tcPr>
            <w:tcW w:w="960" w:type="pct"/>
            <w:tcBorders>
              <w:bottom w:val="single" w:sz="4" w:space="0" w:color="auto"/>
            </w:tcBorders>
            <w:shd w:val="clear" w:color="auto" w:fill="auto"/>
          </w:tcPr>
          <w:p w:rsidR="00B070BF" w:rsidRPr="009577DE" w:rsidRDefault="00B070BF" w:rsidP="00C33D4A">
            <w:pPr>
              <w:widowControl w:val="0"/>
              <w:rPr>
                <w:sz w:val="16"/>
                <w:szCs w:val="16"/>
                <w:lang w:val="es-ES_tradnl"/>
              </w:rPr>
            </w:pPr>
            <w:r w:rsidRPr="009577DE">
              <w:rPr>
                <w:sz w:val="16"/>
                <w:szCs w:val="16"/>
                <w:lang w:val="es-ES_tradnl"/>
              </w:rPr>
              <w:t>Publicación puntual de los documentos de las Asambleas.</w:t>
            </w:r>
          </w:p>
        </w:tc>
        <w:tc>
          <w:tcPr>
            <w:tcW w:w="1106" w:type="pct"/>
            <w:tcBorders>
              <w:bottom w:val="single" w:sz="4" w:space="0" w:color="auto"/>
            </w:tcBorders>
            <w:shd w:val="clear" w:color="auto" w:fill="C0C0C0"/>
          </w:tcPr>
          <w:p w:rsidR="00B070BF" w:rsidRPr="009577DE" w:rsidRDefault="00B070BF" w:rsidP="00C33D4A">
            <w:pPr>
              <w:widowControl w:val="0"/>
              <w:rPr>
                <w:sz w:val="16"/>
                <w:szCs w:val="16"/>
                <w:lang w:val="es-ES_tradnl"/>
              </w:rPr>
            </w:pPr>
            <w:r w:rsidRPr="009577DE">
              <w:rPr>
                <w:sz w:val="16"/>
                <w:szCs w:val="16"/>
                <w:lang w:val="es-ES_tradnl"/>
              </w:rPr>
              <w:t>90% de los documentos publicados al menos dos meses antes de las Asambleas.</w:t>
            </w:r>
          </w:p>
        </w:tc>
        <w:tc>
          <w:tcPr>
            <w:tcW w:w="717" w:type="pct"/>
            <w:gridSpan w:val="2"/>
            <w:tcBorders>
              <w:bottom w:val="single" w:sz="4" w:space="0" w:color="auto"/>
            </w:tcBorders>
            <w:shd w:val="clear" w:color="auto" w:fill="auto"/>
            <w:tcMar>
              <w:top w:w="110" w:type="dxa"/>
            </w:tcMar>
          </w:tcPr>
          <w:p w:rsidR="00B070BF" w:rsidRPr="009577DE" w:rsidRDefault="00B070BF" w:rsidP="00C33D4A">
            <w:pPr>
              <w:widowControl w:val="0"/>
              <w:rPr>
                <w:sz w:val="16"/>
                <w:szCs w:val="16"/>
                <w:highlight w:val="cyan"/>
                <w:lang w:val="es-ES_tradnl"/>
              </w:rPr>
            </w:pPr>
          </w:p>
        </w:tc>
        <w:tc>
          <w:tcPr>
            <w:tcW w:w="1650" w:type="pct"/>
            <w:gridSpan w:val="2"/>
            <w:tcBorders>
              <w:bottom w:val="single" w:sz="4" w:space="0" w:color="auto"/>
            </w:tcBorders>
            <w:shd w:val="clear" w:color="auto" w:fill="FFFFFF"/>
            <w:tcMar>
              <w:top w:w="110" w:type="dxa"/>
            </w:tcMar>
          </w:tcPr>
          <w:p w:rsidR="00B070BF" w:rsidRPr="009577DE" w:rsidRDefault="00B070BF" w:rsidP="00C33D4A">
            <w:pPr>
              <w:widowControl w:val="0"/>
              <w:ind w:left="162"/>
              <w:rPr>
                <w:sz w:val="16"/>
                <w:szCs w:val="16"/>
                <w:lang w:val="es-ES_tradnl"/>
              </w:rPr>
            </w:pPr>
            <w:r w:rsidRPr="009577DE">
              <w:rPr>
                <w:sz w:val="16"/>
                <w:szCs w:val="16"/>
                <w:lang w:val="es-ES_tradnl"/>
              </w:rPr>
              <w:t>Para las Asambleas de los Estados miembros de 2012, todos los documentos se publicaron por lo menos dos meses antes de su celebración.  No fue así en el caso de aquellos documentos que, por su naturaleza, se publican siempre en una fecha más cercana a la de las Asambleas (p. ej., la lista de participantes, la lista de documentos, la lista de las mesas o el resumen de las decisiones del Comité del Programa y Presupuesto (PBC) de septiembre.</w:t>
            </w:r>
          </w:p>
          <w:p w:rsidR="00B070BF" w:rsidRPr="009577DE" w:rsidRDefault="00B070BF" w:rsidP="00C33D4A">
            <w:pPr>
              <w:widowControl w:val="0"/>
              <w:rPr>
                <w:sz w:val="16"/>
                <w:szCs w:val="16"/>
                <w:lang w:val="es-ES_tradnl"/>
              </w:rPr>
            </w:pPr>
          </w:p>
        </w:tc>
        <w:tc>
          <w:tcPr>
            <w:tcW w:w="567" w:type="pct"/>
            <w:tcBorders>
              <w:bottom w:val="single" w:sz="4" w:space="0" w:color="auto"/>
            </w:tcBorders>
            <w:shd w:val="clear" w:color="auto" w:fill="auto"/>
            <w:tcMar>
              <w:top w:w="110" w:type="dxa"/>
            </w:tcMar>
          </w:tcPr>
          <w:p w:rsidR="00B070BF" w:rsidRPr="009577DE" w:rsidRDefault="00B070BF" w:rsidP="00C33D4A">
            <w:pPr>
              <w:widowControl w:val="0"/>
              <w:jc w:val="center"/>
              <w:rPr>
                <w:b/>
                <w:sz w:val="16"/>
                <w:szCs w:val="16"/>
                <w:lang w:val="es-ES_tradnl"/>
              </w:rPr>
            </w:pPr>
            <w:r w:rsidRPr="009577DE">
              <w:rPr>
                <w:b/>
                <w:color w:val="008000"/>
                <w:sz w:val="16"/>
                <w:szCs w:val="16"/>
                <w:lang w:val="es-ES_tradnl"/>
              </w:rPr>
              <w:t>Progresa con normalidad</w:t>
            </w:r>
          </w:p>
          <w:p w:rsidR="00B070BF" w:rsidRPr="009577DE" w:rsidRDefault="00B070BF" w:rsidP="00C33D4A">
            <w:pPr>
              <w:widowControl w:val="0"/>
              <w:jc w:val="center"/>
              <w:rPr>
                <w:b/>
                <w:sz w:val="16"/>
                <w:szCs w:val="16"/>
                <w:lang w:val="es-ES_tradnl"/>
              </w:rPr>
            </w:pPr>
          </w:p>
          <w:p w:rsidR="00B070BF" w:rsidRPr="009577DE" w:rsidRDefault="00B070BF" w:rsidP="00C33D4A">
            <w:pPr>
              <w:widowControl w:val="0"/>
              <w:jc w:val="center"/>
              <w:rPr>
                <w:b/>
                <w:sz w:val="16"/>
                <w:szCs w:val="16"/>
                <w:lang w:val="es-ES_tradnl"/>
              </w:rPr>
            </w:pPr>
          </w:p>
        </w:tc>
      </w:tr>
      <w:tr w:rsidR="00B070BF" w:rsidRPr="009577DE" w:rsidTr="00C33D4A">
        <w:trPr>
          <w:cantSplit/>
        </w:trPr>
        <w:tc>
          <w:tcPr>
            <w:tcW w:w="5000" w:type="pct"/>
            <w:gridSpan w:val="7"/>
            <w:tcBorders>
              <w:top w:val="single" w:sz="4" w:space="0" w:color="auto"/>
              <w:bottom w:val="single" w:sz="4" w:space="0" w:color="auto"/>
            </w:tcBorders>
            <w:shd w:val="clear" w:color="auto" w:fill="CCFFFF"/>
            <w:vAlign w:val="center"/>
          </w:tcPr>
          <w:p w:rsidR="00B070BF" w:rsidRPr="009577DE" w:rsidRDefault="00B070BF" w:rsidP="00C33D4A">
            <w:pPr>
              <w:widowControl w:val="0"/>
              <w:spacing w:before="120" w:after="120"/>
              <w:ind w:left="1735" w:hanging="1735"/>
              <w:rPr>
                <w:b/>
                <w:bCs/>
                <w:sz w:val="16"/>
                <w:szCs w:val="16"/>
                <w:lang w:val="es-ES_tradnl"/>
              </w:rPr>
            </w:pPr>
            <w:r w:rsidRPr="009577DE">
              <w:rPr>
                <w:b/>
                <w:bCs/>
                <w:sz w:val="16"/>
                <w:szCs w:val="16"/>
                <w:lang w:val="es-ES_tradnl"/>
              </w:rPr>
              <w:t>Resultado previsto:</w:t>
            </w:r>
            <w:r w:rsidRPr="009577DE">
              <w:rPr>
                <w:b/>
                <w:bCs/>
                <w:sz w:val="16"/>
                <w:szCs w:val="16"/>
                <w:lang w:val="es-ES_tradnl"/>
              </w:rPr>
              <w:tab/>
            </w:r>
            <w:r w:rsidRPr="009577DE">
              <w:rPr>
                <w:bCs/>
                <w:sz w:val="16"/>
                <w:szCs w:val="16"/>
                <w:lang w:val="es-ES_tradnl"/>
              </w:rPr>
              <w:t xml:space="preserve"> Mayor coordinación y coherencia en el seno de la Secretaría.</w:t>
            </w:r>
          </w:p>
        </w:tc>
      </w:tr>
      <w:tr w:rsidR="00B070BF" w:rsidRPr="009577DE" w:rsidTr="00C33D4A">
        <w:trPr>
          <w:cantSplit/>
        </w:trPr>
        <w:tc>
          <w:tcPr>
            <w:tcW w:w="960" w:type="pct"/>
            <w:tcBorders>
              <w:top w:val="single" w:sz="4" w:space="0" w:color="auto"/>
            </w:tcBorders>
            <w:shd w:val="clear" w:color="auto" w:fill="auto"/>
            <w:vAlign w:val="center"/>
          </w:tcPr>
          <w:p w:rsidR="00B070BF" w:rsidRPr="009577DE" w:rsidRDefault="00B070BF" w:rsidP="00C33D4A">
            <w:pPr>
              <w:widowControl w:val="0"/>
              <w:spacing w:after="120"/>
              <w:rPr>
                <w:sz w:val="16"/>
                <w:szCs w:val="16"/>
                <w:lang w:val="es-ES_tradnl"/>
              </w:rPr>
            </w:pPr>
            <w:r w:rsidRPr="009577DE">
              <w:rPr>
                <w:b/>
                <w:bCs/>
                <w:sz w:val="16"/>
                <w:szCs w:val="16"/>
                <w:lang w:val="es-ES_tradnl"/>
              </w:rPr>
              <w:t>Indicadores de rendimiento</w:t>
            </w:r>
          </w:p>
        </w:tc>
        <w:tc>
          <w:tcPr>
            <w:tcW w:w="1106" w:type="pct"/>
            <w:tcBorders>
              <w:top w:val="single" w:sz="4" w:space="0" w:color="auto"/>
            </w:tcBorders>
            <w:shd w:val="clear" w:color="auto" w:fill="C0C0C0"/>
          </w:tcPr>
          <w:p w:rsidR="00B070BF" w:rsidRPr="009577DE" w:rsidRDefault="00B070BF" w:rsidP="00C33D4A">
            <w:pPr>
              <w:widowControl w:val="0"/>
              <w:spacing w:after="120"/>
              <w:rPr>
                <w:b/>
                <w:bCs/>
                <w:sz w:val="16"/>
                <w:szCs w:val="16"/>
                <w:lang w:val="es-ES_tradnl"/>
              </w:rPr>
            </w:pPr>
            <w:r w:rsidRPr="009577DE">
              <w:rPr>
                <w:b/>
                <w:bCs/>
                <w:sz w:val="16"/>
                <w:szCs w:val="16"/>
                <w:lang w:val="es-ES_tradnl"/>
              </w:rPr>
              <w:t>Referencia (</w:t>
            </w:r>
            <w:proofErr w:type="spellStart"/>
            <w:r w:rsidRPr="009577DE">
              <w:rPr>
                <w:b/>
                <w:bCs/>
                <w:sz w:val="16"/>
                <w:szCs w:val="16"/>
                <w:lang w:val="es-ES_tradnl"/>
              </w:rPr>
              <w:t>Presup</w:t>
            </w:r>
            <w:proofErr w:type="spellEnd"/>
            <w:r w:rsidRPr="009577DE">
              <w:rPr>
                <w:b/>
                <w:bCs/>
                <w:sz w:val="16"/>
                <w:szCs w:val="16"/>
                <w:lang w:val="es-ES_tradnl"/>
              </w:rPr>
              <w:t xml:space="preserve">. por </w:t>
            </w:r>
            <w:proofErr w:type="spellStart"/>
            <w:r w:rsidRPr="009577DE">
              <w:rPr>
                <w:b/>
                <w:bCs/>
                <w:sz w:val="16"/>
                <w:szCs w:val="16"/>
                <w:lang w:val="es-ES_tradnl"/>
              </w:rPr>
              <w:t>prog</w:t>
            </w:r>
            <w:proofErr w:type="spellEnd"/>
            <w:r w:rsidRPr="009577DE">
              <w:rPr>
                <w:b/>
                <w:bCs/>
                <w:sz w:val="16"/>
                <w:szCs w:val="16"/>
                <w:lang w:val="es-ES_tradnl"/>
              </w:rPr>
              <w:t>. 2012/13)</w:t>
            </w:r>
          </w:p>
        </w:tc>
        <w:tc>
          <w:tcPr>
            <w:tcW w:w="778" w:type="pct"/>
            <w:gridSpan w:val="3"/>
            <w:tcBorders>
              <w:top w:val="single" w:sz="4" w:space="0" w:color="auto"/>
            </w:tcBorders>
            <w:shd w:val="clear" w:color="auto" w:fill="auto"/>
            <w:tcMar>
              <w:top w:w="110" w:type="dxa"/>
            </w:tcMar>
            <w:vAlign w:val="center"/>
          </w:tcPr>
          <w:p w:rsidR="00B070BF" w:rsidRPr="009577DE" w:rsidRDefault="00B070BF" w:rsidP="00C33D4A">
            <w:pPr>
              <w:widowControl w:val="0"/>
              <w:spacing w:after="120"/>
              <w:rPr>
                <w:b/>
                <w:sz w:val="16"/>
                <w:szCs w:val="16"/>
                <w:lang w:val="es-ES_tradnl"/>
              </w:rPr>
            </w:pPr>
            <w:r w:rsidRPr="00BF138D">
              <w:rPr>
                <w:b/>
                <w:color w:val="993300"/>
                <w:sz w:val="16"/>
                <w:szCs w:val="16"/>
                <w:lang w:val="es-ES_tradnl"/>
              </w:rPr>
              <w:t>Referencia actualizada a finales de 2011</w:t>
            </w:r>
            <w:r w:rsidRPr="009577DE">
              <w:rPr>
                <w:b/>
                <w:sz w:val="16"/>
                <w:szCs w:val="16"/>
                <w:lang w:val="es-ES_tradnl"/>
              </w:rPr>
              <w:t xml:space="preserve"> </w:t>
            </w:r>
          </w:p>
        </w:tc>
        <w:tc>
          <w:tcPr>
            <w:tcW w:w="1589" w:type="pct"/>
            <w:tcBorders>
              <w:top w:val="single" w:sz="4" w:space="0" w:color="auto"/>
            </w:tcBorders>
            <w:shd w:val="clear" w:color="auto" w:fill="FFFFFF"/>
            <w:tcMar>
              <w:top w:w="110" w:type="dxa"/>
            </w:tcMar>
            <w:vAlign w:val="center"/>
          </w:tcPr>
          <w:p w:rsidR="00B070BF" w:rsidRPr="009577DE" w:rsidRDefault="00B070BF" w:rsidP="00C33D4A">
            <w:pPr>
              <w:widowControl w:val="0"/>
              <w:spacing w:after="120"/>
              <w:rPr>
                <w:sz w:val="16"/>
                <w:szCs w:val="16"/>
                <w:lang w:val="es-ES_tradnl"/>
              </w:rPr>
            </w:pPr>
            <w:r w:rsidRPr="009577DE">
              <w:rPr>
                <w:b/>
                <w:bCs/>
                <w:sz w:val="16"/>
                <w:szCs w:val="16"/>
                <w:lang w:val="es-ES_tradnl"/>
              </w:rPr>
              <w:t>Datos sobre el rendimiento</w:t>
            </w:r>
          </w:p>
        </w:tc>
        <w:tc>
          <w:tcPr>
            <w:tcW w:w="567" w:type="pct"/>
            <w:tcBorders>
              <w:top w:val="single" w:sz="4" w:space="0" w:color="auto"/>
            </w:tcBorders>
            <w:shd w:val="clear" w:color="auto" w:fill="auto"/>
            <w:tcMar>
              <w:top w:w="110" w:type="dxa"/>
            </w:tcMar>
            <w:vAlign w:val="center"/>
          </w:tcPr>
          <w:p w:rsidR="00B070BF" w:rsidRPr="009577DE" w:rsidRDefault="00B070BF" w:rsidP="00C33D4A">
            <w:pPr>
              <w:widowControl w:val="0"/>
              <w:spacing w:after="120"/>
              <w:jc w:val="center"/>
              <w:rPr>
                <w:b/>
                <w:bCs/>
                <w:sz w:val="16"/>
                <w:szCs w:val="16"/>
                <w:lang w:val="es-ES_tradnl"/>
              </w:rPr>
            </w:pPr>
            <w:r w:rsidRPr="009577DE">
              <w:rPr>
                <w:b/>
                <w:bCs/>
                <w:sz w:val="16"/>
                <w:szCs w:val="16"/>
                <w:lang w:val="es-ES_tradnl"/>
              </w:rPr>
              <w:t>Clave de colores</w:t>
            </w:r>
          </w:p>
        </w:tc>
      </w:tr>
      <w:tr w:rsidR="00B070BF" w:rsidRPr="009577DE" w:rsidTr="00C33D4A">
        <w:trPr>
          <w:cantSplit/>
        </w:trPr>
        <w:tc>
          <w:tcPr>
            <w:tcW w:w="960" w:type="pct"/>
            <w:shd w:val="clear" w:color="auto" w:fill="auto"/>
          </w:tcPr>
          <w:p w:rsidR="00B070BF" w:rsidRPr="009577DE" w:rsidRDefault="00B070BF" w:rsidP="00C33D4A">
            <w:pPr>
              <w:widowControl w:val="0"/>
              <w:rPr>
                <w:sz w:val="16"/>
                <w:szCs w:val="16"/>
                <w:lang w:val="es-ES_tradnl"/>
              </w:rPr>
            </w:pPr>
            <w:r w:rsidRPr="009577DE">
              <w:rPr>
                <w:sz w:val="16"/>
                <w:szCs w:val="16"/>
                <w:lang w:val="es-ES_tradnl"/>
              </w:rPr>
              <w:t xml:space="preserve">Finalización del programa de alineación estratégica. </w:t>
            </w:r>
          </w:p>
        </w:tc>
        <w:tc>
          <w:tcPr>
            <w:tcW w:w="1106" w:type="pct"/>
            <w:shd w:val="clear" w:color="auto" w:fill="C0C0C0"/>
          </w:tcPr>
          <w:p w:rsidR="00B070BF" w:rsidRPr="009577DE" w:rsidRDefault="00B070BF" w:rsidP="00C33D4A">
            <w:pPr>
              <w:widowControl w:val="0"/>
              <w:rPr>
                <w:sz w:val="16"/>
                <w:szCs w:val="16"/>
                <w:lang w:val="es-ES_tradnl"/>
              </w:rPr>
            </w:pPr>
            <w:r w:rsidRPr="009577DE">
              <w:rPr>
                <w:sz w:val="16"/>
                <w:szCs w:val="16"/>
                <w:lang w:val="es-ES_tradnl"/>
              </w:rPr>
              <w:t>Se ha llevado a cabo en 2010 1 de las 19 iniciativas.</w:t>
            </w:r>
          </w:p>
        </w:tc>
        <w:tc>
          <w:tcPr>
            <w:tcW w:w="778" w:type="pct"/>
            <w:gridSpan w:val="3"/>
            <w:shd w:val="clear" w:color="auto" w:fill="auto"/>
            <w:tcMar>
              <w:top w:w="110" w:type="dxa"/>
            </w:tcMar>
          </w:tcPr>
          <w:p w:rsidR="00B070BF" w:rsidRPr="00F2661C" w:rsidRDefault="00B070BF" w:rsidP="00C33D4A">
            <w:pPr>
              <w:widowControl w:val="0"/>
              <w:rPr>
                <w:color w:val="993300"/>
                <w:sz w:val="16"/>
                <w:szCs w:val="16"/>
                <w:lang w:val="es-ES_tradnl"/>
              </w:rPr>
            </w:pPr>
            <w:r w:rsidRPr="00F2661C">
              <w:rPr>
                <w:color w:val="993300"/>
                <w:sz w:val="16"/>
                <w:szCs w:val="16"/>
                <w:lang w:val="es-ES_tradnl"/>
              </w:rPr>
              <w:t>Se ha llevado a cabo 1 de las 19 iniciativas (examen de mitad de período del Plan estratégico).</w:t>
            </w:r>
          </w:p>
        </w:tc>
        <w:tc>
          <w:tcPr>
            <w:tcW w:w="1589" w:type="pct"/>
            <w:shd w:val="clear" w:color="auto" w:fill="FFFFFF"/>
            <w:tcMar>
              <w:top w:w="110" w:type="dxa"/>
            </w:tcMar>
          </w:tcPr>
          <w:p w:rsidR="00B070BF" w:rsidRPr="009577DE" w:rsidRDefault="00B070BF" w:rsidP="00C33D4A">
            <w:pPr>
              <w:widowControl w:val="0"/>
              <w:rPr>
                <w:sz w:val="16"/>
                <w:szCs w:val="16"/>
                <w:lang w:val="es-ES_tradnl"/>
              </w:rPr>
            </w:pPr>
            <w:r w:rsidRPr="009577DE">
              <w:rPr>
                <w:sz w:val="16"/>
                <w:szCs w:val="16"/>
                <w:lang w:val="es-ES_tradnl"/>
              </w:rPr>
              <w:t>Se han llevado a cabo 16 de las 19 iniciativas (siguen en curso las relativas a la PRI, la comunicaciones internas, la gestión de riesgos y los controles internos).</w:t>
            </w:r>
          </w:p>
          <w:p w:rsidR="00B070BF" w:rsidRPr="009577DE" w:rsidRDefault="00B070BF" w:rsidP="00C33D4A">
            <w:pPr>
              <w:widowControl w:val="0"/>
              <w:rPr>
                <w:sz w:val="16"/>
                <w:szCs w:val="16"/>
                <w:lang w:val="es-ES_tradnl"/>
              </w:rPr>
            </w:pPr>
          </w:p>
        </w:tc>
        <w:tc>
          <w:tcPr>
            <w:tcW w:w="567" w:type="pct"/>
            <w:shd w:val="clear" w:color="auto" w:fill="auto"/>
            <w:tcMar>
              <w:top w:w="110" w:type="dxa"/>
            </w:tcMar>
          </w:tcPr>
          <w:p w:rsidR="00B070BF" w:rsidRPr="009577DE" w:rsidRDefault="00B070BF" w:rsidP="00C33D4A">
            <w:pPr>
              <w:widowControl w:val="0"/>
              <w:jc w:val="center"/>
              <w:rPr>
                <w:b/>
                <w:sz w:val="16"/>
                <w:szCs w:val="16"/>
                <w:lang w:val="es-ES_tradnl"/>
              </w:rPr>
            </w:pPr>
            <w:r w:rsidRPr="009577DE">
              <w:rPr>
                <w:b/>
                <w:color w:val="008000"/>
                <w:sz w:val="16"/>
                <w:szCs w:val="16"/>
                <w:lang w:val="es-ES_tradnl"/>
              </w:rPr>
              <w:t>Progresa con normalidad</w:t>
            </w:r>
          </w:p>
          <w:p w:rsidR="00B070BF" w:rsidRPr="009577DE" w:rsidRDefault="00B070BF" w:rsidP="00C33D4A">
            <w:pPr>
              <w:widowControl w:val="0"/>
              <w:jc w:val="center"/>
              <w:rPr>
                <w:b/>
                <w:sz w:val="16"/>
                <w:szCs w:val="16"/>
                <w:lang w:val="es-ES_tradnl"/>
              </w:rPr>
            </w:pPr>
          </w:p>
          <w:p w:rsidR="00B070BF" w:rsidRPr="009577DE" w:rsidRDefault="00B070BF" w:rsidP="00C33D4A">
            <w:pPr>
              <w:widowControl w:val="0"/>
              <w:jc w:val="center"/>
              <w:rPr>
                <w:b/>
                <w:sz w:val="16"/>
                <w:szCs w:val="16"/>
                <w:lang w:val="es-ES_tradnl"/>
              </w:rPr>
            </w:pPr>
          </w:p>
        </w:tc>
      </w:tr>
      <w:tr w:rsidR="00B070BF" w:rsidRPr="009577DE" w:rsidTr="00C33D4A">
        <w:trPr>
          <w:cantSplit/>
        </w:trPr>
        <w:tc>
          <w:tcPr>
            <w:tcW w:w="960" w:type="pct"/>
            <w:shd w:val="clear" w:color="auto" w:fill="auto"/>
          </w:tcPr>
          <w:p w:rsidR="00B070BF" w:rsidRPr="009577DE" w:rsidRDefault="00B070BF" w:rsidP="00C33D4A">
            <w:pPr>
              <w:widowControl w:val="0"/>
              <w:rPr>
                <w:sz w:val="16"/>
                <w:szCs w:val="16"/>
                <w:lang w:val="es-ES_tradnl"/>
              </w:rPr>
            </w:pPr>
            <w:r w:rsidRPr="009577DE">
              <w:rPr>
                <w:sz w:val="16"/>
                <w:szCs w:val="16"/>
                <w:lang w:val="es-ES_tradnl"/>
              </w:rPr>
              <w:t>Obtención de los resultados relativos a las prioridades centrales previstas en el programa de alineación estratégica.</w:t>
            </w:r>
          </w:p>
          <w:p w:rsidR="00B070BF" w:rsidRPr="009577DE" w:rsidRDefault="00B070BF" w:rsidP="00C33D4A">
            <w:pPr>
              <w:widowControl w:val="0"/>
              <w:rPr>
                <w:sz w:val="16"/>
                <w:szCs w:val="16"/>
                <w:lang w:val="es-ES_tradnl"/>
              </w:rPr>
            </w:pPr>
            <w:r w:rsidRPr="009577DE">
              <w:rPr>
                <w:sz w:val="16"/>
                <w:szCs w:val="16"/>
                <w:lang w:val="es-ES_tradnl"/>
              </w:rPr>
              <w:t>El personal considera que la OMPI realiza una labor satisfactoria/excelente en relación con el valor especificado.</w:t>
            </w:r>
          </w:p>
        </w:tc>
        <w:tc>
          <w:tcPr>
            <w:tcW w:w="1106" w:type="pct"/>
            <w:shd w:val="clear" w:color="auto" w:fill="C0C0C0"/>
          </w:tcPr>
          <w:p w:rsidR="00B070BF" w:rsidRPr="009577DE" w:rsidRDefault="00B070BF" w:rsidP="00C33D4A">
            <w:pPr>
              <w:widowControl w:val="0"/>
              <w:rPr>
                <w:sz w:val="16"/>
                <w:szCs w:val="16"/>
                <w:lang w:val="es-ES_tradnl"/>
              </w:rPr>
            </w:pPr>
            <w:r w:rsidRPr="009577DE">
              <w:rPr>
                <w:sz w:val="16"/>
                <w:szCs w:val="16"/>
                <w:lang w:val="es-ES_tradnl"/>
              </w:rPr>
              <w:t xml:space="preserve">Véase el Anexo sobre el informe de referencia de base del programa de alineación estratégica (URL). </w:t>
            </w:r>
          </w:p>
          <w:p w:rsidR="00B070BF" w:rsidRPr="009577DE" w:rsidRDefault="00B070BF" w:rsidP="00C33D4A">
            <w:pPr>
              <w:widowControl w:val="0"/>
              <w:rPr>
                <w:sz w:val="16"/>
                <w:szCs w:val="16"/>
                <w:lang w:val="es-ES_tradnl"/>
              </w:rPr>
            </w:pPr>
          </w:p>
        </w:tc>
        <w:tc>
          <w:tcPr>
            <w:tcW w:w="778" w:type="pct"/>
            <w:gridSpan w:val="3"/>
            <w:shd w:val="clear" w:color="auto" w:fill="auto"/>
            <w:tcMar>
              <w:top w:w="110" w:type="dxa"/>
            </w:tcMar>
          </w:tcPr>
          <w:p w:rsidR="00B070BF" w:rsidRPr="00F2661C" w:rsidRDefault="00B070BF" w:rsidP="00C33D4A">
            <w:pPr>
              <w:widowControl w:val="0"/>
              <w:rPr>
                <w:color w:val="993300"/>
                <w:sz w:val="16"/>
                <w:szCs w:val="16"/>
                <w:lang w:val="es-ES_tradnl"/>
              </w:rPr>
            </w:pPr>
            <w:r w:rsidRPr="00F2661C">
              <w:rPr>
                <w:color w:val="993300"/>
                <w:sz w:val="16"/>
                <w:szCs w:val="16"/>
                <w:lang w:val="es-ES_tradnl"/>
              </w:rPr>
              <w:t>Prestación óptima de servicios:  45%*</w:t>
            </w:r>
          </w:p>
          <w:p w:rsidR="00B070BF" w:rsidRPr="00F2661C" w:rsidRDefault="00B070BF" w:rsidP="00C33D4A">
            <w:pPr>
              <w:widowControl w:val="0"/>
              <w:rPr>
                <w:color w:val="993300"/>
                <w:sz w:val="16"/>
                <w:szCs w:val="16"/>
                <w:lang w:val="es-ES_tradnl"/>
              </w:rPr>
            </w:pPr>
            <w:r w:rsidRPr="00F2661C">
              <w:rPr>
                <w:color w:val="993300"/>
                <w:sz w:val="16"/>
                <w:szCs w:val="16"/>
                <w:lang w:val="es-ES_tradnl"/>
              </w:rPr>
              <w:t>Mancomunar esfuerzos:  37%*</w:t>
            </w:r>
          </w:p>
          <w:p w:rsidR="00B070BF" w:rsidRPr="00F2661C" w:rsidRDefault="00B070BF" w:rsidP="00C33D4A">
            <w:pPr>
              <w:widowControl w:val="0"/>
              <w:rPr>
                <w:color w:val="993300"/>
                <w:sz w:val="16"/>
                <w:szCs w:val="16"/>
                <w:lang w:val="es-ES_tradnl"/>
              </w:rPr>
            </w:pPr>
            <w:r w:rsidRPr="00F2661C">
              <w:rPr>
                <w:color w:val="993300"/>
                <w:sz w:val="16"/>
                <w:szCs w:val="16"/>
                <w:lang w:val="es-ES_tradnl"/>
              </w:rPr>
              <w:t>Responsabilidad por los resultados:  68%*</w:t>
            </w:r>
          </w:p>
          <w:p w:rsidR="00B070BF" w:rsidRPr="00F2661C" w:rsidRDefault="00B070BF" w:rsidP="00C33D4A">
            <w:pPr>
              <w:widowControl w:val="0"/>
              <w:rPr>
                <w:color w:val="993300"/>
                <w:sz w:val="16"/>
                <w:szCs w:val="16"/>
                <w:highlight w:val="cyan"/>
                <w:lang w:val="es-ES_tradnl"/>
              </w:rPr>
            </w:pPr>
            <w:r w:rsidRPr="00F2661C">
              <w:rPr>
                <w:color w:val="993300"/>
                <w:sz w:val="16"/>
                <w:szCs w:val="16"/>
                <w:lang w:val="es-ES_tradnl"/>
              </w:rPr>
              <w:t>Responsabilidad medioambiental, social y de buen gobierno:  63%*</w:t>
            </w:r>
          </w:p>
        </w:tc>
        <w:tc>
          <w:tcPr>
            <w:tcW w:w="1589" w:type="pct"/>
            <w:shd w:val="clear" w:color="auto" w:fill="FFFFFF"/>
            <w:tcMar>
              <w:top w:w="110" w:type="dxa"/>
            </w:tcMar>
          </w:tcPr>
          <w:p w:rsidR="00B070BF" w:rsidRPr="007B2931" w:rsidRDefault="00B070BF" w:rsidP="00C33D4A">
            <w:pPr>
              <w:widowControl w:val="0"/>
              <w:rPr>
                <w:sz w:val="16"/>
                <w:szCs w:val="16"/>
                <w:lang w:val="es-ES_tradnl"/>
              </w:rPr>
            </w:pPr>
            <w:r w:rsidRPr="007B2931">
              <w:rPr>
                <w:sz w:val="16"/>
                <w:szCs w:val="16"/>
                <w:lang w:val="es-ES_tradnl"/>
              </w:rPr>
              <w:t xml:space="preserve">Prestación óptima </w:t>
            </w:r>
          </w:p>
          <w:p w:rsidR="00B070BF" w:rsidRPr="007B2931" w:rsidRDefault="00B070BF" w:rsidP="00C33D4A">
            <w:pPr>
              <w:widowControl w:val="0"/>
              <w:spacing w:after="80"/>
              <w:rPr>
                <w:sz w:val="16"/>
                <w:szCs w:val="16"/>
                <w:lang w:val="es-ES_tradnl"/>
              </w:rPr>
            </w:pPr>
            <w:r w:rsidRPr="007B2931">
              <w:rPr>
                <w:sz w:val="16"/>
                <w:szCs w:val="16"/>
                <w:lang w:val="es-ES_tradnl"/>
              </w:rPr>
              <w:t xml:space="preserve">de servicios: </w:t>
            </w:r>
            <w:r w:rsidRPr="007B2931">
              <w:rPr>
                <w:sz w:val="16"/>
                <w:szCs w:val="16"/>
                <w:lang w:val="es-ES_tradnl"/>
              </w:rPr>
              <w:tab/>
              <w:t xml:space="preserve">                    56%</w:t>
            </w:r>
            <w:r w:rsidRPr="007B2931">
              <w:rPr>
                <w:sz w:val="16"/>
                <w:szCs w:val="16"/>
                <w:vertAlign w:val="superscript"/>
                <w:lang w:val="es-ES_tradnl"/>
              </w:rPr>
              <w:footnoteReference w:id="15"/>
            </w:r>
          </w:p>
          <w:p w:rsidR="00B070BF" w:rsidRPr="007B2931" w:rsidRDefault="00B070BF" w:rsidP="00C33D4A">
            <w:pPr>
              <w:widowControl w:val="0"/>
              <w:spacing w:after="80"/>
              <w:rPr>
                <w:sz w:val="16"/>
                <w:szCs w:val="16"/>
                <w:lang w:val="es-ES_tradnl"/>
              </w:rPr>
            </w:pPr>
          </w:p>
          <w:p w:rsidR="00B070BF" w:rsidRPr="007B2931" w:rsidRDefault="00B070BF" w:rsidP="00C33D4A">
            <w:pPr>
              <w:widowControl w:val="0"/>
              <w:spacing w:after="80"/>
              <w:rPr>
                <w:sz w:val="16"/>
                <w:szCs w:val="16"/>
                <w:lang w:val="es-ES_tradnl"/>
              </w:rPr>
            </w:pPr>
            <w:r w:rsidRPr="007B2931">
              <w:rPr>
                <w:sz w:val="16"/>
                <w:szCs w:val="16"/>
                <w:lang w:val="es-ES_tradnl"/>
              </w:rPr>
              <w:t>Mancomunar esfuerzos:       55%</w:t>
            </w:r>
          </w:p>
          <w:p w:rsidR="00B070BF" w:rsidRPr="007B2931" w:rsidRDefault="00B070BF" w:rsidP="00C33D4A">
            <w:pPr>
              <w:widowControl w:val="0"/>
              <w:rPr>
                <w:sz w:val="16"/>
                <w:szCs w:val="16"/>
                <w:lang w:val="es-ES_tradnl"/>
              </w:rPr>
            </w:pPr>
            <w:r w:rsidRPr="007B2931">
              <w:rPr>
                <w:sz w:val="16"/>
                <w:szCs w:val="16"/>
                <w:lang w:val="es-ES_tradnl"/>
              </w:rPr>
              <w:t xml:space="preserve">Responsabilidad por los </w:t>
            </w:r>
          </w:p>
          <w:p w:rsidR="00B070BF" w:rsidRPr="007B2931" w:rsidRDefault="00B070BF" w:rsidP="00C33D4A">
            <w:pPr>
              <w:widowControl w:val="0"/>
              <w:spacing w:after="80"/>
              <w:rPr>
                <w:sz w:val="16"/>
                <w:szCs w:val="16"/>
                <w:lang w:val="es-ES_tradnl"/>
              </w:rPr>
            </w:pPr>
            <w:r w:rsidRPr="007B2931">
              <w:rPr>
                <w:sz w:val="16"/>
                <w:szCs w:val="16"/>
                <w:lang w:val="es-ES_tradnl"/>
              </w:rPr>
              <w:t>resultados:                            80%</w:t>
            </w:r>
          </w:p>
          <w:p w:rsidR="00B070BF" w:rsidRPr="007B2931" w:rsidRDefault="00B070BF" w:rsidP="00C33D4A">
            <w:pPr>
              <w:widowControl w:val="0"/>
              <w:rPr>
                <w:sz w:val="16"/>
                <w:szCs w:val="16"/>
                <w:lang w:val="es-ES_tradnl"/>
              </w:rPr>
            </w:pPr>
            <w:r w:rsidRPr="007B2931">
              <w:rPr>
                <w:sz w:val="16"/>
                <w:szCs w:val="16"/>
                <w:lang w:val="es-ES_tradnl"/>
              </w:rPr>
              <w:t xml:space="preserve">Responsabilidad </w:t>
            </w:r>
          </w:p>
          <w:p w:rsidR="00B070BF" w:rsidRPr="007B2931" w:rsidRDefault="00B070BF" w:rsidP="00C33D4A">
            <w:pPr>
              <w:widowControl w:val="0"/>
              <w:rPr>
                <w:sz w:val="16"/>
                <w:szCs w:val="16"/>
                <w:lang w:val="es-ES_tradnl"/>
              </w:rPr>
            </w:pPr>
            <w:r w:rsidRPr="007B2931">
              <w:rPr>
                <w:sz w:val="16"/>
                <w:szCs w:val="16"/>
                <w:lang w:val="es-ES_tradnl"/>
              </w:rPr>
              <w:t>medioambiental, social y</w:t>
            </w:r>
          </w:p>
          <w:p w:rsidR="00B070BF" w:rsidRPr="007B2931" w:rsidRDefault="00B070BF" w:rsidP="00C33D4A">
            <w:pPr>
              <w:widowControl w:val="0"/>
              <w:rPr>
                <w:sz w:val="16"/>
                <w:szCs w:val="16"/>
                <w:lang w:val="es-ES_tradnl" w:bidi="th-TH"/>
              </w:rPr>
            </w:pPr>
            <w:r w:rsidRPr="007B2931">
              <w:rPr>
                <w:sz w:val="16"/>
                <w:szCs w:val="16"/>
                <w:lang w:val="es-ES_tradnl"/>
              </w:rPr>
              <w:t>de buen gobierno:</w:t>
            </w:r>
            <w:r w:rsidRPr="007B2931">
              <w:rPr>
                <w:sz w:val="16"/>
                <w:szCs w:val="16"/>
                <w:lang w:val="es-ES_tradnl"/>
              </w:rPr>
              <w:tab/>
              <w:t xml:space="preserve">       70%</w:t>
            </w:r>
            <w:r w:rsidRPr="007B2931">
              <w:rPr>
                <w:sz w:val="16"/>
                <w:szCs w:val="16"/>
                <w:vertAlign w:val="superscript"/>
                <w:lang w:val="es-ES_tradnl"/>
              </w:rPr>
              <w:footnoteReference w:id="16"/>
            </w:r>
          </w:p>
        </w:tc>
        <w:tc>
          <w:tcPr>
            <w:tcW w:w="567" w:type="pct"/>
            <w:shd w:val="clear" w:color="auto" w:fill="auto"/>
            <w:tcMar>
              <w:top w:w="110" w:type="dxa"/>
            </w:tcMar>
          </w:tcPr>
          <w:p w:rsidR="00B070BF" w:rsidRPr="007B2931" w:rsidRDefault="00B070BF" w:rsidP="00C33D4A">
            <w:pPr>
              <w:widowControl w:val="0"/>
              <w:jc w:val="center"/>
              <w:rPr>
                <w:b/>
                <w:sz w:val="16"/>
                <w:szCs w:val="16"/>
                <w:lang w:val="es-ES_tradnl"/>
              </w:rPr>
            </w:pPr>
            <w:r w:rsidRPr="007B2931">
              <w:rPr>
                <w:b/>
                <w:color w:val="008000"/>
                <w:sz w:val="16"/>
                <w:szCs w:val="16"/>
                <w:lang w:val="es-ES_tradnl"/>
              </w:rPr>
              <w:t>Progresa con normalidad</w:t>
            </w:r>
          </w:p>
          <w:p w:rsidR="00B070BF" w:rsidRPr="007B2931" w:rsidRDefault="00B070BF" w:rsidP="00C33D4A">
            <w:pPr>
              <w:widowControl w:val="0"/>
              <w:jc w:val="center"/>
              <w:rPr>
                <w:b/>
                <w:sz w:val="16"/>
                <w:szCs w:val="16"/>
                <w:lang w:val="es-ES_tradnl"/>
              </w:rPr>
            </w:pPr>
          </w:p>
          <w:p w:rsidR="00B070BF" w:rsidRPr="007B2931" w:rsidRDefault="00B070BF" w:rsidP="00C33D4A">
            <w:pPr>
              <w:widowControl w:val="0"/>
              <w:jc w:val="center"/>
              <w:rPr>
                <w:b/>
                <w:sz w:val="16"/>
                <w:szCs w:val="16"/>
                <w:lang w:val="es-ES_tradnl"/>
              </w:rPr>
            </w:pPr>
          </w:p>
        </w:tc>
      </w:tr>
      <w:tr w:rsidR="00B070BF" w:rsidRPr="009577DE" w:rsidTr="00C33D4A">
        <w:trPr>
          <w:cantSplit/>
        </w:trPr>
        <w:tc>
          <w:tcPr>
            <w:tcW w:w="960" w:type="pct"/>
            <w:shd w:val="clear" w:color="auto" w:fill="auto"/>
          </w:tcPr>
          <w:p w:rsidR="00B070BF" w:rsidRPr="009577DE" w:rsidRDefault="00B070BF" w:rsidP="00C33D4A">
            <w:pPr>
              <w:widowControl w:val="0"/>
              <w:rPr>
                <w:sz w:val="16"/>
                <w:szCs w:val="16"/>
                <w:lang w:val="es-ES_tradnl"/>
              </w:rPr>
            </w:pPr>
            <w:r w:rsidRPr="009577DE">
              <w:rPr>
                <w:sz w:val="16"/>
                <w:szCs w:val="16"/>
                <w:lang w:val="es-ES_tradnl"/>
              </w:rPr>
              <w:t>Porcentaje de peticiones de asesoramiento jurídico que reciben respuestas rápidas, independientes y fiables de la Oficina del Consejero Jurídico.</w:t>
            </w:r>
          </w:p>
          <w:p w:rsidR="00B070BF" w:rsidRPr="009577DE" w:rsidRDefault="00B070BF" w:rsidP="00C33D4A">
            <w:pPr>
              <w:widowControl w:val="0"/>
              <w:rPr>
                <w:sz w:val="16"/>
                <w:szCs w:val="16"/>
                <w:lang w:val="es-ES_tradnl"/>
              </w:rPr>
            </w:pPr>
          </w:p>
        </w:tc>
        <w:tc>
          <w:tcPr>
            <w:tcW w:w="1106" w:type="pct"/>
            <w:shd w:val="clear" w:color="auto" w:fill="C0C0C0"/>
          </w:tcPr>
          <w:p w:rsidR="00B070BF" w:rsidRPr="009577DE" w:rsidRDefault="00B070BF" w:rsidP="00C33D4A">
            <w:pPr>
              <w:widowControl w:val="0"/>
              <w:rPr>
                <w:sz w:val="16"/>
                <w:szCs w:val="16"/>
                <w:lang w:val="es-ES_tradnl"/>
              </w:rPr>
            </w:pPr>
            <w:r w:rsidRPr="009577DE">
              <w:rPr>
                <w:sz w:val="16"/>
                <w:szCs w:val="16"/>
                <w:lang w:val="es-ES_tradnl"/>
              </w:rPr>
              <w:t>100%</w:t>
            </w:r>
          </w:p>
        </w:tc>
        <w:tc>
          <w:tcPr>
            <w:tcW w:w="778" w:type="pct"/>
            <w:gridSpan w:val="3"/>
            <w:shd w:val="clear" w:color="auto" w:fill="auto"/>
            <w:tcMar>
              <w:top w:w="110" w:type="dxa"/>
            </w:tcMar>
          </w:tcPr>
          <w:p w:rsidR="00B070BF" w:rsidRPr="009577DE" w:rsidRDefault="00B070BF" w:rsidP="00C33D4A">
            <w:pPr>
              <w:widowControl w:val="0"/>
              <w:rPr>
                <w:sz w:val="16"/>
                <w:szCs w:val="16"/>
                <w:lang w:val="es-ES_tradnl"/>
              </w:rPr>
            </w:pPr>
          </w:p>
        </w:tc>
        <w:tc>
          <w:tcPr>
            <w:tcW w:w="1589" w:type="pct"/>
            <w:shd w:val="clear" w:color="auto" w:fill="FFFFFF"/>
            <w:tcMar>
              <w:top w:w="110" w:type="dxa"/>
            </w:tcMar>
          </w:tcPr>
          <w:p w:rsidR="00B070BF" w:rsidRPr="009577DE" w:rsidRDefault="00B070BF" w:rsidP="00C33D4A">
            <w:pPr>
              <w:widowControl w:val="0"/>
              <w:rPr>
                <w:sz w:val="16"/>
                <w:szCs w:val="16"/>
                <w:lang w:val="es-ES_tradnl" w:bidi="th-TH"/>
              </w:rPr>
            </w:pPr>
            <w:r w:rsidRPr="009577DE">
              <w:rPr>
                <w:sz w:val="16"/>
                <w:szCs w:val="16"/>
                <w:lang w:val="es-ES_tradnl" w:bidi="th-TH"/>
              </w:rPr>
              <w:t>A pesar de un aumento del número de peticiones de asesoramiento, así como de las materias tratadas, el 95% de esas peticiones recibió respuestas rápidas y fiables de la Oficina del Consejero Jurídico.</w:t>
            </w:r>
          </w:p>
          <w:p w:rsidR="00B070BF" w:rsidRPr="009577DE" w:rsidRDefault="00B070BF" w:rsidP="00C33D4A">
            <w:pPr>
              <w:widowControl w:val="0"/>
              <w:rPr>
                <w:sz w:val="16"/>
                <w:szCs w:val="16"/>
                <w:lang w:val="es-ES_tradnl" w:bidi="th-TH"/>
              </w:rPr>
            </w:pPr>
          </w:p>
          <w:p w:rsidR="00B070BF" w:rsidRPr="009577DE" w:rsidRDefault="00B070BF" w:rsidP="00C33D4A">
            <w:pPr>
              <w:widowControl w:val="0"/>
              <w:rPr>
                <w:sz w:val="16"/>
                <w:szCs w:val="16"/>
                <w:lang w:val="es-ES_tradnl"/>
              </w:rPr>
            </w:pPr>
          </w:p>
        </w:tc>
        <w:tc>
          <w:tcPr>
            <w:tcW w:w="567" w:type="pct"/>
            <w:shd w:val="clear" w:color="auto" w:fill="auto"/>
            <w:tcMar>
              <w:top w:w="110" w:type="dxa"/>
            </w:tcMar>
          </w:tcPr>
          <w:p w:rsidR="00B070BF" w:rsidRPr="009577DE" w:rsidRDefault="00B070BF" w:rsidP="00C33D4A">
            <w:pPr>
              <w:widowControl w:val="0"/>
              <w:jc w:val="center"/>
              <w:rPr>
                <w:b/>
                <w:sz w:val="16"/>
                <w:szCs w:val="16"/>
                <w:lang w:val="es-ES_tradnl"/>
              </w:rPr>
            </w:pPr>
            <w:r w:rsidRPr="009577DE">
              <w:rPr>
                <w:b/>
                <w:color w:val="008000"/>
                <w:sz w:val="16"/>
                <w:szCs w:val="16"/>
                <w:lang w:val="es-ES_tradnl"/>
              </w:rPr>
              <w:t>Progresa con normalidad</w:t>
            </w:r>
          </w:p>
          <w:p w:rsidR="00B070BF" w:rsidRPr="009577DE" w:rsidRDefault="00B070BF" w:rsidP="00C33D4A">
            <w:pPr>
              <w:widowControl w:val="0"/>
              <w:jc w:val="center"/>
              <w:rPr>
                <w:b/>
                <w:sz w:val="16"/>
                <w:szCs w:val="16"/>
                <w:lang w:val="es-ES_tradnl"/>
              </w:rPr>
            </w:pPr>
          </w:p>
          <w:p w:rsidR="00B070BF" w:rsidRPr="009577DE" w:rsidRDefault="00B070BF" w:rsidP="00C33D4A">
            <w:pPr>
              <w:widowControl w:val="0"/>
              <w:jc w:val="center"/>
              <w:rPr>
                <w:b/>
                <w:sz w:val="16"/>
                <w:szCs w:val="16"/>
                <w:lang w:val="es-ES_tradnl"/>
              </w:rPr>
            </w:pPr>
          </w:p>
        </w:tc>
      </w:tr>
      <w:tr w:rsidR="00B070BF" w:rsidRPr="009577DE" w:rsidTr="00C33D4A">
        <w:trPr>
          <w:cantSplit/>
        </w:trPr>
        <w:tc>
          <w:tcPr>
            <w:tcW w:w="960" w:type="pct"/>
            <w:shd w:val="clear" w:color="auto" w:fill="auto"/>
          </w:tcPr>
          <w:p w:rsidR="00B070BF" w:rsidRPr="009577DE" w:rsidRDefault="00B070BF" w:rsidP="00C33D4A">
            <w:pPr>
              <w:widowControl w:val="0"/>
              <w:rPr>
                <w:sz w:val="16"/>
                <w:szCs w:val="16"/>
                <w:lang w:val="es-ES_tradnl"/>
              </w:rPr>
            </w:pPr>
            <w:r w:rsidRPr="009577DE">
              <w:rPr>
                <w:sz w:val="16"/>
                <w:szCs w:val="16"/>
                <w:lang w:val="es-ES_tradnl"/>
              </w:rPr>
              <w:lastRenderedPageBreak/>
              <w:t>Porcentaje de notificaciones de adhesión tramitadas en los plazos previstos.</w:t>
            </w:r>
          </w:p>
          <w:p w:rsidR="00B070BF" w:rsidRPr="009577DE" w:rsidRDefault="00B070BF" w:rsidP="00C33D4A">
            <w:pPr>
              <w:widowControl w:val="0"/>
              <w:rPr>
                <w:sz w:val="16"/>
                <w:szCs w:val="16"/>
                <w:lang w:val="es-ES_tradnl"/>
              </w:rPr>
            </w:pPr>
          </w:p>
        </w:tc>
        <w:tc>
          <w:tcPr>
            <w:tcW w:w="1106" w:type="pct"/>
            <w:shd w:val="clear" w:color="auto" w:fill="C0C0C0"/>
          </w:tcPr>
          <w:p w:rsidR="00B070BF" w:rsidRPr="009577DE" w:rsidRDefault="00B070BF" w:rsidP="00C33D4A">
            <w:pPr>
              <w:widowControl w:val="0"/>
              <w:rPr>
                <w:sz w:val="16"/>
                <w:szCs w:val="16"/>
                <w:lang w:val="es-ES_tradnl"/>
              </w:rPr>
            </w:pPr>
            <w:r w:rsidRPr="009577DE">
              <w:rPr>
                <w:sz w:val="16"/>
                <w:szCs w:val="16"/>
                <w:lang w:val="es-ES_tradnl"/>
              </w:rPr>
              <w:t>100% tramitadas en un plazo máximo de tres días.</w:t>
            </w:r>
          </w:p>
        </w:tc>
        <w:tc>
          <w:tcPr>
            <w:tcW w:w="778" w:type="pct"/>
            <w:gridSpan w:val="3"/>
            <w:shd w:val="clear" w:color="auto" w:fill="auto"/>
            <w:tcMar>
              <w:top w:w="110" w:type="dxa"/>
            </w:tcMar>
          </w:tcPr>
          <w:p w:rsidR="00B070BF" w:rsidRPr="009577DE" w:rsidRDefault="00B070BF" w:rsidP="00C33D4A">
            <w:pPr>
              <w:widowControl w:val="0"/>
              <w:rPr>
                <w:sz w:val="16"/>
                <w:szCs w:val="16"/>
                <w:lang w:val="es-ES_tradnl"/>
              </w:rPr>
            </w:pPr>
          </w:p>
        </w:tc>
        <w:tc>
          <w:tcPr>
            <w:tcW w:w="1589" w:type="pct"/>
            <w:shd w:val="clear" w:color="auto" w:fill="FFFFFF"/>
            <w:tcMar>
              <w:top w:w="110" w:type="dxa"/>
            </w:tcMar>
          </w:tcPr>
          <w:p w:rsidR="00B070BF" w:rsidRPr="009577DE" w:rsidRDefault="00B070BF" w:rsidP="00C33D4A">
            <w:pPr>
              <w:widowControl w:val="0"/>
              <w:rPr>
                <w:sz w:val="16"/>
                <w:szCs w:val="16"/>
                <w:lang w:val="es-ES_tradnl"/>
              </w:rPr>
            </w:pPr>
            <w:r w:rsidRPr="009577DE">
              <w:rPr>
                <w:sz w:val="16"/>
                <w:szCs w:val="16"/>
                <w:lang w:val="es-ES_tradnl"/>
              </w:rPr>
              <w:t xml:space="preserve">El 95% de las notificaciones de adhesión se tramitaron en el plazo de 3 días hábiles.  </w:t>
            </w:r>
          </w:p>
          <w:p w:rsidR="00B070BF" w:rsidRPr="009577DE" w:rsidRDefault="00B070BF" w:rsidP="00C33D4A">
            <w:pPr>
              <w:widowControl w:val="0"/>
              <w:rPr>
                <w:sz w:val="16"/>
                <w:szCs w:val="16"/>
                <w:lang w:val="es-ES_tradnl"/>
              </w:rPr>
            </w:pPr>
          </w:p>
        </w:tc>
        <w:tc>
          <w:tcPr>
            <w:tcW w:w="567" w:type="pct"/>
            <w:shd w:val="clear" w:color="auto" w:fill="auto"/>
            <w:tcMar>
              <w:top w:w="110" w:type="dxa"/>
            </w:tcMar>
          </w:tcPr>
          <w:p w:rsidR="00B070BF" w:rsidRPr="009577DE" w:rsidRDefault="00B070BF" w:rsidP="00C33D4A">
            <w:pPr>
              <w:widowControl w:val="0"/>
              <w:jc w:val="center"/>
              <w:rPr>
                <w:b/>
                <w:sz w:val="16"/>
                <w:szCs w:val="16"/>
                <w:lang w:val="es-ES_tradnl"/>
              </w:rPr>
            </w:pPr>
            <w:r w:rsidRPr="009577DE">
              <w:rPr>
                <w:b/>
                <w:color w:val="008000"/>
                <w:sz w:val="16"/>
                <w:szCs w:val="16"/>
                <w:lang w:val="es-ES_tradnl"/>
              </w:rPr>
              <w:t>Progresa con normalidad</w:t>
            </w:r>
          </w:p>
          <w:p w:rsidR="00B070BF" w:rsidRPr="009577DE" w:rsidRDefault="00B070BF" w:rsidP="00C33D4A">
            <w:pPr>
              <w:widowControl w:val="0"/>
              <w:jc w:val="center"/>
              <w:rPr>
                <w:b/>
                <w:sz w:val="16"/>
                <w:szCs w:val="16"/>
                <w:lang w:val="es-ES_tradnl"/>
              </w:rPr>
            </w:pPr>
          </w:p>
          <w:p w:rsidR="00B070BF" w:rsidRPr="009577DE" w:rsidRDefault="00B070BF" w:rsidP="00C33D4A">
            <w:pPr>
              <w:widowControl w:val="0"/>
              <w:jc w:val="center"/>
              <w:rPr>
                <w:b/>
                <w:sz w:val="16"/>
                <w:szCs w:val="16"/>
                <w:lang w:val="es-ES_tradnl"/>
              </w:rPr>
            </w:pPr>
          </w:p>
        </w:tc>
      </w:tr>
      <w:tr w:rsidR="00B070BF" w:rsidRPr="009577DE" w:rsidTr="00C33D4A">
        <w:trPr>
          <w:cantSplit/>
        </w:trPr>
        <w:tc>
          <w:tcPr>
            <w:tcW w:w="960" w:type="pct"/>
            <w:tcBorders>
              <w:bottom w:val="single" w:sz="4" w:space="0" w:color="auto"/>
            </w:tcBorders>
            <w:shd w:val="clear" w:color="auto" w:fill="auto"/>
          </w:tcPr>
          <w:p w:rsidR="00B070BF" w:rsidRPr="009577DE" w:rsidRDefault="00B070BF" w:rsidP="00C33D4A">
            <w:pPr>
              <w:widowControl w:val="0"/>
              <w:rPr>
                <w:sz w:val="16"/>
                <w:szCs w:val="16"/>
                <w:lang w:val="es-ES_tradnl"/>
              </w:rPr>
            </w:pPr>
            <w:r w:rsidRPr="009577DE">
              <w:rPr>
                <w:sz w:val="16"/>
                <w:szCs w:val="16"/>
                <w:lang w:val="es-ES_tradnl"/>
              </w:rPr>
              <w:t>Porcentaje de usuarios satisfechos con el nivel de servicios que han recibido de la Oficina del Mediador.</w:t>
            </w:r>
          </w:p>
        </w:tc>
        <w:tc>
          <w:tcPr>
            <w:tcW w:w="1106" w:type="pct"/>
            <w:tcBorders>
              <w:bottom w:val="single" w:sz="4" w:space="0" w:color="auto"/>
            </w:tcBorders>
            <w:shd w:val="clear" w:color="auto" w:fill="C0C0C0"/>
          </w:tcPr>
          <w:p w:rsidR="00B070BF" w:rsidRPr="009577DE" w:rsidRDefault="00B070BF" w:rsidP="00C33D4A">
            <w:pPr>
              <w:widowControl w:val="0"/>
              <w:rPr>
                <w:sz w:val="16"/>
                <w:szCs w:val="16"/>
                <w:lang w:val="es-ES_tradnl"/>
              </w:rPr>
            </w:pPr>
            <w:r w:rsidRPr="009577DE">
              <w:rPr>
                <w:sz w:val="16"/>
                <w:szCs w:val="16"/>
                <w:lang w:val="es-ES_tradnl"/>
              </w:rPr>
              <w:t>No se dispone de datos.</w:t>
            </w:r>
          </w:p>
        </w:tc>
        <w:tc>
          <w:tcPr>
            <w:tcW w:w="778" w:type="pct"/>
            <w:gridSpan w:val="3"/>
            <w:tcBorders>
              <w:bottom w:val="single" w:sz="4" w:space="0" w:color="auto"/>
            </w:tcBorders>
            <w:shd w:val="clear" w:color="auto" w:fill="auto"/>
            <w:tcMar>
              <w:top w:w="110" w:type="dxa"/>
            </w:tcMar>
          </w:tcPr>
          <w:p w:rsidR="00B070BF" w:rsidRDefault="00B070BF" w:rsidP="00C33D4A">
            <w:pPr>
              <w:widowControl w:val="0"/>
              <w:rPr>
                <w:sz w:val="16"/>
                <w:szCs w:val="16"/>
                <w:lang w:val="es-ES_tradnl"/>
              </w:rPr>
            </w:pPr>
            <w:r w:rsidRPr="009577DE">
              <w:rPr>
                <w:sz w:val="16"/>
                <w:szCs w:val="16"/>
                <w:lang w:val="es-ES_tradnl"/>
              </w:rPr>
              <w:t xml:space="preserve">76% </w:t>
            </w:r>
          </w:p>
          <w:p w:rsidR="00B070BF" w:rsidRPr="00F2661C" w:rsidRDefault="00B070BF" w:rsidP="00C33D4A">
            <w:pPr>
              <w:rPr>
                <w:sz w:val="16"/>
                <w:szCs w:val="16"/>
                <w:lang w:val="es-ES_tradnl"/>
              </w:rPr>
            </w:pPr>
          </w:p>
        </w:tc>
        <w:tc>
          <w:tcPr>
            <w:tcW w:w="1589" w:type="pct"/>
            <w:tcBorders>
              <w:bottom w:val="single" w:sz="4" w:space="0" w:color="auto"/>
            </w:tcBorders>
            <w:shd w:val="clear" w:color="auto" w:fill="FFFFFF"/>
            <w:tcMar>
              <w:top w:w="110" w:type="dxa"/>
            </w:tcMar>
          </w:tcPr>
          <w:p w:rsidR="00B070BF" w:rsidRPr="009577DE" w:rsidRDefault="00B070BF" w:rsidP="00C33D4A">
            <w:pPr>
              <w:widowControl w:val="0"/>
              <w:rPr>
                <w:sz w:val="16"/>
                <w:szCs w:val="16"/>
                <w:lang w:val="es-ES_tradnl"/>
              </w:rPr>
            </w:pPr>
            <w:r w:rsidRPr="009577DE">
              <w:rPr>
                <w:sz w:val="16"/>
                <w:szCs w:val="16"/>
                <w:lang w:val="es-ES_tradnl"/>
              </w:rPr>
              <w:t xml:space="preserve">El 77%, según la encuesta de evaluación de los usuarios de 2012. </w:t>
            </w:r>
          </w:p>
          <w:p w:rsidR="00B070BF" w:rsidRPr="009577DE" w:rsidRDefault="00B070BF" w:rsidP="00C33D4A">
            <w:pPr>
              <w:widowControl w:val="0"/>
              <w:rPr>
                <w:sz w:val="16"/>
                <w:szCs w:val="16"/>
                <w:lang w:val="es-ES_tradnl"/>
              </w:rPr>
            </w:pPr>
          </w:p>
        </w:tc>
        <w:tc>
          <w:tcPr>
            <w:tcW w:w="567" w:type="pct"/>
            <w:tcBorders>
              <w:bottom w:val="single" w:sz="4" w:space="0" w:color="auto"/>
            </w:tcBorders>
            <w:shd w:val="clear" w:color="auto" w:fill="auto"/>
            <w:tcMar>
              <w:top w:w="110" w:type="dxa"/>
            </w:tcMar>
          </w:tcPr>
          <w:p w:rsidR="00B070BF" w:rsidRPr="009577DE" w:rsidRDefault="00B070BF" w:rsidP="00C33D4A">
            <w:pPr>
              <w:widowControl w:val="0"/>
              <w:jc w:val="center"/>
              <w:rPr>
                <w:b/>
                <w:sz w:val="16"/>
                <w:szCs w:val="16"/>
                <w:lang w:val="es-ES_tradnl"/>
              </w:rPr>
            </w:pPr>
            <w:r w:rsidRPr="009577DE">
              <w:rPr>
                <w:b/>
                <w:color w:val="008000"/>
                <w:sz w:val="16"/>
                <w:szCs w:val="16"/>
                <w:lang w:val="es-ES_tradnl"/>
              </w:rPr>
              <w:t>Progresa con normalidad</w:t>
            </w:r>
          </w:p>
          <w:p w:rsidR="00B070BF" w:rsidRPr="009577DE" w:rsidRDefault="00B070BF" w:rsidP="00C33D4A">
            <w:pPr>
              <w:widowControl w:val="0"/>
              <w:jc w:val="center"/>
              <w:rPr>
                <w:bCs/>
                <w:sz w:val="16"/>
                <w:szCs w:val="16"/>
                <w:lang w:val="es-ES_tradnl"/>
              </w:rPr>
            </w:pPr>
          </w:p>
          <w:p w:rsidR="00B070BF" w:rsidRPr="009577DE" w:rsidRDefault="00B070BF" w:rsidP="00C33D4A">
            <w:pPr>
              <w:widowControl w:val="0"/>
              <w:jc w:val="center"/>
              <w:rPr>
                <w:bCs/>
                <w:sz w:val="16"/>
                <w:szCs w:val="16"/>
                <w:lang w:val="es-ES_tradnl"/>
              </w:rPr>
            </w:pPr>
          </w:p>
        </w:tc>
      </w:tr>
      <w:tr w:rsidR="00B070BF" w:rsidRPr="009577DE" w:rsidTr="00C33D4A">
        <w:trPr>
          <w:cantSplit/>
        </w:trPr>
        <w:tc>
          <w:tcPr>
            <w:tcW w:w="5000" w:type="pct"/>
            <w:gridSpan w:val="7"/>
            <w:tcBorders>
              <w:top w:val="single" w:sz="4" w:space="0" w:color="auto"/>
              <w:bottom w:val="single" w:sz="4" w:space="0" w:color="auto"/>
            </w:tcBorders>
            <w:shd w:val="clear" w:color="auto" w:fill="CCFFFF"/>
            <w:vAlign w:val="center"/>
          </w:tcPr>
          <w:p w:rsidR="00B070BF" w:rsidRPr="009577DE" w:rsidRDefault="00B070BF" w:rsidP="00C33D4A">
            <w:pPr>
              <w:widowControl w:val="0"/>
              <w:spacing w:before="120" w:after="120"/>
              <w:ind w:left="1735" w:hanging="1735"/>
              <w:rPr>
                <w:b/>
                <w:bCs/>
                <w:sz w:val="16"/>
                <w:szCs w:val="16"/>
                <w:lang w:val="es-ES_tradnl"/>
              </w:rPr>
            </w:pPr>
            <w:r w:rsidRPr="009577DE">
              <w:rPr>
                <w:b/>
                <w:bCs/>
                <w:sz w:val="16"/>
                <w:szCs w:val="16"/>
                <w:lang w:val="es-ES_tradnl"/>
              </w:rPr>
              <w:t>Resultado previsto:</w:t>
            </w:r>
            <w:r w:rsidRPr="009577DE">
              <w:rPr>
                <w:b/>
                <w:bCs/>
                <w:sz w:val="16"/>
                <w:szCs w:val="16"/>
                <w:lang w:val="es-ES_tradnl"/>
              </w:rPr>
              <w:tab/>
            </w:r>
            <w:r w:rsidRPr="009577DE">
              <w:rPr>
                <w:bCs/>
                <w:sz w:val="16"/>
                <w:szCs w:val="16"/>
                <w:lang w:val="es-ES_tradnl"/>
              </w:rPr>
              <w:t xml:space="preserve"> Mejor entorno de trabajo basado en un marco regulador coadyuvante y medios eficaces para atender las preocupaciones del personal.</w:t>
            </w:r>
          </w:p>
        </w:tc>
      </w:tr>
      <w:tr w:rsidR="00B070BF" w:rsidRPr="009577DE" w:rsidTr="00C33D4A">
        <w:trPr>
          <w:cantSplit/>
        </w:trPr>
        <w:tc>
          <w:tcPr>
            <w:tcW w:w="960" w:type="pct"/>
            <w:tcBorders>
              <w:top w:val="single" w:sz="4" w:space="0" w:color="auto"/>
            </w:tcBorders>
            <w:shd w:val="clear" w:color="auto" w:fill="auto"/>
            <w:vAlign w:val="center"/>
          </w:tcPr>
          <w:p w:rsidR="00B070BF" w:rsidRPr="009577DE" w:rsidRDefault="00B070BF" w:rsidP="00C33D4A">
            <w:pPr>
              <w:widowControl w:val="0"/>
              <w:spacing w:after="120"/>
              <w:rPr>
                <w:sz w:val="16"/>
                <w:szCs w:val="16"/>
                <w:lang w:val="es-ES_tradnl"/>
              </w:rPr>
            </w:pPr>
            <w:r w:rsidRPr="009577DE">
              <w:rPr>
                <w:b/>
                <w:bCs/>
                <w:sz w:val="16"/>
                <w:szCs w:val="16"/>
                <w:lang w:val="es-ES_tradnl"/>
              </w:rPr>
              <w:t>Indicadores de rendimiento</w:t>
            </w:r>
          </w:p>
        </w:tc>
        <w:tc>
          <w:tcPr>
            <w:tcW w:w="1106" w:type="pct"/>
            <w:tcBorders>
              <w:top w:val="single" w:sz="4" w:space="0" w:color="auto"/>
            </w:tcBorders>
            <w:shd w:val="clear" w:color="auto" w:fill="C0C0C0"/>
          </w:tcPr>
          <w:p w:rsidR="00B070BF" w:rsidRPr="009577DE" w:rsidRDefault="00B070BF" w:rsidP="00C33D4A">
            <w:pPr>
              <w:widowControl w:val="0"/>
              <w:spacing w:after="120"/>
              <w:rPr>
                <w:b/>
                <w:bCs/>
                <w:sz w:val="16"/>
                <w:szCs w:val="16"/>
                <w:lang w:val="es-ES_tradnl"/>
              </w:rPr>
            </w:pPr>
            <w:r w:rsidRPr="009577DE">
              <w:rPr>
                <w:b/>
                <w:bCs/>
                <w:sz w:val="16"/>
                <w:szCs w:val="16"/>
                <w:lang w:val="es-ES_tradnl"/>
              </w:rPr>
              <w:t>Referencia (</w:t>
            </w:r>
            <w:proofErr w:type="spellStart"/>
            <w:r w:rsidRPr="009577DE">
              <w:rPr>
                <w:b/>
                <w:bCs/>
                <w:sz w:val="16"/>
                <w:szCs w:val="16"/>
                <w:lang w:val="es-ES_tradnl"/>
              </w:rPr>
              <w:t>Presup</w:t>
            </w:r>
            <w:proofErr w:type="spellEnd"/>
            <w:r w:rsidRPr="009577DE">
              <w:rPr>
                <w:b/>
                <w:bCs/>
                <w:sz w:val="16"/>
                <w:szCs w:val="16"/>
                <w:lang w:val="es-ES_tradnl"/>
              </w:rPr>
              <w:t xml:space="preserve">. por </w:t>
            </w:r>
            <w:proofErr w:type="spellStart"/>
            <w:r w:rsidRPr="009577DE">
              <w:rPr>
                <w:b/>
                <w:bCs/>
                <w:sz w:val="16"/>
                <w:szCs w:val="16"/>
                <w:lang w:val="es-ES_tradnl"/>
              </w:rPr>
              <w:t>prog</w:t>
            </w:r>
            <w:proofErr w:type="spellEnd"/>
            <w:r w:rsidRPr="009577DE">
              <w:rPr>
                <w:b/>
                <w:bCs/>
                <w:sz w:val="16"/>
                <w:szCs w:val="16"/>
                <w:lang w:val="es-ES_tradnl"/>
              </w:rPr>
              <w:t>. 2012/13)</w:t>
            </w:r>
          </w:p>
        </w:tc>
        <w:tc>
          <w:tcPr>
            <w:tcW w:w="834" w:type="pct"/>
            <w:gridSpan w:val="3"/>
            <w:tcBorders>
              <w:top w:val="single" w:sz="4" w:space="0" w:color="auto"/>
            </w:tcBorders>
            <w:shd w:val="clear" w:color="auto" w:fill="auto"/>
            <w:tcMar>
              <w:top w:w="110" w:type="dxa"/>
            </w:tcMar>
            <w:vAlign w:val="center"/>
          </w:tcPr>
          <w:p w:rsidR="00B070BF" w:rsidRPr="009577DE" w:rsidRDefault="00B070BF" w:rsidP="00C33D4A">
            <w:pPr>
              <w:widowControl w:val="0"/>
              <w:spacing w:after="120"/>
              <w:rPr>
                <w:b/>
                <w:sz w:val="16"/>
                <w:szCs w:val="16"/>
                <w:lang w:val="es-ES_tradnl"/>
              </w:rPr>
            </w:pPr>
            <w:r w:rsidRPr="00BF138D">
              <w:rPr>
                <w:b/>
                <w:color w:val="993300"/>
                <w:sz w:val="16"/>
                <w:szCs w:val="16"/>
                <w:lang w:val="es-ES_tradnl"/>
              </w:rPr>
              <w:t>Referencia actualizada a finales de 2011</w:t>
            </w:r>
            <w:r w:rsidRPr="009577DE">
              <w:rPr>
                <w:b/>
                <w:sz w:val="16"/>
                <w:szCs w:val="16"/>
                <w:lang w:val="es-ES_tradnl"/>
              </w:rPr>
              <w:t xml:space="preserve"> </w:t>
            </w:r>
          </w:p>
        </w:tc>
        <w:tc>
          <w:tcPr>
            <w:tcW w:w="1533" w:type="pct"/>
            <w:tcBorders>
              <w:top w:val="single" w:sz="4" w:space="0" w:color="auto"/>
            </w:tcBorders>
            <w:shd w:val="clear" w:color="auto" w:fill="FFFFFF"/>
            <w:tcMar>
              <w:top w:w="110" w:type="dxa"/>
            </w:tcMar>
            <w:vAlign w:val="center"/>
          </w:tcPr>
          <w:p w:rsidR="00B070BF" w:rsidRPr="009577DE" w:rsidRDefault="00B070BF" w:rsidP="00C33D4A">
            <w:pPr>
              <w:widowControl w:val="0"/>
              <w:spacing w:after="120"/>
              <w:rPr>
                <w:sz w:val="16"/>
                <w:szCs w:val="16"/>
                <w:lang w:val="es-ES_tradnl"/>
              </w:rPr>
            </w:pPr>
            <w:r w:rsidRPr="009577DE">
              <w:rPr>
                <w:b/>
                <w:bCs/>
                <w:sz w:val="16"/>
                <w:szCs w:val="16"/>
                <w:lang w:val="es-ES_tradnl"/>
              </w:rPr>
              <w:t xml:space="preserve"> Datos sobre el rendimiento</w:t>
            </w:r>
          </w:p>
        </w:tc>
        <w:tc>
          <w:tcPr>
            <w:tcW w:w="567" w:type="pct"/>
            <w:tcBorders>
              <w:top w:val="single" w:sz="4" w:space="0" w:color="auto"/>
            </w:tcBorders>
            <w:shd w:val="clear" w:color="auto" w:fill="auto"/>
            <w:tcMar>
              <w:top w:w="110" w:type="dxa"/>
            </w:tcMar>
            <w:vAlign w:val="center"/>
          </w:tcPr>
          <w:p w:rsidR="00B070BF" w:rsidRPr="009577DE" w:rsidRDefault="00B070BF" w:rsidP="00C33D4A">
            <w:pPr>
              <w:widowControl w:val="0"/>
              <w:spacing w:after="120"/>
              <w:jc w:val="center"/>
              <w:rPr>
                <w:b/>
                <w:bCs/>
                <w:sz w:val="16"/>
                <w:szCs w:val="16"/>
                <w:lang w:val="es-ES_tradnl"/>
              </w:rPr>
            </w:pPr>
            <w:r w:rsidRPr="009577DE">
              <w:rPr>
                <w:b/>
                <w:bCs/>
                <w:sz w:val="16"/>
                <w:szCs w:val="16"/>
                <w:lang w:val="es-ES_tradnl"/>
              </w:rPr>
              <w:t>Clave de colores</w:t>
            </w:r>
          </w:p>
        </w:tc>
      </w:tr>
      <w:tr w:rsidR="00B070BF" w:rsidRPr="009577DE" w:rsidTr="00C33D4A">
        <w:trPr>
          <w:cantSplit/>
        </w:trPr>
        <w:tc>
          <w:tcPr>
            <w:tcW w:w="960" w:type="pct"/>
            <w:tcBorders>
              <w:bottom w:val="single" w:sz="4" w:space="0" w:color="auto"/>
            </w:tcBorders>
            <w:shd w:val="clear" w:color="auto" w:fill="auto"/>
          </w:tcPr>
          <w:p w:rsidR="00B070BF" w:rsidRPr="009577DE" w:rsidRDefault="00B070BF" w:rsidP="00C33D4A">
            <w:pPr>
              <w:widowControl w:val="0"/>
              <w:rPr>
                <w:sz w:val="16"/>
                <w:szCs w:val="16"/>
                <w:lang w:val="es-ES_tradnl"/>
              </w:rPr>
            </w:pPr>
            <w:r w:rsidRPr="009577DE">
              <w:rPr>
                <w:sz w:val="16"/>
                <w:szCs w:val="16"/>
                <w:lang w:val="es-ES_tradnl"/>
              </w:rPr>
              <w:t>Porcentaje de miembros del personal conscientes de los principios y políticas éticas de la OMPI.</w:t>
            </w:r>
          </w:p>
        </w:tc>
        <w:tc>
          <w:tcPr>
            <w:tcW w:w="1106" w:type="pct"/>
            <w:tcBorders>
              <w:bottom w:val="single" w:sz="4" w:space="0" w:color="auto"/>
            </w:tcBorders>
            <w:shd w:val="clear" w:color="auto" w:fill="C0C0C0"/>
          </w:tcPr>
          <w:p w:rsidR="00B070BF" w:rsidRPr="009577DE" w:rsidRDefault="00B070BF" w:rsidP="00C33D4A">
            <w:pPr>
              <w:widowControl w:val="0"/>
              <w:rPr>
                <w:sz w:val="16"/>
                <w:szCs w:val="16"/>
                <w:lang w:val="es-ES_tradnl"/>
              </w:rPr>
            </w:pPr>
            <w:r w:rsidRPr="009577DE">
              <w:rPr>
                <w:sz w:val="16"/>
                <w:szCs w:val="16"/>
                <w:lang w:val="es-ES_tradnl"/>
              </w:rPr>
              <w:t>64%</w:t>
            </w:r>
          </w:p>
        </w:tc>
        <w:tc>
          <w:tcPr>
            <w:tcW w:w="567" w:type="pct"/>
            <w:tcBorders>
              <w:bottom w:val="single" w:sz="4" w:space="0" w:color="auto"/>
            </w:tcBorders>
            <w:shd w:val="clear" w:color="auto" w:fill="auto"/>
            <w:tcMar>
              <w:top w:w="110" w:type="dxa"/>
            </w:tcMar>
          </w:tcPr>
          <w:p w:rsidR="00B070BF" w:rsidRPr="009577DE" w:rsidRDefault="00B070BF" w:rsidP="00C33D4A">
            <w:pPr>
              <w:widowControl w:val="0"/>
              <w:rPr>
                <w:sz w:val="16"/>
                <w:szCs w:val="16"/>
                <w:lang w:val="es-ES_tradnl"/>
              </w:rPr>
            </w:pPr>
            <w:r w:rsidRPr="00F2661C">
              <w:rPr>
                <w:color w:val="993300"/>
                <w:sz w:val="16"/>
                <w:szCs w:val="16"/>
                <w:lang w:val="es-ES_tradnl"/>
              </w:rPr>
              <w:t xml:space="preserve">74% </w:t>
            </w:r>
          </w:p>
        </w:tc>
        <w:tc>
          <w:tcPr>
            <w:tcW w:w="1800" w:type="pct"/>
            <w:gridSpan w:val="3"/>
            <w:tcBorders>
              <w:bottom w:val="single" w:sz="4" w:space="0" w:color="auto"/>
            </w:tcBorders>
            <w:shd w:val="clear" w:color="auto" w:fill="FFFFFF"/>
            <w:tcMar>
              <w:top w:w="110" w:type="dxa"/>
            </w:tcMar>
          </w:tcPr>
          <w:p w:rsidR="00B070BF" w:rsidRPr="009577DE" w:rsidRDefault="00B070BF" w:rsidP="00C33D4A">
            <w:pPr>
              <w:widowControl w:val="0"/>
              <w:ind w:left="483"/>
              <w:rPr>
                <w:sz w:val="16"/>
                <w:szCs w:val="16"/>
                <w:lang w:val="es-ES_tradnl" w:bidi="th-TH"/>
              </w:rPr>
            </w:pPr>
            <w:r w:rsidRPr="009577DE">
              <w:rPr>
                <w:sz w:val="16"/>
                <w:szCs w:val="16"/>
                <w:lang w:val="es-ES_tradnl" w:bidi="th-TH"/>
              </w:rPr>
              <w:t>El 96%, según la encuesta sobre las</w:t>
            </w:r>
            <w:r w:rsidRPr="009577DE">
              <w:rPr>
                <w:lang w:val="es-ES_tradnl"/>
              </w:rPr>
              <w:t xml:space="preserve"> </w:t>
            </w:r>
            <w:r w:rsidRPr="009577DE">
              <w:rPr>
                <w:sz w:val="16"/>
                <w:szCs w:val="16"/>
                <w:lang w:val="es-ES_tradnl" w:bidi="th-TH"/>
              </w:rPr>
              <w:t>prioridades centrales del programa de alineación estratégica.</w:t>
            </w:r>
          </w:p>
          <w:p w:rsidR="00B070BF" w:rsidRPr="009577DE" w:rsidRDefault="00B070BF" w:rsidP="00C33D4A">
            <w:pPr>
              <w:widowControl w:val="0"/>
              <w:ind w:left="483"/>
              <w:rPr>
                <w:sz w:val="16"/>
                <w:szCs w:val="16"/>
                <w:lang w:val="es-ES_tradnl" w:bidi="th-TH"/>
              </w:rPr>
            </w:pPr>
          </w:p>
          <w:p w:rsidR="00B070BF" w:rsidRPr="009577DE" w:rsidRDefault="00B070BF" w:rsidP="00C33D4A">
            <w:pPr>
              <w:widowControl w:val="0"/>
              <w:rPr>
                <w:sz w:val="16"/>
                <w:szCs w:val="16"/>
                <w:lang w:val="es-ES_tradnl"/>
              </w:rPr>
            </w:pPr>
          </w:p>
        </w:tc>
        <w:tc>
          <w:tcPr>
            <w:tcW w:w="567" w:type="pct"/>
            <w:tcBorders>
              <w:bottom w:val="single" w:sz="4" w:space="0" w:color="auto"/>
            </w:tcBorders>
            <w:shd w:val="clear" w:color="auto" w:fill="auto"/>
            <w:tcMar>
              <w:top w:w="110" w:type="dxa"/>
            </w:tcMar>
          </w:tcPr>
          <w:p w:rsidR="00B070BF" w:rsidRPr="009577DE" w:rsidRDefault="00B070BF" w:rsidP="00C33D4A">
            <w:pPr>
              <w:widowControl w:val="0"/>
              <w:jc w:val="center"/>
              <w:rPr>
                <w:b/>
                <w:sz w:val="16"/>
                <w:szCs w:val="16"/>
                <w:lang w:val="es-ES_tradnl"/>
              </w:rPr>
            </w:pPr>
            <w:r w:rsidRPr="009577DE">
              <w:rPr>
                <w:b/>
                <w:color w:val="008000"/>
                <w:sz w:val="16"/>
                <w:szCs w:val="16"/>
                <w:lang w:val="es-ES_tradnl"/>
              </w:rPr>
              <w:t>Progresa con normalidad</w:t>
            </w:r>
          </w:p>
          <w:p w:rsidR="00B070BF" w:rsidRPr="009577DE" w:rsidRDefault="00B070BF" w:rsidP="00C33D4A">
            <w:pPr>
              <w:widowControl w:val="0"/>
              <w:jc w:val="center"/>
              <w:rPr>
                <w:bCs/>
                <w:sz w:val="16"/>
                <w:szCs w:val="16"/>
                <w:lang w:val="es-ES_tradnl"/>
              </w:rPr>
            </w:pPr>
          </w:p>
          <w:p w:rsidR="00B070BF" w:rsidRPr="009577DE" w:rsidRDefault="00B070BF" w:rsidP="00C33D4A">
            <w:pPr>
              <w:widowControl w:val="0"/>
              <w:jc w:val="center"/>
              <w:rPr>
                <w:bCs/>
                <w:sz w:val="16"/>
                <w:szCs w:val="16"/>
                <w:lang w:val="es-ES_tradnl"/>
              </w:rPr>
            </w:pPr>
          </w:p>
        </w:tc>
      </w:tr>
      <w:tr w:rsidR="00B070BF" w:rsidRPr="009577DE" w:rsidTr="00C33D4A">
        <w:trPr>
          <w:cantSplit/>
        </w:trPr>
        <w:tc>
          <w:tcPr>
            <w:tcW w:w="5000" w:type="pct"/>
            <w:gridSpan w:val="7"/>
            <w:tcBorders>
              <w:top w:val="single" w:sz="4" w:space="0" w:color="auto"/>
              <w:bottom w:val="single" w:sz="4" w:space="0" w:color="auto"/>
            </w:tcBorders>
            <w:shd w:val="clear" w:color="auto" w:fill="CCFFFF"/>
            <w:vAlign w:val="center"/>
          </w:tcPr>
          <w:p w:rsidR="00B070BF" w:rsidRPr="009577DE" w:rsidRDefault="00B070BF" w:rsidP="00C33D4A">
            <w:pPr>
              <w:widowControl w:val="0"/>
              <w:spacing w:before="120" w:after="120"/>
              <w:ind w:left="1735" w:hanging="1735"/>
              <w:rPr>
                <w:b/>
                <w:bCs/>
                <w:sz w:val="16"/>
                <w:szCs w:val="16"/>
                <w:lang w:val="es-ES_tradnl"/>
              </w:rPr>
            </w:pPr>
            <w:r w:rsidRPr="009577DE">
              <w:rPr>
                <w:b/>
                <w:bCs/>
                <w:sz w:val="16"/>
                <w:szCs w:val="16"/>
                <w:lang w:val="es-ES_tradnl"/>
              </w:rPr>
              <w:t>Resultado previsto:</w:t>
            </w:r>
            <w:r w:rsidRPr="009577DE">
              <w:rPr>
                <w:b/>
                <w:bCs/>
                <w:sz w:val="16"/>
                <w:szCs w:val="16"/>
                <w:lang w:val="es-ES_tradnl"/>
              </w:rPr>
              <w:tab/>
            </w:r>
            <w:r w:rsidRPr="009577DE">
              <w:rPr>
                <w:bCs/>
                <w:sz w:val="16"/>
                <w:szCs w:val="16"/>
                <w:lang w:val="es-ES_tradnl"/>
              </w:rPr>
              <w:t xml:space="preserve"> La OMPI participa y colabora eficazmente en los procesos y negociaciones de las NN.UU. y otras OIG.</w:t>
            </w:r>
          </w:p>
        </w:tc>
      </w:tr>
      <w:tr w:rsidR="00B070BF" w:rsidRPr="009577DE" w:rsidTr="00C33D4A">
        <w:trPr>
          <w:cantSplit/>
        </w:trPr>
        <w:tc>
          <w:tcPr>
            <w:tcW w:w="960" w:type="pct"/>
            <w:tcBorders>
              <w:top w:val="single" w:sz="4" w:space="0" w:color="auto"/>
            </w:tcBorders>
            <w:shd w:val="clear" w:color="auto" w:fill="auto"/>
            <w:vAlign w:val="center"/>
          </w:tcPr>
          <w:p w:rsidR="00B070BF" w:rsidRPr="009577DE" w:rsidRDefault="00B070BF" w:rsidP="00C33D4A">
            <w:pPr>
              <w:widowControl w:val="0"/>
              <w:spacing w:after="120"/>
              <w:rPr>
                <w:sz w:val="16"/>
                <w:szCs w:val="16"/>
                <w:lang w:val="es-ES_tradnl"/>
              </w:rPr>
            </w:pPr>
            <w:r w:rsidRPr="009577DE">
              <w:rPr>
                <w:b/>
                <w:bCs/>
                <w:sz w:val="16"/>
                <w:szCs w:val="16"/>
                <w:lang w:val="es-ES_tradnl"/>
              </w:rPr>
              <w:t>Indicadores de rendimiento</w:t>
            </w:r>
          </w:p>
        </w:tc>
        <w:tc>
          <w:tcPr>
            <w:tcW w:w="1106" w:type="pct"/>
            <w:tcBorders>
              <w:top w:val="single" w:sz="4" w:space="0" w:color="auto"/>
            </w:tcBorders>
            <w:shd w:val="clear" w:color="auto" w:fill="C0C0C0"/>
          </w:tcPr>
          <w:p w:rsidR="00B070BF" w:rsidRPr="009577DE" w:rsidRDefault="00B070BF" w:rsidP="00C33D4A">
            <w:pPr>
              <w:widowControl w:val="0"/>
              <w:spacing w:after="120"/>
              <w:rPr>
                <w:b/>
                <w:bCs/>
                <w:sz w:val="16"/>
                <w:szCs w:val="16"/>
                <w:lang w:val="es-ES_tradnl"/>
              </w:rPr>
            </w:pPr>
            <w:r w:rsidRPr="009577DE">
              <w:rPr>
                <w:b/>
                <w:bCs/>
                <w:sz w:val="16"/>
                <w:szCs w:val="16"/>
                <w:lang w:val="es-ES_tradnl"/>
              </w:rPr>
              <w:t>Referencia (</w:t>
            </w:r>
            <w:proofErr w:type="spellStart"/>
            <w:r w:rsidRPr="009577DE">
              <w:rPr>
                <w:b/>
                <w:bCs/>
                <w:sz w:val="16"/>
                <w:szCs w:val="16"/>
                <w:lang w:val="es-ES_tradnl"/>
              </w:rPr>
              <w:t>Presup</w:t>
            </w:r>
            <w:proofErr w:type="spellEnd"/>
            <w:r w:rsidRPr="009577DE">
              <w:rPr>
                <w:b/>
                <w:bCs/>
                <w:sz w:val="16"/>
                <w:szCs w:val="16"/>
                <w:lang w:val="es-ES_tradnl"/>
              </w:rPr>
              <w:t xml:space="preserve">. por </w:t>
            </w:r>
            <w:proofErr w:type="spellStart"/>
            <w:r w:rsidRPr="009577DE">
              <w:rPr>
                <w:b/>
                <w:bCs/>
                <w:sz w:val="16"/>
                <w:szCs w:val="16"/>
                <w:lang w:val="es-ES_tradnl"/>
              </w:rPr>
              <w:t>prog</w:t>
            </w:r>
            <w:proofErr w:type="spellEnd"/>
            <w:r w:rsidRPr="009577DE">
              <w:rPr>
                <w:b/>
                <w:bCs/>
                <w:sz w:val="16"/>
                <w:szCs w:val="16"/>
                <w:lang w:val="es-ES_tradnl"/>
              </w:rPr>
              <w:t>. 2012/13)</w:t>
            </w:r>
          </w:p>
        </w:tc>
        <w:tc>
          <w:tcPr>
            <w:tcW w:w="778" w:type="pct"/>
            <w:gridSpan w:val="3"/>
            <w:tcBorders>
              <w:top w:val="single" w:sz="4" w:space="0" w:color="auto"/>
            </w:tcBorders>
            <w:shd w:val="clear" w:color="auto" w:fill="auto"/>
            <w:tcMar>
              <w:top w:w="110" w:type="dxa"/>
            </w:tcMar>
            <w:vAlign w:val="center"/>
          </w:tcPr>
          <w:p w:rsidR="00B070BF" w:rsidRPr="009577DE" w:rsidRDefault="00B070BF" w:rsidP="00C33D4A">
            <w:pPr>
              <w:widowControl w:val="0"/>
              <w:spacing w:after="120"/>
              <w:rPr>
                <w:b/>
                <w:sz w:val="16"/>
                <w:szCs w:val="16"/>
                <w:lang w:val="es-ES_tradnl"/>
              </w:rPr>
            </w:pPr>
            <w:r w:rsidRPr="00BF138D">
              <w:rPr>
                <w:b/>
                <w:color w:val="993300"/>
                <w:sz w:val="16"/>
                <w:szCs w:val="16"/>
                <w:lang w:val="es-ES_tradnl"/>
              </w:rPr>
              <w:t>Referencia actualizada a finales de 2011</w:t>
            </w:r>
            <w:r w:rsidRPr="009577DE">
              <w:rPr>
                <w:b/>
                <w:sz w:val="16"/>
                <w:szCs w:val="16"/>
                <w:lang w:val="es-ES_tradnl"/>
              </w:rPr>
              <w:t xml:space="preserve"> </w:t>
            </w:r>
          </w:p>
        </w:tc>
        <w:tc>
          <w:tcPr>
            <w:tcW w:w="1589" w:type="pct"/>
            <w:tcBorders>
              <w:top w:val="single" w:sz="4" w:space="0" w:color="auto"/>
            </w:tcBorders>
            <w:shd w:val="clear" w:color="auto" w:fill="FFFFFF"/>
            <w:tcMar>
              <w:top w:w="110" w:type="dxa"/>
            </w:tcMar>
            <w:vAlign w:val="center"/>
          </w:tcPr>
          <w:p w:rsidR="00B070BF" w:rsidRPr="009577DE" w:rsidRDefault="00B070BF" w:rsidP="00C33D4A">
            <w:pPr>
              <w:widowControl w:val="0"/>
              <w:spacing w:after="120"/>
              <w:rPr>
                <w:sz w:val="16"/>
                <w:szCs w:val="16"/>
                <w:lang w:val="es-ES_tradnl"/>
              </w:rPr>
            </w:pPr>
            <w:r w:rsidRPr="009577DE">
              <w:rPr>
                <w:b/>
                <w:bCs/>
                <w:sz w:val="16"/>
                <w:szCs w:val="16"/>
                <w:lang w:val="es-ES_tradnl"/>
              </w:rPr>
              <w:t>Datos sobre el rendimiento</w:t>
            </w:r>
          </w:p>
        </w:tc>
        <w:tc>
          <w:tcPr>
            <w:tcW w:w="567" w:type="pct"/>
            <w:tcBorders>
              <w:top w:val="single" w:sz="4" w:space="0" w:color="auto"/>
            </w:tcBorders>
            <w:shd w:val="clear" w:color="auto" w:fill="auto"/>
            <w:tcMar>
              <w:top w:w="110" w:type="dxa"/>
            </w:tcMar>
            <w:vAlign w:val="center"/>
          </w:tcPr>
          <w:p w:rsidR="00B070BF" w:rsidRPr="009577DE" w:rsidRDefault="00B070BF" w:rsidP="00C33D4A">
            <w:pPr>
              <w:widowControl w:val="0"/>
              <w:spacing w:after="120"/>
              <w:jc w:val="center"/>
              <w:rPr>
                <w:b/>
                <w:bCs/>
                <w:sz w:val="16"/>
                <w:szCs w:val="16"/>
                <w:lang w:val="es-ES_tradnl"/>
              </w:rPr>
            </w:pPr>
            <w:r w:rsidRPr="009577DE">
              <w:rPr>
                <w:b/>
                <w:bCs/>
                <w:sz w:val="16"/>
                <w:szCs w:val="16"/>
                <w:lang w:val="es-ES_tradnl"/>
              </w:rPr>
              <w:t>Clave de colores</w:t>
            </w:r>
          </w:p>
        </w:tc>
      </w:tr>
      <w:tr w:rsidR="00B070BF" w:rsidRPr="009577DE" w:rsidTr="00C33D4A">
        <w:trPr>
          <w:cantSplit/>
        </w:trPr>
        <w:tc>
          <w:tcPr>
            <w:tcW w:w="960" w:type="pct"/>
            <w:tcBorders>
              <w:bottom w:val="single" w:sz="4" w:space="0" w:color="auto"/>
            </w:tcBorders>
            <w:shd w:val="clear" w:color="auto" w:fill="auto"/>
          </w:tcPr>
          <w:p w:rsidR="00B070BF" w:rsidRPr="009577DE" w:rsidRDefault="00B070BF" w:rsidP="00C33D4A">
            <w:pPr>
              <w:widowControl w:val="0"/>
              <w:rPr>
                <w:sz w:val="16"/>
                <w:szCs w:val="16"/>
                <w:lang w:val="es-ES_tradnl"/>
              </w:rPr>
            </w:pPr>
            <w:r w:rsidRPr="009577DE">
              <w:rPr>
                <w:sz w:val="16"/>
                <w:szCs w:val="16"/>
                <w:lang w:val="es-ES_tradnl"/>
              </w:rPr>
              <w:t>Nuevas iniciativas conjuntas con otros organismos de las NN.UU.</w:t>
            </w:r>
          </w:p>
        </w:tc>
        <w:tc>
          <w:tcPr>
            <w:tcW w:w="1106" w:type="pct"/>
            <w:tcBorders>
              <w:bottom w:val="single" w:sz="4" w:space="0" w:color="auto"/>
            </w:tcBorders>
            <w:shd w:val="clear" w:color="auto" w:fill="C0C0C0"/>
          </w:tcPr>
          <w:p w:rsidR="00B070BF" w:rsidRPr="009577DE" w:rsidRDefault="00B070BF" w:rsidP="00C33D4A">
            <w:pPr>
              <w:widowControl w:val="0"/>
              <w:rPr>
                <w:sz w:val="16"/>
                <w:szCs w:val="16"/>
                <w:lang w:val="es-ES_tradnl"/>
              </w:rPr>
            </w:pPr>
            <w:proofErr w:type="spellStart"/>
            <w:r>
              <w:rPr>
                <w:sz w:val="16"/>
                <w:szCs w:val="16"/>
                <w:lang w:val="es-ES_tradnl"/>
              </w:rPr>
              <w:t>n.d</w:t>
            </w:r>
            <w:proofErr w:type="spellEnd"/>
            <w:r>
              <w:rPr>
                <w:sz w:val="16"/>
                <w:szCs w:val="16"/>
                <w:lang w:val="es-ES_tradnl"/>
              </w:rPr>
              <w:t>.</w:t>
            </w:r>
          </w:p>
        </w:tc>
        <w:tc>
          <w:tcPr>
            <w:tcW w:w="778" w:type="pct"/>
            <w:gridSpan w:val="3"/>
            <w:tcBorders>
              <w:bottom w:val="single" w:sz="4" w:space="0" w:color="auto"/>
            </w:tcBorders>
            <w:shd w:val="clear" w:color="auto" w:fill="auto"/>
            <w:tcMar>
              <w:top w:w="110" w:type="dxa"/>
            </w:tcMar>
          </w:tcPr>
          <w:p w:rsidR="00B070BF" w:rsidRPr="009577DE" w:rsidRDefault="00B070BF" w:rsidP="00C33D4A">
            <w:pPr>
              <w:widowControl w:val="0"/>
              <w:rPr>
                <w:sz w:val="16"/>
                <w:szCs w:val="16"/>
                <w:lang w:val="es-ES_tradnl"/>
              </w:rPr>
            </w:pPr>
            <w:r w:rsidRPr="00F2661C">
              <w:rPr>
                <w:color w:val="993300"/>
                <w:sz w:val="16"/>
                <w:szCs w:val="16"/>
                <w:lang w:val="es-ES_tradnl"/>
              </w:rPr>
              <w:t xml:space="preserve">Dos en el bienio 2012/13. </w:t>
            </w:r>
          </w:p>
        </w:tc>
        <w:tc>
          <w:tcPr>
            <w:tcW w:w="1589" w:type="pct"/>
            <w:tcBorders>
              <w:bottom w:val="single" w:sz="4" w:space="0" w:color="auto"/>
            </w:tcBorders>
            <w:shd w:val="clear" w:color="auto" w:fill="FFFFFF"/>
            <w:tcMar>
              <w:top w:w="110" w:type="dxa"/>
            </w:tcMar>
          </w:tcPr>
          <w:p w:rsidR="00B070BF" w:rsidRPr="009577DE" w:rsidRDefault="00B070BF" w:rsidP="00C33D4A">
            <w:pPr>
              <w:widowControl w:val="0"/>
              <w:rPr>
                <w:sz w:val="16"/>
                <w:szCs w:val="16"/>
                <w:lang w:val="es-ES_tradnl" w:bidi="th-TH"/>
              </w:rPr>
            </w:pPr>
            <w:r w:rsidRPr="009577DE">
              <w:rPr>
                <w:sz w:val="16"/>
                <w:szCs w:val="16"/>
                <w:lang w:val="es-ES_tradnl" w:bidi="th-TH"/>
              </w:rPr>
              <w:t>Una en 2012.</w:t>
            </w:r>
          </w:p>
          <w:p w:rsidR="00B070BF" w:rsidRPr="009577DE" w:rsidRDefault="00B070BF" w:rsidP="00C33D4A">
            <w:pPr>
              <w:widowControl w:val="0"/>
              <w:rPr>
                <w:sz w:val="16"/>
                <w:szCs w:val="16"/>
                <w:lang w:val="es-ES_tradnl" w:bidi="th-TH"/>
              </w:rPr>
            </w:pPr>
          </w:p>
          <w:p w:rsidR="00B070BF" w:rsidRPr="009577DE" w:rsidRDefault="00B070BF" w:rsidP="00C33D4A">
            <w:pPr>
              <w:widowControl w:val="0"/>
              <w:rPr>
                <w:sz w:val="16"/>
                <w:szCs w:val="16"/>
                <w:lang w:val="es-ES_tradnl" w:bidi="th-TH"/>
              </w:rPr>
            </w:pPr>
          </w:p>
          <w:p w:rsidR="00B070BF" w:rsidRPr="009577DE" w:rsidRDefault="00B070BF" w:rsidP="00C33D4A">
            <w:pPr>
              <w:widowControl w:val="0"/>
              <w:rPr>
                <w:sz w:val="16"/>
                <w:szCs w:val="16"/>
                <w:lang w:val="es-ES_tradnl"/>
              </w:rPr>
            </w:pPr>
          </w:p>
        </w:tc>
        <w:tc>
          <w:tcPr>
            <w:tcW w:w="567" w:type="pct"/>
            <w:tcBorders>
              <w:bottom w:val="single" w:sz="4" w:space="0" w:color="auto"/>
            </w:tcBorders>
            <w:shd w:val="clear" w:color="auto" w:fill="auto"/>
            <w:tcMar>
              <w:top w:w="110" w:type="dxa"/>
            </w:tcMar>
          </w:tcPr>
          <w:p w:rsidR="00B070BF" w:rsidRPr="009577DE" w:rsidRDefault="00B070BF" w:rsidP="00C33D4A">
            <w:pPr>
              <w:widowControl w:val="0"/>
              <w:jc w:val="center"/>
              <w:rPr>
                <w:b/>
                <w:sz w:val="16"/>
                <w:szCs w:val="16"/>
                <w:lang w:val="es-ES_tradnl"/>
              </w:rPr>
            </w:pPr>
            <w:r w:rsidRPr="009577DE">
              <w:rPr>
                <w:b/>
                <w:color w:val="008000"/>
                <w:sz w:val="16"/>
                <w:szCs w:val="16"/>
                <w:lang w:val="es-ES_tradnl"/>
              </w:rPr>
              <w:t>Progresa con normalidad</w:t>
            </w:r>
          </w:p>
          <w:p w:rsidR="00B070BF" w:rsidRPr="009577DE" w:rsidRDefault="00B070BF" w:rsidP="00C33D4A">
            <w:pPr>
              <w:widowControl w:val="0"/>
              <w:jc w:val="center"/>
              <w:rPr>
                <w:bCs/>
                <w:sz w:val="16"/>
                <w:szCs w:val="16"/>
                <w:lang w:val="es-ES_tradnl"/>
              </w:rPr>
            </w:pPr>
          </w:p>
          <w:p w:rsidR="00B070BF" w:rsidRPr="009577DE" w:rsidRDefault="00B070BF" w:rsidP="00C33D4A">
            <w:pPr>
              <w:widowControl w:val="0"/>
              <w:jc w:val="center"/>
              <w:rPr>
                <w:bCs/>
                <w:sz w:val="16"/>
                <w:szCs w:val="16"/>
                <w:lang w:val="es-ES_tradnl"/>
              </w:rPr>
            </w:pPr>
          </w:p>
        </w:tc>
      </w:tr>
      <w:tr w:rsidR="00B070BF" w:rsidRPr="009577DE" w:rsidTr="00C33D4A">
        <w:trPr>
          <w:cantSplit/>
        </w:trPr>
        <w:tc>
          <w:tcPr>
            <w:tcW w:w="5000" w:type="pct"/>
            <w:gridSpan w:val="7"/>
            <w:tcBorders>
              <w:top w:val="single" w:sz="4" w:space="0" w:color="auto"/>
              <w:bottom w:val="single" w:sz="4" w:space="0" w:color="auto"/>
            </w:tcBorders>
            <w:shd w:val="clear" w:color="auto" w:fill="CCFFFF"/>
            <w:vAlign w:val="center"/>
          </w:tcPr>
          <w:p w:rsidR="00B070BF" w:rsidRPr="009577DE" w:rsidRDefault="00B070BF" w:rsidP="00C33D4A">
            <w:pPr>
              <w:widowControl w:val="0"/>
              <w:spacing w:before="120" w:after="120"/>
              <w:ind w:left="1735" w:hanging="1735"/>
              <w:rPr>
                <w:b/>
                <w:bCs/>
                <w:sz w:val="16"/>
                <w:szCs w:val="16"/>
                <w:lang w:val="es-ES_tradnl"/>
              </w:rPr>
            </w:pPr>
            <w:r w:rsidRPr="009577DE">
              <w:rPr>
                <w:b/>
                <w:bCs/>
                <w:sz w:val="16"/>
                <w:szCs w:val="16"/>
                <w:lang w:val="es-ES_tradnl"/>
              </w:rPr>
              <w:t>Resultado previsto:</w:t>
            </w:r>
            <w:r w:rsidRPr="009577DE">
              <w:rPr>
                <w:b/>
                <w:bCs/>
                <w:sz w:val="16"/>
                <w:szCs w:val="16"/>
                <w:lang w:val="es-ES_tradnl"/>
              </w:rPr>
              <w:tab/>
            </w:r>
            <w:r w:rsidRPr="009577DE">
              <w:rPr>
                <w:bCs/>
                <w:sz w:val="16"/>
                <w:szCs w:val="16"/>
                <w:lang w:val="es-ES_tradnl"/>
              </w:rPr>
              <w:t xml:space="preserve"> Fomento del acceso a la información jurídica relativa a la P.I. y de su uso.</w:t>
            </w:r>
          </w:p>
        </w:tc>
      </w:tr>
      <w:tr w:rsidR="00B070BF" w:rsidRPr="009577DE" w:rsidTr="00C33D4A">
        <w:trPr>
          <w:cantSplit/>
        </w:trPr>
        <w:tc>
          <w:tcPr>
            <w:tcW w:w="960" w:type="pct"/>
            <w:tcBorders>
              <w:top w:val="single" w:sz="4" w:space="0" w:color="auto"/>
            </w:tcBorders>
            <w:shd w:val="clear" w:color="auto" w:fill="auto"/>
            <w:vAlign w:val="center"/>
          </w:tcPr>
          <w:p w:rsidR="00B070BF" w:rsidRPr="009577DE" w:rsidRDefault="00B070BF" w:rsidP="00C33D4A">
            <w:pPr>
              <w:widowControl w:val="0"/>
              <w:spacing w:after="120"/>
              <w:rPr>
                <w:sz w:val="16"/>
                <w:szCs w:val="16"/>
                <w:lang w:val="es-ES_tradnl"/>
              </w:rPr>
            </w:pPr>
            <w:r w:rsidRPr="009577DE">
              <w:rPr>
                <w:b/>
                <w:bCs/>
                <w:sz w:val="16"/>
                <w:szCs w:val="16"/>
                <w:lang w:val="es-ES_tradnl"/>
              </w:rPr>
              <w:t>Indicadores de rendimiento</w:t>
            </w:r>
          </w:p>
        </w:tc>
        <w:tc>
          <w:tcPr>
            <w:tcW w:w="1106" w:type="pct"/>
            <w:tcBorders>
              <w:top w:val="single" w:sz="4" w:space="0" w:color="auto"/>
            </w:tcBorders>
            <w:shd w:val="clear" w:color="auto" w:fill="C0C0C0"/>
          </w:tcPr>
          <w:p w:rsidR="00B070BF" w:rsidRPr="009577DE" w:rsidRDefault="00B070BF" w:rsidP="00C33D4A">
            <w:pPr>
              <w:widowControl w:val="0"/>
              <w:spacing w:after="120"/>
              <w:rPr>
                <w:b/>
                <w:bCs/>
                <w:sz w:val="16"/>
                <w:szCs w:val="16"/>
                <w:lang w:val="es-ES_tradnl"/>
              </w:rPr>
            </w:pPr>
            <w:r w:rsidRPr="009577DE">
              <w:rPr>
                <w:b/>
                <w:bCs/>
                <w:sz w:val="16"/>
                <w:szCs w:val="16"/>
                <w:lang w:val="es-ES_tradnl"/>
              </w:rPr>
              <w:t>Referencia (</w:t>
            </w:r>
            <w:proofErr w:type="spellStart"/>
            <w:r w:rsidRPr="009577DE">
              <w:rPr>
                <w:b/>
                <w:bCs/>
                <w:sz w:val="16"/>
                <w:szCs w:val="16"/>
                <w:lang w:val="es-ES_tradnl"/>
              </w:rPr>
              <w:t>Presup</w:t>
            </w:r>
            <w:proofErr w:type="spellEnd"/>
            <w:r w:rsidRPr="009577DE">
              <w:rPr>
                <w:b/>
                <w:bCs/>
                <w:sz w:val="16"/>
                <w:szCs w:val="16"/>
                <w:lang w:val="es-ES_tradnl"/>
              </w:rPr>
              <w:t xml:space="preserve">. por </w:t>
            </w:r>
            <w:proofErr w:type="spellStart"/>
            <w:r w:rsidRPr="009577DE">
              <w:rPr>
                <w:b/>
                <w:bCs/>
                <w:sz w:val="16"/>
                <w:szCs w:val="16"/>
                <w:lang w:val="es-ES_tradnl"/>
              </w:rPr>
              <w:t>prog</w:t>
            </w:r>
            <w:proofErr w:type="spellEnd"/>
            <w:r w:rsidRPr="009577DE">
              <w:rPr>
                <w:b/>
                <w:bCs/>
                <w:sz w:val="16"/>
                <w:szCs w:val="16"/>
                <w:lang w:val="es-ES_tradnl"/>
              </w:rPr>
              <w:t>. 2012/13)</w:t>
            </w:r>
          </w:p>
        </w:tc>
        <w:tc>
          <w:tcPr>
            <w:tcW w:w="567" w:type="pct"/>
            <w:tcBorders>
              <w:top w:val="single" w:sz="4" w:space="0" w:color="auto"/>
            </w:tcBorders>
            <w:shd w:val="clear" w:color="auto" w:fill="auto"/>
            <w:tcMar>
              <w:top w:w="110" w:type="dxa"/>
            </w:tcMar>
            <w:vAlign w:val="center"/>
          </w:tcPr>
          <w:p w:rsidR="00B070BF" w:rsidRPr="009577DE" w:rsidRDefault="00B070BF" w:rsidP="00C33D4A">
            <w:pPr>
              <w:widowControl w:val="0"/>
              <w:spacing w:after="120"/>
              <w:rPr>
                <w:b/>
                <w:sz w:val="16"/>
                <w:szCs w:val="16"/>
                <w:lang w:val="es-ES_tradnl"/>
              </w:rPr>
            </w:pPr>
            <w:r w:rsidRPr="00BF138D">
              <w:rPr>
                <w:b/>
                <w:color w:val="993300"/>
                <w:sz w:val="16"/>
                <w:szCs w:val="16"/>
                <w:lang w:val="es-ES_tradnl"/>
              </w:rPr>
              <w:t>Referencia actualizada a finales de 2011</w:t>
            </w:r>
            <w:r w:rsidRPr="009577DE">
              <w:rPr>
                <w:b/>
                <w:sz w:val="16"/>
                <w:szCs w:val="16"/>
                <w:lang w:val="es-ES_tradnl"/>
              </w:rPr>
              <w:t xml:space="preserve"> </w:t>
            </w:r>
          </w:p>
        </w:tc>
        <w:tc>
          <w:tcPr>
            <w:tcW w:w="1800" w:type="pct"/>
            <w:gridSpan w:val="3"/>
            <w:tcBorders>
              <w:top w:val="single" w:sz="4" w:space="0" w:color="auto"/>
            </w:tcBorders>
            <w:shd w:val="clear" w:color="auto" w:fill="FFFFFF"/>
            <w:tcMar>
              <w:top w:w="110" w:type="dxa"/>
            </w:tcMar>
            <w:vAlign w:val="center"/>
          </w:tcPr>
          <w:p w:rsidR="00B070BF" w:rsidRPr="009577DE" w:rsidRDefault="00B070BF" w:rsidP="00C33D4A">
            <w:pPr>
              <w:widowControl w:val="0"/>
              <w:spacing w:after="120"/>
              <w:rPr>
                <w:sz w:val="16"/>
                <w:szCs w:val="16"/>
                <w:lang w:val="es-ES_tradnl"/>
              </w:rPr>
            </w:pPr>
            <w:r w:rsidRPr="009577DE">
              <w:rPr>
                <w:b/>
                <w:bCs/>
                <w:sz w:val="16"/>
                <w:szCs w:val="16"/>
                <w:lang w:val="es-ES_tradnl"/>
              </w:rPr>
              <w:t>Datos sobre el rendimiento</w:t>
            </w:r>
          </w:p>
        </w:tc>
        <w:tc>
          <w:tcPr>
            <w:tcW w:w="567" w:type="pct"/>
            <w:tcBorders>
              <w:top w:val="single" w:sz="4" w:space="0" w:color="auto"/>
            </w:tcBorders>
            <w:shd w:val="clear" w:color="auto" w:fill="auto"/>
            <w:tcMar>
              <w:top w:w="110" w:type="dxa"/>
            </w:tcMar>
            <w:vAlign w:val="center"/>
          </w:tcPr>
          <w:p w:rsidR="00B070BF" w:rsidRPr="009577DE" w:rsidRDefault="00B070BF" w:rsidP="00C33D4A">
            <w:pPr>
              <w:widowControl w:val="0"/>
              <w:spacing w:after="120"/>
              <w:jc w:val="center"/>
              <w:rPr>
                <w:b/>
                <w:bCs/>
                <w:sz w:val="16"/>
                <w:szCs w:val="16"/>
                <w:lang w:val="es-ES_tradnl"/>
              </w:rPr>
            </w:pPr>
            <w:r w:rsidRPr="009577DE">
              <w:rPr>
                <w:b/>
                <w:bCs/>
                <w:sz w:val="16"/>
                <w:szCs w:val="16"/>
                <w:lang w:val="es-ES_tradnl"/>
              </w:rPr>
              <w:t>Clave de colores</w:t>
            </w:r>
          </w:p>
        </w:tc>
      </w:tr>
      <w:tr w:rsidR="00B070BF" w:rsidRPr="009577DE" w:rsidTr="00C33D4A">
        <w:trPr>
          <w:cantSplit/>
        </w:trPr>
        <w:tc>
          <w:tcPr>
            <w:tcW w:w="960" w:type="pct"/>
            <w:shd w:val="clear" w:color="auto" w:fill="auto"/>
          </w:tcPr>
          <w:p w:rsidR="00B070BF" w:rsidRPr="009577DE" w:rsidRDefault="00B070BF" w:rsidP="00C33D4A">
            <w:pPr>
              <w:widowControl w:val="0"/>
              <w:rPr>
                <w:sz w:val="16"/>
                <w:szCs w:val="16"/>
                <w:lang w:val="es-ES_tradnl"/>
              </w:rPr>
            </w:pPr>
            <w:r w:rsidRPr="009577DE">
              <w:rPr>
                <w:sz w:val="16"/>
                <w:szCs w:val="16"/>
                <w:lang w:val="es-ES_tradnl"/>
              </w:rPr>
              <w:t xml:space="preserve">Mejor cobertura de la información jurídica relativa a la P.I. almacenada en la base de datos WIPO </w:t>
            </w:r>
            <w:proofErr w:type="spellStart"/>
            <w:r w:rsidRPr="009577DE">
              <w:rPr>
                <w:sz w:val="16"/>
                <w:szCs w:val="16"/>
                <w:lang w:val="es-ES_tradnl"/>
              </w:rPr>
              <w:t>Lex</w:t>
            </w:r>
            <w:proofErr w:type="spellEnd"/>
            <w:r w:rsidRPr="009577DE">
              <w:rPr>
                <w:sz w:val="16"/>
                <w:szCs w:val="16"/>
                <w:lang w:val="es-ES_tradnl"/>
              </w:rPr>
              <w:t>.</w:t>
            </w:r>
          </w:p>
        </w:tc>
        <w:tc>
          <w:tcPr>
            <w:tcW w:w="1106" w:type="pct"/>
            <w:shd w:val="clear" w:color="auto" w:fill="C0C0C0"/>
          </w:tcPr>
          <w:p w:rsidR="00B070BF" w:rsidRPr="009577DE" w:rsidRDefault="00B070BF" w:rsidP="00C33D4A">
            <w:pPr>
              <w:widowControl w:val="0"/>
              <w:rPr>
                <w:sz w:val="16"/>
                <w:szCs w:val="16"/>
                <w:lang w:val="es-ES_tradnl"/>
              </w:rPr>
            </w:pPr>
            <w:r w:rsidRPr="009577DE">
              <w:rPr>
                <w:sz w:val="16"/>
                <w:szCs w:val="16"/>
                <w:lang w:val="es-ES_tradnl"/>
              </w:rPr>
              <w:t>Cobertura limitada de los tratados regionales de integración económica (23, de los cuales 13 han sido notificados a la OMC) y de los tratados bilaterales que contienen disposiciones relacionadas con la P.I. (actualmente 90, de los cuales 40 han sido notificados a la OMC). </w:t>
            </w:r>
          </w:p>
        </w:tc>
        <w:tc>
          <w:tcPr>
            <w:tcW w:w="567" w:type="pct"/>
            <w:shd w:val="clear" w:color="auto" w:fill="auto"/>
            <w:tcMar>
              <w:top w:w="110" w:type="dxa"/>
            </w:tcMar>
          </w:tcPr>
          <w:p w:rsidR="00B070BF" w:rsidRPr="009577DE" w:rsidRDefault="00B070BF" w:rsidP="00C33D4A">
            <w:pPr>
              <w:widowControl w:val="0"/>
              <w:rPr>
                <w:sz w:val="16"/>
                <w:szCs w:val="16"/>
                <w:lang w:val="es-ES_tradnl"/>
              </w:rPr>
            </w:pPr>
          </w:p>
        </w:tc>
        <w:tc>
          <w:tcPr>
            <w:tcW w:w="1800" w:type="pct"/>
            <w:gridSpan w:val="3"/>
            <w:shd w:val="clear" w:color="auto" w:fill="FFFFFF"/>
            <w:tcMar>
              <w:top w:w="110" w:type="dxa"/>
            </w:tcMar>
          </w:tcPr>
          <w:p w:rsidR="00B070BF" w:rsidRPr="009577DE" w:rsidRDefault="00B070BF" w:rsidP="00C33D4A">
            <w:pPr>
              <w:widowControl w:val="0"/>
              <w:rPr>
                <w:sz w:val="16"/>
                <w:szCs w:val="16"/>
                <w:lang w:val="es-ES_tradnl" w:bidi="th-TH"/>
              </w:rPr>
            </w:pPr>
            <w:r w:rsidRPr="009577DE">
              <w:rPr>
                <w:sz w:val="16"/>
                <w:szCs w:val="16"/>
                <w:lang w:val="es-ES_tradnl"/>
              </w:rPr>
              <w:t xml:space="preserve">56 tratados regionales de integración económica y 484 tratados bilaterales que contienen disposiciones relacionadas con la P.I.  </w:t>
            </w:r>
          </w:p>
          <w:p w:rsidR="00B070BF" w:rsidRPr="009577DE" w:rsidRDefault="00B070BF" w:rsidP="00C33D4A">
            <w:pPr>
              <w:widowControl w:val="0"/>
              <w:rPr>
                <w:sz w:val="16"/>
                <w:szCs w:val="16"/>
                <w:lang w:val="es-ES_tradnl" w:bidi="th-TH"/>
              </w:rPr>
            </w:pPr>
          </w:p>
          <w:p w:rsidR="00B070BF" w:rsidRPr="009577DE" w:rsidRDefault="00B070BF" w:rsidP="00C33D4A">
            <w:pPr>
              <w:widowControl w:val="0"/>
              <w:rPr>
                <w:sz w:val="16"/>
                <w:szCs w:val="16"/>
                <w:lang w:val="es-ES_tradnl"/>
              </w:rPr>
            </w:pPr>
          </w:p>
        </w:tc>
        <w:tc>
          <w:tcPr>
            <w:tcW w:w="567" w:type="pct"/>
            <w:shd w:val="clear" w:color="auto" w:fill="auto"/>
            <w:tcMar>
              <w:top w:w="110" w:type="dxa"/>
            </w:tcMar>
          </w:tcPr>
          <w:p w:rsidR="00B070BF" w:rsidRPr="009577DE" w:rsidRDefault="00B070BF" w:rsidP="00C33D4A">
            <w:pPr>
              <w:widowControl w:val="0"/>
              <w:jc w:val="center"/>
              <w:rPr>
                <w:b/>
                <w:sz w:val="16"/>
                <w:szCs w:val="16"/>
                <w:lang w:val="es-ES_tradnl"/>
              </w:rPr>
            </w:pPr>
            <w:r w:rsidRPr="009577DE">
              <w:rPr>
                <w:b/>
                <w:color w:val="008000"/>
                <w:sz w:val="16"/>
                <w:szCs w:val="16"/>
                <w:lang w:val="es-ES_tradnl"/>
              </w:rPr>
              <w:t>Progresa con normalidad</w:t>
            </w:r>
          </w:p>
          <w:p w:rsidR="00B070BF" w:rsidRPr="009577DE" w:rsidRDefault="00B070BF" w:rsidP="00C33D4A">
            <w:pPr>
              <w:widowControl w:val="0"/>
              <w:jc w:val="center"/>
              <w:rPr>
                <w:bCs/>
                <w:sz w:val="16"/>
                <w:szCs w:val="16"/>
                <w:lang w:val="es-ES_tradnl"/>
              </w:rPr>
            </w:pPr>
          </w:p>
          <w:p w:rsidR="00B070BF" w:rsidRPr="009577DE" w:rsidRDefault="00B070BF" w:rsidP="00C33D4A">
            <w:pPr>
              <w:widowControl w:val="0"/>
              <w:jc w:val="center"/>
              <w:rPr>
                <w:bCs/>
                <w:sz w:val="16"/>
                <w:szCs w:val="16"/>
                <w:lang w:val="es-ES_tradnl"/>
              </w:rPr>
            </w:pPr>
          </w:p>
        </w:tc>
      </w:tr>
    </w:tbl>
    <w:p w:rsidR="00B070BF" w:rsidRPr="009577DE" w:rsidRDefault="00B070BF" w:rsidP="00B070BF">
      <w:pPr>
        <w:widowControl w:val="0"/>
        <w:jc w:val="both"/>
        <w:rPr>
          <w:sz w:val="20"/>
          <w:lang w:val="es-ES_tradnl"/>
        </w:rPr>
      </w:pPr>
    </w:p>
    <w:p w:rsidR="00B070BF" w:rsidRDefault="00B070BF" w:rsidP="00B070BF">
      <w:pPr>
        <w:rPr>
          <w:sz w:val="20"/>
          <w:lang w:val="es-ES_tradnl"/>
        </w:rPr>
      </w:pPr>
      <w:r>
        <w:rPr>
          <w:sz w:val="20"/>
          <w:lang w:val="es-ES_tradnl"/>
        </w:rPr>
        <w:br w:type="page"/>
      </w:r>
    </w:p>
    <w:p w:rsidR="00B070BF" w:rsidRPr="009577DE" w:rsidRDefault="00B070BF" w:rsidP="00B070BF">
      <w:pPr>
        <w:widowControl w:val="0"/>
        <w:rPr>
          <w:sz w:val="20"/>
          <w:lang w:val="es-ES_tradnl"/>
        </w:rPr>
      </w:pPr>
    </w:p>
    <w:p w:rsidR="00B070BF" w:rsidRPr="009577DE" w:rsidRDefault="00B070BF" w:rsidP="00B070BF">
      <w:pPr>
        <w:widowControl w:val="0"/>
        <w:rPr>
          <w:sz w:val="20"/>
          <w:lang w:val="es-ES_tradnl"/>
        </w:rPr>
      </w:pPr>
      <w:r w:rsidRPr="009577DE">
        <w:rPr>
          <w:sz w:val="20"/>
          <w:lang w:val="es-ES_tradnl"/>
        </w:rPr>
        <w:t>PRESUPUESTO Y GASTOS REALES</w:t>
      </w:r>
    </w:p>
    <w:p w:rsidR="00B070BF" w:rsidRPr="006964C6" w:rsidRDefault="00B070BF" w:rsidP="00B070BF">
      <w:pPr>
        <w:widowControl w:val="0"/>
        <w:rPr>
          <w:sz w:val="20"/>
          <w:lang w:val="es-ES_tradnl"/>
        </w:rPr>
      </w:pPr>
    </w:p>
    <w:p w:rsidR="00B070BF" w:rsidRPr="006964C6" w:rsidRDefault="00B070BF" w:rsidP="00B070BF">
      <w:pPr>
        <w:widowControl w:val="0"/>
        <w:jc w:val="center"/>
        <w:rPr>
          <w:sz w:val="20"/>
          <w:lang w:val="es-ES_tradnl"/>
        </w:rPr>
      </w:pPr>
      <w:r w:rsidRPr="006964C6">
        <w:rPr>
          <w:sz w:val="20"/>
          <w:lang w:val="es-ES_tradnl"/>
        </w:rPr>
        <w:t>Presupuesto y gastos reales (por resultado)</w:t>
      </w:r>
    </w:p>
    <w:p w:rsidR="00B070BF" w:rsidRPr="009577DE" w:rsidRDefault="00B070BF" w:rsidP="00B070BF">
      <w:pPr>
        <w:widowControl w:val="0"/>
        <w:jc w:val="center"/>
        <w:rPr>
          <w:sz w:val="20"/>
          <w:lang w:val="es-ES_tradnl"/>
        </w:rPr>
      </w:pPr>
      <w:r w:rsidRPr="006964C6">
        <w:rPr>
          <w:i/>
          <w:iCs/>
          <w:sz w:val="20"/>
          <w:lang w:val="es-ES_tradnl"/>
        </w:rPr>
        <w:t>(en miles de francos suizos)</w:t>
      </w:r>
      <w:r w:rsidRPr="006964C6">
        <w:rPr>
          <w:i/>
          <w:iCs/>
          <w:sz w:val="20"/>
          <w:lang w:val="es-ES_tradnl"/>
        </w:rPr>
        <w:br/>
      </w:r>
      <w:r w:rsidRPr="006964C6">
        <w:rPr>
          <w:i/>
          <w:iCs/>
          <w:sz w:val="20"/>
          <w:lang w:val="es-ES_tradnl"/>
        </w:rPr>
        <w:br/>
      </w:r>
      <w:r w:rsidRPr="009577DE">
        <w:rPr>
          <w:noProof/>
          <w:lang w:val="en-US" w:eastAsia="en-US"/>
        </w:rPr>
        <w:drawing>
          <wp:inline distT="0" distB="0" distL="0" distR="0" wp14:anchorId="5B5DBEED" wp14:editId="36727911">
            <wp:extent cx="5902325" cy="2101850"/>
            <wp:effectExtent l="0" t="0" r="3175" b="0"/>
            <wp:docPr id="240" name="Pictur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902325" cy="2101850"/>
                    </a:xfrm>
                    <a:prstGeom prst="rect">
                      <a:avLst/>
                    </a:prstGeom>
                    <a:noFill/>
                    <a:ln>
                      <a:noFill/>
                    </a:ln>
                  </pic:spPr>
                </pic:pic>
              </a:graphicData>
            </a:graphic>
          </wp:inline>
        </w:drawing>
      </w:r>
    </w:p>
    <w:p w:rsidR="00B070BF" w:rsidRPr="006964C6" w:rsidRDefault="00B070BF" w:rsidP="00B070BF">
      <w:pPr>
        <w:widowControl w:val="0"/>
        <w:jc w:val="center"/>
        <w:rPr>
          <w:sz w:val="20"/>
          <w:lang w:val="es-ES_tradnl"/>
        </w:rPr>
      </w:pPr>
    </w:p>
    <w:p w:rsidR="00B070BF" w:rsidRPr="006964C6" w:rsidRDefault="00B070BF" w:rsidP="00B070BF">
      <w:pPr>
        <w:widowControl w:val="0"/>
        <w:jc w:val="center"/>
        <w:rPr>
          <w:sz w:val="20"/>
          <w:lang w:val="es-ES_tradnl"/>
        </w:rPr>
      </w:pPr>
    </w:p>
    <w:p w:rsidR="00B070BF" w:rsidRPr="009577DE" w:rsidRDefault="00B070BF" w:rsidP="00B070BF">
      <w:pPr>
        <w:widowControl w:val="0"/>
        <w:jc w:val="center"/>
        <w:rPr>
          <w:sz w:val="20"/>
          <w:lang w:val="es-ES_tradnl"/>
        </w:rPr>
      </w:pPr>
      <w:r w:rsidRPr="006964C6">
        <w:rPr>
          <w:sz w:val="20"/>
          <w:lang w:val="es-ES_tradnl"/>
        </w:rPr>
        <w:t>Presupuesto y gastos reales (de personal y no relativos al personal)</w:t>
      </w:r>
      <w:r w:rsidRPr="006964C6">
        <w:rPr>
          <w:sz w:val="20"/>
          <w:lang w:val="es-ES_tradnl"/>
        </w:rPr>
        <w:br/>
      </w:r>
      <w:r w:rsidRPr="006964C6">
        <w:rPr>
          <w:i/>
          <w:sz w:val="20"/>
          <w:lang w:val="es-ES_tradnl"/>
        </w:rPr>
        <w:t>(en miles de francos suizos)</w:t>
      </w:r>
      <w:r w:rsidRPr="006964C6">
        <w:rPr>
          <w:sz w:val="20"/>
          <w:lang w:val="es-ES_tradnl"/>
        </w:rPr>
        <w:br/>
      </w:r>
      <w:r w:rsidRPr="006964C6">
        <w:rPr>
          <w:sz w:val="20"/>
          <w:lang w:val="es-ES_tradnl"/>
        </w:rPr>
        <w:br/>
      </w:r>
      <w:r w:rsidRPr="009577DE">
        <w:rPr>
          <w:noProof/>
          <w:lang w:val="en-US" w:eastAsia="en-US"/>
        </w:rPr>
        <w:drawing>
          <wp:inline distT="0" distB="0" distL="0" distR="0" wp14:anchorId="609B5B63" wp14:editId="430DD97A">
            <wp:extent cx="5902325" cy="1270635"/>
            <wp:effectExtent l="0" t="0" r="3175" b="5715"/>
            <wp:docPr id="239"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5902325" cy="1270635"/>
                    </a:xfrm>
                    <a:prstGeom prst="rect">
                      <a:avLst/>
                    </a:prstGeom>
                    <a:noFill/>
                    <a:ln>
                      <a:noFill/>
                    </a:ln>
                  </pic:spPr>
                </pic:pic>
              </a:graphicData>
            </a:graphic>
          </wp:inline>
        </w:drawing>
      </w:r>
    </w:p>
    <w:p w:rsidR="00B070BF" w:rsidRPr="009577DE" w:rsidRDefault="00B070BF" w:rsidP="00B070BF">
      <w:pPr>
        <w:widowControl w:val="0"/>
        <w:autoSpaceDE w:val="0"/>
        <w:autoSpaceDN w:val="0"/>
        <w:adjustRightInd w:val="0"/>
        <w:rPr>
          <w:i/>
          <w:sz w:val="20"/>
          <w:u w:val="single"/>
          <w:lang w:val="es-ES_tradnl"/>
        </w:rPr>
      </w:pPr>
    </w:p>
    <w:p w:rsidR="00B070BF" w:rsidRPr="009577DE" w:rsidRDefault="00B070BF" w:rsidP="00B070BF">
      <w:pPr>
        <w:widowControl w:val="0"/>
        <w:autoSpaceDE w:val="0"/>
        <w:autoSpaceDN w:val="0"/>
        <w:adjustRightInd w:val="0"/>
        <w:rPr>
          <w:sz w:val="20"/>
          <w:lang w:val="es-ES_tradnl"/>
        </w:rPr>
      </w:pPr>
      <w:r w:rsidRPr="007C3E0F">
        <w:rPr>
          <w:sz w:val="20"/>
          <w:lang w:val="es-ES_tradnl"/>
        </w:rPr>
        <w:t>NOTAS:</w:t>
      </w:r>
    </w:p>
    <w:p w:rsidR="00B070BF" w:rsidRPr="009577DE" w:rsidRDefault="00B070BF" w:rsidP="00B070BF">
      <w:pPr>
        <w:widowControl w:val="0"/>
        <w:autoSpaceDE w:val="0"/>
        <w:autoSpaceDN w:val="0"/>
        <w:adjustRightInd w:val="0"/>
        <w:rPr>
          <w:sz w:val="16"/>
          <w:szCs w:val="16"/>
          <w:lang w:val="es-ES_tradnl"/>
        </w:rPr>
      </w:pPr>
    </w:p>
    <w:p w:rsidR="00B070BF" w:rsidRPr="009577DE" w:rsidRDefault="00B070BF" w:rsidP="00B070BF">
      <w:pPr>
        <w:widowControl w:val="0"/>
        <w:autoSpaceDE w:val="0"/>
        <w:autoSpaceDN w:val="0"/>
        <w:adjustRightInd w:val="0"/>
        <w:rPr>
          <w:sz w:val="16"/>
          <w:szCs w:val="16"/>
          <w:lang w:val="es-ES_tradnl"/>
        </w:rPr>
      </w:pPr>
      <w:r w:rsidRPr="009577DE">
        <w:rPr>
          <w:sz w:val="16"/>
          <w:szCs w:val="16"/>
          <w:lang w:val="es-ES_tradnl"/>
        </w:rPr>
        <w:t>1) El presupuesto después de las transferencias refleja el presupuesto de los programas ajustado después de las transferencias efectuadas en 2012/13 en virtud del artículo 5.5 del Reglamento Financiero.</w:t>
      </w:r>
    </w:p>
    <w:p w:rsidR="00B070BF" w:rsidRPr="009577DE" w:rsidRDefault="00B070BF" w:rsidP="00B070BF">
      <w:pPr>
        <w:widowControl w:val="0"/>
        <w:autoSpaceDE w:val="0"/>
        <w:autoSpaceDN w:val="0"/>
        <w:adjustRightInd w:val="0"/>
        <w:rPr>
          <w:sz w:val="16"/>
          <w:szCs w:val="16"/>
          <w:lang w:val="es-ES_tradnl"/>
        </w:rPr>
      </w:pPr>
    </w:p>
    <w:p w:rsidR="00B070BF" w:rsidRPr="009577DE" w:rsidRDefault="00B070BF" w:rsidP="00B070BF">
      <w:pPr>
        <w:widowControl w:val="0"/>
        <w:autoSpaceDE w:val="0"/>
        <w:autoSpaceDN w:val="0"/>
        <w:adjustRightInd w:val="0"/>
        <w:rPr>
          <w:sz w:val="16"/>
          <w:szCs w:val="16"/>
          <w:lang w:val="es-ES_tradnl"/>
        </w:rPr>
      </w:pPr>
      <w:r w:rsidRPr="009577DE">
        <w:rPr>
          <w:sz w:val="16"/>
          <w:szCs w:val="16"/>
          <w:lang w:val="es-ES_tradnl"/>
        </w:rPr>
        <w:t xml:space="preserve">2) La asignación para el personal del presupuesto de 2012/13 después de las transferencias representa los gastos reales efectuados hasta el 31 de marzo de 2013 y los importes presupuestados para los nueve meses restantes de 2013, sobre la base de costos estándar. </w:t>
      </w:r>
    </w:p>
    <w:p w:rsidR="00B070BF" w:rsidRPr="009577DE" w:rsidRDefault="00B070BF" w:rsidP="00B070BF">
      <w:pPr>
        <w:widowControl w:val="0"/>
        <w:autoSpaceDE w:val="0"/>
        <w:autoSpaceDN w:val="0"/>
        <w:adjustRightInd w:val="0"/>
        <w:rPr>
          <w:sz w:val="16"/>
          <w:szCs w:val="16"/>
          <w:lang w:val="es-ES_tradnl"/>
        </w:rPr>
      </w:pPr>
    </w:p>
    <w:p w:rsidR="00B070BF" w:rsidRPr="009577DE" w:rsidRDefault="00B070BF" w:rsidP="00B070BF">
      <w:pPr>
        <w:widowControl w:val="0"/>
        <w:autoSpaceDE w:val="0"/>
        <w:autoSpaceDN w:val="0"/>
        <w:adjustRightInd w:val="0"/>
        <w:rPr>
          <w:sz w:val="16"/>
          <w:szCs w:val="16"/>
          <w:lang w:val="es-ES_tradnl"/>
        </w:rPr>
      </w:pPr>
      <w:r w:rsidRPr="009577DE">
        <w:rPr>
          <w:sz w:val="16"/>
          <w:szCs w:val="16"/>
          <w:lang w:val="es-ES_tradnl"/>
        </w:rPr>
        <w:t>3) La asignación no relativa al personal del presupuesto de 2012/13 después de las transferencias refleja los ajustes a la baja efectuados para aumentar la eficacia en función de los costos, de conformidad con el compromiso de la Organización de reducir gastos por un importe de 10,2 millones de francos suizos en el bienio 2012/13.</w:t>
      </w:r>
    </w:p>
    <w:p w:rsidR="00B070BF" w:rsidRPr="009577DE" w:rsidRDefault="00B070BF" w:rsidP="00B070BF">
      <w:pPr>
        <w:widowControl w:val="0"/>
        <w:rPr>
          <w:sz w:val="20"/>
          <w:lang w:val="es-ES_tradnl"/>
        </w:rPr>
      </w:pPr>
    </w:p>
    <w:p w:rsidR="00B070BF" w:rsidRPr="009577DE" w:rsidRDefault="00B070BF" w:rsidP="00B070BF">
      <w:pPr>
        <w:widowControl w:val="0"/>
        <w:jc w:val="both"/>
        <w:rPr>
          <w:rFonts w:eastAsia="Times New Roman"/>
          <w:sz w:val="20"/>
          <w:lang w:val="es-ES_tradnl" w:eastAsia="en-US"/>
        </w:rPr>
      </w:pPr>
    </w:p>
    <w:p w:rsidR="00B070BF" w:rsidRPr="009577DE" w:rsidRDefault="00B070BF" w:rsidP="00B070BF">
      <w:pPr>
        <w:widowControl w:val="0"/>
        <w:jc w:val="both"/>
        <w:rPr>
          <w:rFonts w:eastAsia="Times New Roman"/>
          <w:sz w:val="20"/>
          <w:u w:val="single"/>
          <w:lang w:val="es-ES_tradnl" w:eastAsia="en-US"/>
        </w:rPr>
      </w:pPr>
      <w:r>
        <w:rPr>
          <w:rFonts w:eastAsia="Times New Roman"/>
          <w:sz w:val="20"/>
          <w:lang w:val="es-ES_tradnl" w:eastAsia="en-US"/>
        </w:rPr>
        <w:t xml:space="preserve">A.  </w:t>
      </w:r>
      <w:r w:rsidRPr="009577DE">
        <w:rPr>
          <w:rFonts w:eastAsia="Times New Roman"/>
          <w:sz w:val="20"/>
          <w:u w:val="single"/>
          <w:lang w:val="es-ES_tradnl" w:eastAsia="en-US"/>
        </w:rPr>
        <w:t xml:space="preserve">Presupuesto </w:t>
      </w:r>
      <w:r>
        <w:rPr>
          <w:rFonts w:eastAsia="Times New Roman"/>
          <w:sz w:val="20"/>
          <w:u w:val="single"/>
          <w:lang w:val="es-ES_tradnl" w:eastAsia="en-US"/>
        </w:rPr>
        <w:t>2012/13</w:t>
      </w:r>
      <w:r w:rsidRPr="009577DE">
        <w:rPr>
          <w:rFonts w:eastAsia="Times New Roman"/>
          <w:sz w:val="20"/>
          <w:u w:val="single"/>
          <w:lang w:val="es-ES_tradnl" w:eastAsia="en-US"/>
        </w:rPr>
        <w:t xml:space="preserve"> después de las transferencias</w:t>
      </w:r>
    </w:p>
    <w:p w:rsidR="00B070BF" w:rsidRPr="009577DE" w:rsidRDefault="00B070BF" w:rsidP="00B070BF">
      <w:pPr>
        <w:widowControl w:val="0"/>
        <w:jc w:val="both"/>
        <w:rPr>
          <w:rFonts w:eastAsia="Times New Roman"/>
          <w:sz w:val="20"/>
          <w:u w:val="single"/>
          <w:lang w:val="es-ES_tradnl" w:eastAsia="en-US"/>
        </w:rPr>
      </w:pPr>
    </w:p>
    <w:p w:rsidR="00B070BF" w:rsidRPr="009577DE" w:rsidRDefault="00B070BF" w:rsidP="00B070BF">
      <w:pPr>
        <w:widowControl w:val="0"/>
        <w:numPr>
          <w:ilvl w:val="0"/>
          <w:numId w:val="36"/>
        </w:numPr>
        <w:autoSpaceDE w:val="0"/>
        <w:autoSpaceDN w:val="0"/>
        <w:adjustRightInd w:val="0"/>
        <w:jc w:val="both"/>
        <w:rPr>
          <w:rFonts w:eastAsia="Times New Roman"/>
          <w:sz w:val="20"/>
          <w:lang w:val="es-ES_tradnl" w:eastAsia="en-US"/>
        </w:rPr>
      </w:pPr>
      <w:r w:rsidRPr="009577DE">
        <w:rPr>
          <w:rFonts w:eastAsia="Times New Roman"/>
          <w:sz w:val="20"/>
          <w:lang w:val="es-ES_tradnl" w:eastAsia="en-US"/>
        </w:rPr>
        <w:t>El presupuesto de 2012/13 después de las transferencias refleja los ajustes que se detallan en las notas precedentes.</w:t>
      </w:r>
    </w:p>
    <w:p w:rsidR="00B070BF" w:rsidRPr="009577DE" w:rsidRDefault="00B070BF" w:rsidP="00B070BF">
      <w:pPr>
        <w:widowControl w:val="0"/>
        <w:jc w:val="both"/>
        <w:rPr>
          <w:rFonts w:eastAsia="Batang"/>
          <w:sz w:val="20"/>
          <w:lang w:val="es-ES_tradnl" w:eastAsia="ko-KR"/>
        </w:rPr>
      </w:pPr>
    </w:p>
    <w:p w:rsidR="00B070BF" w:rsidRPr="009577DE" w:rsidRDefault="00B070BF" w:rsidP="00B070BF">
      <w:pPr>
        <w:widowControl w:val="0"/>
        <w:jc w:val="both"/>
        <w:rPr>
          <w:rFonts w:eastAsia="Batang"/>
          <w:sz w:val="20"/>
          <w:u w:val="single"/>
          <w:lang w:val="es-ES_tradnl" w:eastAsia="ko-KR"/>
        </w:rPr>
      </w:pPr>
      <w:r w:rsidRPr="009577DE">
        <w:rPr>
          <w:rFonts w:eastAsia="Batang"/>
          <w:sz w:val="20"/>
          <w:lang w:val="es-ES_tradnl" w:eastAsia="ko-KR"/>
        </w:rPr>
        <w:t xml:space="preserve">B. </w:t>
      </w:r>
      <w:r>
        <w:rPr>
          <w:rFonts w:eastAsia="Batang"/>
          <w:sz w:val="20"/>
          <w:lang w:val="es-ES_tradnl" w:eastAsia="ko-KR"/>
        </w:rPr>
        <w:t xml:space="preserve"> </w:t>
      </w:r>
      <w:r w:rsidRPr="009577DE">
        <w:rPr>
          <w:rFonts w:eastAsia="Batang"/>
          <w:sz w:val="20"/>
          <w:u w:val="single"/>
          <w:lang w:val="es-ES_tradnl" w:eastAsia="ko-KR"/>
        </w:rPr>
        <w:t>Utilización del presupuesto 2012</w:t>
      </w:r>
    </w:p>
    <w:p w:rsidR="00B070BF" w:rsidRPr="009577DE" w:rsidRDefault="00B070BF" w:rsidP="00B070BF">
      <w:pPr>
        <w:widowControl w:val="0"/>
        <w:jc w:val="both"/>
        <w:rPr>
          <w:rFonts w:eastAsia="Times New Roman"/>
          <w:b/>
          <w:bCs/>
          <w:sz w:val="20"/>
          <w:lang w:val="es-ES_tradnl" w:eastAsia="en-US"/>
        </w:rPr>
      </w:pPr>
    </w:p>
    <w:p w:rsidR="00B070BF" w:rsidRPr="009577DE" w:rsidRDefault="00B070BF" w:rsidP="00B070BF">
      <w:pPr>
        <w:widowControl w:val="0"/>
        <w:numPr>
          <w:ilvl w:val="0"/>
          <w:numId w:val="36"/>
        </w:numPr>
        <w:autoSpaceDE w:val="0"/>
        <w:autoSpaceDN w:val="0"/>
        <w:adjustRightInd w:val="0"/>
        <w:jc w:val="both"/>
        <w:rPr>
          <w:rFonts w:eastAsia="Batang"/>
          <w:sz w:val="20"/>
          <w:lang w:val="es-ES_tradnl" w:eastAsia="ko-KR"/>
        </w:rPr>
      </w:pPr>
      <w:r w:rsidRPr="009577DE">
        <w:rPr>
          <w:rFonts w:eastAsia="Batang"/>
          <w:sz w:val="20"/>
          <w:lang w:val="es-ES_tradnl" w:eastAsia="ko-KR"/>
        </w:rPr>
        <w:t>La utilización del presupuesto se mantiene entre el 40% y el en el primer año del bienio y progresa con normalidad.</w:t>
      </w:r>
    </w:p>
    <w:p w:rsidR="00B070BF" w:rsidRPr="009577DE" w:rsidRDefault="00B070BF" w:rsidP="00B070BF">
      <w:pPr>
        <w:widowControl w:val="0"/>
        <w:jc w:val="both"/>
        <w:rPr>
          <w:sz w:val="20"/>
          <w:lang w:val="es-ES_tradnl"/>
        </w:rPr>
      </w:pPr>
    </w:p>
    <w:p w:rsidR="00B070BF" w:rsidRPr="009577DE" w:rsidRDefault="00B070BF" w:rsidP="00B070BF">
      <w:pPr>
        <w:widowControl w:val="0"/>
        <w:spacing w:before="240" w:after="60"/>
        <w:ind w:left="2835" w:hanging="2835"/>
        <w:outlineLvl w:val="1"/>
        <w:rPr>
          <w:b/>
          <w:bCs/>
          <w:iCs/>
          <w:caps/>
          <w:szCs w:val="22"/>
          <w:lang w:val="es-ES_tradnl"/>
        </w:rPr>
      </w:pPr>
      <w:r w:rsidRPr="009577DE">
        <w:rPr>
          <w:bCs/>
          <w:iCs/>
          <w:caps/>
          <w:szCs w:val="28"/>
          <w:lang w:val="es-ES_tradnl"/>
        </w:rPr>
        <w:br w:type="page"/>
      </w:r>
      <w:bookmarkStart w:id="56" w:name="_Toc359846808"/>
      <w:bookmarkStart w:id="57" w:name="_Toc359949332"/>
      <w:r w:rsidRPr="009577DE">
        <w:rPr>
          <w:b/>
          <w:bCs/>
          <w:iCs/>
          <w:szCs w:val="22"/>
          <w:lang w:val="es-ES_tradnl"/>
        </w:rPr>
        <w:lastRenderedPageBreak/>
        <w:t>PROGRAMA 22</w:t>
      </w:r>
      <w:r w:rsidRPr="009577DE">
        <w:rPr>
          <w:bCs/>
          <w:iCs/>
          <w:szCs w:val="22"/>
          <w:lang w:val="es-ES_tradnl"/>
        </w:rPr>
        <w:tab/>
      </w:r>
      <w:r w:rsidRPr="009577DE">
        <w:rPr>
          <w:b/>
          <w:bCs/>
          <w:iCs/>
          <w:szCs w:val="22"/>
          <w:lang w:val="es-ES_tradnl"/>
        </w:rPr>
        <w:t>GESTIÓN DE PROGRAMAS Y RECURSOS</w:t>
      </w:r>
      <w:bookmarkEnd w:id="56"/>
      <w:bookmarkEnd w:id="57"/>
    </w:p>
    <w:p w:rsidR="00B070BF" w:rsidRPr="009577DE" w:rsidRDefault="00B070BF" w:rsidP="00B070BF">
      <w:pPr>
        <w:widowControl w:val="0"/>
        <w:tabs>
          <w:tab w:val="left" w:pos="2268"/>
        </w:tabs>
        <w:rPr>
          <w:szCs w:val="22"/>
          <w:lang w:val="es-ES_tradnl"/>
        </w:rPr>
      </w:pPr>
    </w:p>
    <w:p w:rsidR="00B070BF" w:rsidRPr="009577DE" w:rsidRDefault="00B070BF" w:rsidP="00B070BF">
      <w:pPr>
        <w:widowControl w:val="0"/>
        <w:tabs>
          <w:tab w:val="left" w:pos="2268"/>
        </w:tabs>
        <w:rPr>
          <w:szCs w:val="22"/>
          <w:lang w:val="es-ES_tradnl"/>
        </w:rPr>
      </w:pPr>
    </w:p>
    <w:p w:rsidR="00B070BF" w:rsidRPr="009577DE" w:rsidRDefault="00B070BF" w:rsidP="00B070BF">
      <w:pPr>
        <w:widowControl w:val="0"/>
        <w:tabs>
          <w:tab w:val="left" w:pos="2268"/>
        </w:tabs>
        <w:rPr>
          <w:b/>
          <w:szCs w:val="22"/>
          <w:lang w:val="es-ES_tradnl"/>
        </w:rPr>
      </w:pPr>
      <w:r w:rsidRPr="009577DE">
        <w:rPr>
          <w:b/>
          <w:szCs w:val="22"/>
          <w:lang w:val="es-ES_tradnl"/>
        </w:rPr>
        <w:t>Director del Programa</w:t>
      </w:r>
      <w:r w:rsidRPr="009577DE">
        <w:rPr>
          <w:b/>
          <w:szCs w:val="22"/>
          <w:lang w:val="es-ES_tradnl"/>
        </w:rPr>
        <w:tab/>
        <w:t>Sr. A. Sundaram</w:t>
      </w:r>
    </w:p>
    <w:p w:rsidR="00B070BF" w:rsidRPr="009577DE" w:rsidRDefault="00B070BF" w:rsidP="00B070BF">
      <w:pPr>
        <w:widowControl w:val="0"/>
        <w:tabs>
          <w:tab w:val="left" w:pos="2268"/>
        </w:tabs>
        <w:rPr>
          <w:bCs/>
          <w:szCs w:val="22"/>
          <w:lang w:val="es-ES_tradnl"/>
        </w:rPr>
      </w:pPr>
    </w:p>
    <w:p w:rsidR="00B070BF" w:rsidRPr="009577DE" w:rsidRDefault="00B070BF" w:rsidP="00B070BF">
      <w:pPr>
        <w:widowControl w:val="0"/>
        <w:spacing w:line="260" w:lineRule="atLeast"/>
        <w:rPr>
          <w:bCs/>
          <w:szCs w:val="22"/>
          <w:lang w:val="es-ES_tradnl"/>
        </w:rPr>
      </w:pPr>
    </w:p>
    <w:p w:rsidR="00B070BF" w:rsidRPr="009577DE" w:rsidRDefault="00B070BF" w:rsidP="00B070BF">
      <w:pPr>
        <w:widowControl w:val="0"/>
        <w:spacing w:line="260" w:lineRule="atLeast"/>
        <w:rPr>
          <w:bCs/>
          <w:sz w:val="20"/>
          <w:lang w:val="es-ES_tradnl"/>
        </w:rPr>
      </w:pPr>
      <w:r w:rsidRPr="009577DE">
        <w:rPr>
          <w:bCs/>
          <w:sz w:val="20"/>
          <w:lang w:val="es-ES_tradnl"/>
        </w:rPr>
        <w:t>RESEÑA DE LOS AVANCES LOGRADOS EN 2012</w:t>
      </w:r>
    </w:p>
    <w:p w:rsidR="00B070BF" w:rsidRPr="009577DE" w:rsidRDefault="00B070BF" w:rsidP="00B070BF">
      <w:pPr>
        <w:widowControl w:val="0"/>
        <w:autoSpaceDE w:val="0"/>
        <w:autoSpaceDN w:val="0"/>
        <w:adjustRightInd w:val="0"/>
        <w:rPr>
          <w:sz w:val="20"/>
          <w:lang w:val="es-ES_tradnl"/>
        </w:rPr>
      </w:pPr>
    </w:p>
    <w:p w:rsidR="00B070BF" w:rsidRPr="009577DE" w:rsidRDefault="00B070BF" w:rsidP="00B070BF">
      <w:pPr>
        <w:widowControl w:val="0"/>
        <w:numPr>
          <w:ilvl w:val="0"/>
          <w:numId w:val="44"/>
        </w:numPr>
        <w:tabs>
          <w:tab w:val="left" w:pos="709"/>
        </w:tabs>
        <w:autoSpaceDE w:val="0"/>
        <w:autoSpaceDN w:val="0"/>
        <w:adjustRightInd w:val="0"/>
        <w:ind w:left="0" w:firstLine="0"/>
        <w:jc w:val="both"/>
        <w:rPr>
          <w:sz w:val="20"/>
          <w:lang w:val="es-ES_tradnl"/>
        </w:rPr>
      </w:pPr>
      <w:r w:rsidRPr="009577DE">
        <w:rPr>
          <w:sz w:val="20"/>
          <w:lang w:val="es-ES_tradnl"/>
        </w:rPr>
        <w:t>La plataforma de planificación perfeccionada instituida en el presupuesto por pro</w:t>
      </w:r>
      <w:r>
        <w:rPr>
          <w:sz w:val="20"/>
          <w:lang w:val="es-ES_tradnl"/>
        </w:rPr>
        <w:t>gramas de </w:t>
      </w:r>
      <w:r w:rsidRPr="009577DE">
        <w:rPr>
          <w:sz w:val="20"/>
          <w:lang w:val="es-ES_tradnl"/>
        </w:rPr>
        <w:t xml:space="preserve">2012/13 sirvió de base a las sucesivas mejoras de la gestión de los programas y de la gestión financiera que se introdujeron en 2012. </w:t>
      </w:r>
    </w:p>
    <w:p w:rsidR="00B070BF" w:rsidRPr="009577DE" w:rsidRDefault="00B070BF" w:rsidP="00B070BF">
      <w:pPr>
        <w:widowControl w:val="0"/>
        <w:tabs>
          <w:tab w:val="left" w:pos="709"/>
        </w:tabs>
        <w:autoSpaceDE w:val="0"/>
        <w:autoSpaceDN w:val="0"/>
        <w:adjustRightInd w:val="0"/>
        <w:jc w:val="both"/>
        <w:rPr>
          <w:sz w:val="20"/>
          <w:lang w:val="es-ES_tradnl"/>
        </w:rPr>
      </w:pPr>
    </w:p>
    <w:p w:rsidR="00B070BF" w:rsidRPr="009577DE" w:rsidRDefault="00B070BF" w:rsidP="00B070BF">
      <w:pPr>
        <w:widowControl w:val="0"/>
        <w:numPr>
          <w:ilvl w:val="0"/>
          <w:numId w:val="44"/>
        </w:numPr>
        <w:tabs>
          <w:tab w:val="left" w:pos="709"/>
        </w:tabs>
        <w:autoSpaceDE w:val="0"/>
        <w:autoSpaceDN w:val="0"/>
        <w:adjustRightInd w:val="0"/>
        <w:ind w:left="0" w:firstLine="0"/>
        <w:jc w:val="both"/>
        <w:rPr>
          <w:sz w:val="20"/>
          <w:lang w:val="es-ES_tradnl"/>
        </w:rPr>
      </w:pPr>
      <w:r w:rsidRPr="009577DE">
        <w:rPr>
          <w:sz w:val="20"/>
          <w:lang w:val="es-ES_tradnl"/>
        </w:rPr>
        <w:t xml:space="preserve">El ejercicio de planificación anual de 2012 fue objeto de ulteriores perfeccionamientos contando con el apoyo de una herramienta de primera generación para la planificación del trabajo, proporcionada por el proyecto de planificación de los recursos institucionales (PRI) y gestión del rendimiento institucional,  que ajusta rigurosamente los recursos a los resultados previstos a través de las actividades del plan de trabajo. Ello permitió por vez primera a la Secretaría llevar a cabo análisis interinstitucionales de las actividades del plan de trabajo en varias dimensiones (por ejemplo resultados y países), contribuyendo a una mejor coordinación entre las entidades ejecutoras.  Este sistema permitió asimismo a los gestores contrastar por vez primera los gastos reales con su plan de trabajo durante la ejecución.  </w:t>
      </w:r>
    </w:p>
    <w:p w:rsidR="00B070BF" w:rsidRPr="009577DE" w:rsidRDefault="00B070BF" w:rsidP="00B070BF">
      <w:pPr>
        <w:widowControl w:val="0"/>
        <w:tabs>
          <w:tab w:val="left" w:pos="709"/>
        </w:tabs>
        <w:autoSpaceDE w:val="0"/>
        <w:autoSpaceDN w:val="0"/>
        <w:adjustRightInd w:val="0"/>
        <w:jc w:val="both"/>
        <w:rPr>
          <w:sz w:val="20"/>
          <w:lang w:val="es-ES_tradnl"/>
        </w:rPr>
      </w:pPr>
    </w:p>
    <w:p w:rsidR="00B070BF" w:rsidRPr="009577DE" w:rsidRDefault="00B070BF" w:rsidP="00B070BF">
      <w:pPr>
        <w:widowControl w:val="0"/>
        <w:numPr>
          <w:ilvl w:val="0"/>
          <w:numId w:val="44"/>
        </w:numPr>
        <w:tabs>
          <w:tab w:val="left" w:pos="709"/>
        </w:tabs>
        <w:autoSpaceDE w:val="0"/>
        <w:autoSpaceDN w:val="0"/>
        <w:adjustRightInd w:val="0"/>
        <w:ind w:left="0" w:firstLine="0"/>
        <w:jc w:val="both"/>
        <w:rPr>
          <w:sz w:val="20"/>
          <w:lang w:val="es-ES_tradnl"/>
        </w:rPr>
      </w:pPr>
      <w:r w:rsidRPr="009577DE">
        <w:rPr>
          <w:sz w:val="20"/>
          <w:lang w:val="es-ES_tradnl"/>
        </w:rPr>
        <w:t xml:space="preserve">Se llevaron a cabo además importantes progresos en orden al desarrollo de una herramienta de gestión del rendimiento institucional para apoyar el proceso de planificación para el bienio 2014/15.  Esta herramienta fue puesta a disposición de los gestores a comienzos de 2013;  se esperaba de ella un incremento de la eficiencia del proceso de planificación y una mejora de las capacidades analíticas de los documentos producidos por los directores de programa. </w:t>
      </w:r>
    </w:p>
    <w:p w:rsidR="00B070BF" w:rsidRPr="009577DE" w:rsidRDefault="00B070BF" w:rsidP="00B070BF">
      <w:pPr>
        <w:widowControl w:val="0"/>
        <w:tabs>
          <w:tab w:val="left" w:pos="709"/>
        </w:tabs>
        <w:autoSpaceDE w:val="0"/>
        <w:autoSpaceDN w:val="0"/>
        <w:adjustRightInd w:val="0"/>
        <w:rPr>
          <w:sz w:val="20"/>
          <w:lang w:val="es-ES_tradnl"/>
        </w:rPr>
      </w:pPr>
    </w:p>
    <w:p w:rsidR="00B070BF" w:rsidRPr="009577DE" w:rsidRDefault="00B070BF" w:rsidP="00B070BF">
      <w:pPr>
        <w:widowControl w:val="0"/>
        <w:numPr>
          <w:ilvl w:val="0"/>
          <w:numId w:val="44"/>
        </w:numPr>
        <w:tabs>
          <w:tab w:val="left" w:pos="709"/>
        </w:tabs>
        <w:autoSpaceDE w:val="0"/>
        <w:autoSpaceDN w:val="0"/>
        <w:adjustRightInd w:val="0"/>
        <w:ind w:left="0" w:firstLine="0"/>
        <w:jc w:val="both"/>
        <w:rPr>
          <w:sz w:val="20"/>
          <w:lang w:val="es-ES_tradnl"/>
        </w:rPr>
      </w:pPr>
      <w:r w:rsidRPr="009577DE">
        <w:rPr>
          <w:sz w:val="20"/>
          <w:lang w:val="es-ES_tradnl"/>
        </w:rPr>
        <w:t xml:space="preserve">En 2012 se avanzó también considerablemente con respecto a algunas de las prioridades centrales establecidas para 2012/13, como son las siguientes: </w:t>
      </w:r>
    </w:p>
    <w:p w:rsidR="00B070BF" w:rsidRPr="009577DE" w:rsidRDefault="00B070BF" w:rsidP="00B070BF">
      <w:pPr>
        <w:widowControl w:val="0"/>
        <w:autoSpaceDE w:val="0"/>
        <w:autoSpaceDN w:val="0"/>
        <w:adjustRightInd w:val="0"/>
        <w:rPr>
          <w:sz w:val="20"/>
          <w:lang w:val="es-ES_tradnl"/>
        </w:rPr>
      </w:pPr>
    </w:p>
    <w:p w:rsidR="00B070BF" w:rsidRPr="009577DE" w:rsidRDefault="00B070BF" w:rsidP="00B070BF">
      <w:pPr>
        <w:widowControl w:val="0"/>
        <w:autoSpaceDE w:val="0"/>
        <w:autoSpaceDN w:val="0"/>
        <w:adjustRightInd w:val="0"/>
        <w:ind w:left="1134" w:hanging="567"/>
        <w:rPr>
          <w:sz w:val="20"/>
          <w:lang w:val="es-ES_tradnl"/>
        </w:rPr>
      </w:pPr>
      <w:r w:rsidRPr="009577DE">
        <w:rPr>
          <w:sz w:val="20"/>
          <w:lang w:val="es-ES_tradnl"/>
        </w:rPr>
        <w:t>i)</w:t>
      </w:r>
      <w:r w:rsidRPr="009577DE">
        <w:rPr>
          <w:sz w:val="20"/>
          <w:lang w:val="es-ES_tradnl"/>
        </w:rPr>
        <w:tab/>
        <w:t xml:space="preserve">la revisión de los procesos relativos a la gestión y previsión de los ingresos de la OMPI, como preparación a la elaboración del presupuesto por programas 2014/15; </w:t>
      </w:r>
    </w:p>
    <w:p w:rsidR="00B070BF" w:rsidRPr="009577DE" w:rsidRDefault="00B070BF" w:rsidP="00B070BF">
      <w:pPr>
        <w:widowControl w:val="0"/>
        <w:autoSpaceDE w:val="0"/>
        <w:autoSpaceDN w:val="0"/>
        <w:adjustRightInd w:val="0"/>
        <w:ind w:left="1134" w:hanging="567"/>
        <w:rPr>
          <w:sz w:val="20"/>
          <w:lang w:val="es-ES_tradnl"/>
        </w:rPr>
      </w:pPr>
    </w:p>
    <w:p w:rsidR="00B070BF" w:rsidRPr="009577DE" w:rsidRDefault="00B070BF" w:rsidP="00B070BF">
      <w:pPr>
        <w:widowControl w:val="0"/>
        <w:autoSpaceDE w:val="0"/>
        <w:autoSpaceDN w:val="0"/>
        <w:adjustRightInd w:val="0"/>
        <w:ind w:left="1134" w:hanging="567"/>
        <w:rPr>
          <w:sz w:val="20"/>
          <w:lang w:val="es-ES_tradnl"/>
        </w:rPr>
      </w:pPr>
      <w:r w:rsidRPr="009577DE">
        <w:rPr>
          <w:sz w:val="20"/>
          <w:lang w:val="es-ES_tradnl"/>
        </w:rPr>
        <w:t>ii)</w:t>
      </w:r>
      <w:r w:rsidRPr="009577DE">
        <w:rPr>
          <w:sz w:val="20"/>
          <w:lang w:val="es-ES_tradnl"/>
        </w:rPr>
        <w:tab/>
        <w:t xml:space="preserve">la institucionalización de una cultura de gasto responsable, siendo revisadas algunas órdenes de servicio y publicadas otras nuevas para reflejar las medidas tendentes a la eficiencia de costos; </w:t>
      </w:r>
    </w:p>
    <w:p w:rsidR="00B070BF" w:rsidRPr="009577DE" w:rsidRDefault="00B070BF" w:rsidP="00B070BF">
      <w:pPr>
        <w:widowControl w:val="0"/>
        <w:autoSpaceDE w:val="0"/>
        <w:autoSpaceDN w:val="0"/>
        <w:adjustRightInd w:val="0"/>
        <w:ind w:left="1134" w:hanging="567"/>
        <w:rPr>
          <w:sz w:val="20"/>
          <w:lang w:val="es-ES_tradnl"/>
        </w:rPr>
      </w:pPr>
    </w:p>
    <w:p w:rsidR="00B070BF" w:rsidRPr="009577DE" w:rsidRDefault="00B070BF" w:rsidP="00B070BF">
      <w:pPr>
        <w:widowControl w:val="0"/>
        <w:autoSpaceDE w:val="0"/>
        <w:autoSpaceDN w:val="0"/>
        <w:adjustRightInd w:val="0"/>
        <w:ind w:left="1134" w:hanging="567"/>
        <w:rPr>
          <w:sz w:val="20"/>
          <w:lang w:val="es-ES_tradnl"/>
        </w:rPr>
      </w:pPr>
      <w:r w:rsidRPr="009577DE">
        <w:rPr>
          <w:sz w:val="20"/>
          <w:lang w:val="es-ES_tradnl"/>
        </w:rPr>
        <w:t>iii)</w:t>
      </w:r>
      <w:r w:rsidRPr="009577DE">
        <w:rPr>
          <w:sz w:val="20"/>
          <w:lang w:val="es-ES_tradnl"/>
        </w:rPr>
        <w:tab/>
        <w:t xml:space="preserve">la mejora de la capacidad de la Organización para realizar un seguimiento de los gastos destinados a fomentar el desarrollo; </w:t>
      </w:r>
    </w:p>
    <w:p w:rsidR="00B070BF" w:rsidRPr="009577DE" w:rsidRDefault="00B070BF" w:rsidP="00B070BF">
      <w:pPr>
        <w:widowControl w:val="0"/>
        <w:autoSpaceDE w:val="0"/>
        <w:autoSpaceDN w:val="0"/>
        <w:adjustRightInd w:val="0"/>
        <w:ind w:left="1134" w:hanging="567"/>
        <w:rPr>
          <w:sz w:val="20"/>
          <w:lang w:val="es-ES_tradnl"/>
        </w:rPr>
      </w:pPr>
    </w:p>
    <w:p w:rsidR="00B070BF" w:rsidRPr="009577DE" w:rsidRDefault="00B070BF" w:rsidP="00B070BF">
      <w:pPr>
        <w:widowControl w:val="0"/>
        <w:autoSpaceDE w:val="0"/>
        <w:autoSpaceDN w:val="0"/>
        <w:adjustRightInd w:val="0"/>
        <w:ind w:left="1134" w:hanging="567"/>
        <w:rPr>
          <w:sz w:val="20"/>
          <w:lang w:val="es-ES_tradnl"/>
        </w:rPr>
      </w:pPr>
      <w:r w:rsidRPr="009577DE">
        <w:rPr>
          <w:sz w:val="20"/>
          <w:lang w:val="es-ES_tradnl"/>
        </w:rPr>
        <w:t>iv)</w:t>
      </w:r>
      <w:r w:rsidRPr="009577DE">
        <w:rPr>
          <w:sz w:val="20"/>
          <w:lang w:val="es-ES_tradnl"/>
        </w:rPr>
        <w:tab/>
        <w:t>la determinación de los ámbitos en que podían introducirse controles más severos para garantizar el respeto de la gestión programática y de la gestión de recursos por igual; y</w:t>
      </w:r>
    </w:p>
    <w:p w:rsidR="00B070BF" w:rsidRPr="009577DE" w:rsidRDefault="00B070BF" w:rsidP="00B070BF">
      <w:pPr>
        <w:widowControl w:val="0"/>
        <w:autoSpaceDE w:val="0"/>
        <w:autoSpaceDN w:val="0"/>
        <w:adjustRightInd w:val="0"/>
        <w:ind w:left="1134" w:hanging="567"/>
        <w:rPr>
          <w:sz w:val="20"/>
          <w:lang w:val="es-ES_tradnl"/>
        </w:rPr>
      </w:pPr>
    </w:p>
    <w:p w:rsidR="00B070BF" w:rsidRPr="009577DE" w:rsidRDefault="00B070BF" w:rsidP="00B070BF">
      <w:pPr>
        <w:widowControl w:val="0"/>
        <w:autoSpaceDE w:val="0"/>
        <w:autoSpaceDN w:val="0"/>
        <w:adjustRightInd w:val="0"/>
        <w:ind w:left="1134" w:hanging="567"/>
        <w:rPr>
          <w:sz w:val="20"/>
          <w:lang w:val="es-ES_tradnl"/>
        </w:rPr>
      </w:pPr>
      <w:r w:rsidRPr="009577DE">
        <w:rPr>
          <w:sz w:val="20"/>
          <w:lang w:val="es-ES_tradnl"/>
        </w:rPr>
        <w:t>v)</w:t>
      </w:r>
      <w:r w:rsidRPr="009577DE">
        <w:rPr>
          <w:sz w:val="20"/>
          <w:lang w:val="es-ES_tradnl"/>
        </w:rPr>
        <w:tab/>
        <w:t>la implantación del módulo de recursos humanos y de nómina en el marco de la PRI</w:t>
      </w:r>
      <w:r w:rsidRPr="009577DE">
        <w:rPr>
          <w:sz w:val="20"/>
          <w:lang w:val="es-ES_tradnl"/>
        </w:rPr>
        <w:br/>
        <w:t>(entrada en servicio prevista para 2013).</w:t>
      </w:r>
    </w:p>
    <w:p w:rsidR="00B070BF" w:rsidRPr="009577DE" w:rsidRDefault="00B070BF" w:rsidP="00B070BF">
      <w:pPr>
        <w:widowControl w:val="0"/>
        <w:autoSpaceDE w:val="0"/>
        <w:autoSpaceDN w:val="0"/>
        <w:adjustRightInd w:val="0"/>
        <w:rPr>
          <w:bCs/>
          <w:sz w:val="20"/>
          <w:lang w:val="es-ES_tradnl"/>
        </w:rPr>
      </w:pPr>
    </w:p>
    <w:p w:rsidR="00B070BF" w:rsidRPr="009577DE" w:rsidRDefault="00B070BF" w:rsidP="00B070BF">
      <w:pPr>
        <w:widowControl w:val="0"/>
        <w:numPr>
          <w:ilvl w:val="0"/>
          <w:numId w:val="44"/>
        </w:numPr>
        <w:tabs>
          <w:tab w:val="left" w:pos="709"/>
        </w:tabs>
        <w:autoSpaceDE w:val="0"/>
        <w:autoSpaceDN w:val="0"/>
        <w:adjustRightInd w:val="0"/>
        <w:ind w:left="0" w:firstLine="0"/>
        <w:jc w:val="both"/>
        <w:rPr>
          <w:bCs/>
          <w:sz w:val="20"/>
          <w:lang w:val="es-ES_tradnl"/>
        </w:rPr>
      </w:pPr>
      <w:r w:rsidRPr="009577DE">
        <w:rPr>
          <w:bCs/>
          <w:sz w:val="20"/>
          <w:lang w:val="es-ES_tradnl"/>
        </w:rPr>
        <w:t xml:space="preserve">Tras la </w:t>
      </w:r>
      <w:r w:rsidRPr="009771C7">
        <w:rPr>
          <w:sz w:val="20"/>
          <w:lang w:val="es-ES_tradnl"/>
        </w:rPr>
        <w:t>aprobación</w:t>
      </w:r>
      <w:r w:rsidRPr="009577DE">
        <w:rPr>
          <w:bCs/>
          <w:sz w:val="20"/>
          <w:lang w:val="es-ES_tradnl"/>
        </w:rPr>
        <w:t xml:space="preserve"> y publicación del Estatuto y Reglamento del Personal, el programa contribuyó a la </w:t>
      </w:r>
      <w:r w:rsidRPr="009577DE">
        <w:rPr>
          <w:sz w:val="20"/>
          <w:lang w:val="es-ES_tradnl"/>
        </w:rPr>
        <w:t>implementación</w:t>
      </w:r>
      <w:r w:rsidRPr="009577DE">
        <w:rPr>
          <w:bCs/>
          <w:sz w:val="20"/>
          <w:lang w:val="es-ES_tradnl"/>
        </w:rPr>
        <w:t xml:space="preserve"> del Estatuto y Reglamento del Personal revisado, incluyendo la revisión y actualización de los correspondientes procedimientos y documentos sobre políticas, todo lo cual dio lugar a un importante avance en el sentido de una clara delimitación de los procedimientos, funciones y responsabilidades, así como a la formulación de las oportunas órdenes de servicio para regular dichos extremos (pasantes, becas, servicios contractuales individuales).</w:t>
      </w:r>
    </w:p>
    <w:p w:rsidR="00B070BF" w:rsidRPr="009577DE" w:rsidRDefault="00B070BF" w:rsidP="00B070BF">
      <w:pPr>
        <w:widowControl w:val="0"/>
        <w:jc w:val="both"/>
        <w:rPr>
          <w:bCs/>
          <w:sz w:val="20"/>
          <w:lang w:val="es-ES_tradnl"/>
        </w:rPr>
      </w:pPr>
    </w:p>
    <w:p w:rsidR="00B070BF" w:rsidRPr="009577DE" w:rsidRDefault="00B070BF" w:rsidP="00B070BF">
      <w:pPr>
        <w:widowControl w:val="0"/>
        <w:numPr>
          <w:ilvl w:val="0"/>
          <w:numId w:val="44"/>
        </w:numPr>
        <w:tabs>
          <w:tab w:val="left" w:pos="709"/>
        </w:tabs>
        <w:autoSpaceDE w:val="0"/>
        <w:autoSpaceDN w:val="0"/>
        <w:adjustRightInd w:val="0"/>
        <w:ind w:left="0" w:firstLine="0"/>
        <w:jc w:val="both"/>
        <w:rPr>
          <w:bCs/>
          <w:sz w:val="20"/>
          <w:lang w:val="es-ES_tradnl"/>
        </w:rPr>
      </w:pPr>
      <w:r w:rsidRPr="009577DE">
        <w:rPr>
          <w:bCs/>
          <w:sz w:val="20"/>
          <w:lang w:val="es-ES_tradnl"/>
        </w:rPr>
        <w:t xml:space="preserve">Se </w:t>
      </w:r>
      <w:r w:rsidRPr="009577DE">
        <w:rPr>
          <w:sz w:val="20"/>
          <w:lang w:val="es-ES_tradnl"/>
        </w:rPr>
        <w:t>emprendieron</w:t>
      </w:r>
      <w:r w:rsidRPr="009577DE">
        <w:rPr>
          <w:bCs/>
          <w:sz w:val="20"/>
          <w:lang w:val="es-ES_tradnl"/>
        </w:rPr>
        <w:t xml:space="preserve"> también revisiones específicas de determinadas políticas y procedimientos necesitados de actualización o modificación.  Una de ellas hacía referencia al tratamiento de las afectaciones y obligaciones por liquidar en el PCT en relación con los servicios de traducción.  Las conclusiones y recomendaciones resultantes de la revisión serán dadas a conocer en 2013 y podrán dar lugar a cambios y mejoras de los actuales procesos y procedimientos.</w:t>
      </w:r>
    </w:p>
    <w:p w:rsidR="00B070BF" w:rsidRDefault="00B070BF" w:rsidP="00B070BF">
      <w:pPr>
        <w:rPr>
          <w:bCs/>
          <w:sz w:val="20"/>
          <w:lang w:val="es-ES_tradnl"/>
        </w:rPr>
      </w:pPr>
      <w:r>
        <w:rPr>
          <w:bCs/>
          <w:sz w:val="20"/>
          <w:lang w:val="es-ES_tradnl"/>
        </w:rPr>
        <w:br w:type="page"/>
      </w:r>
    </w:p>
    <w:p w:rsidR="00B070BF" w:rsidRPr="009577DE" w:rsidRDefault="00B070BF" w:rsidP="00B070BF">
      <w:pPr>
        <w:widowControl w:val="0"/>
        <w:jc w:val="both"/>
        <w:rPr>
          <w:bCs/>
          <w:sz w:val="20"/>
          <w:lang w:val="es-ES_tradnl"/>
        </w:rPr>
      </w:pPr>
    </w:p>
    <w:p w:rsidR="00B070BF" w:rsidRPr="009577DE" w:rsidRDefault="00B070BF" w:rsidP="00B070BF">
      <w:pPr>
        <w:widowControl w:val="0"/>
        <w:numPr>
          <w:ilvl w:val="0"/>
          <w:numId w:val="44"/>
        </w:numPr>
        <w:tabs>
          <w:tab w:val="left" w:pos="709"/>
        </w:tabs>
        <w:autoSpaceDE w:val="0"/>
        <w:autoSpaceDN w:val="0"/>
        <w:adjustRightInd w:val="0"/>
        <w:ind w:left="0" w:firstLine="0"/>
        <w:jc w:val="both"/>
        <w:rPr>
          <w:bCs/>
          <w:sz w:val="20"/>
          <w:lang w:val="es-ES_tradnl"/>
        </w:rPr>
      </w:pPr>
      <w:r w:rsidRPr="009577DE">
        <w:rPr>
          <w:bCs/>
          <w:sz w:val="20"/>
          <w:lang w:val="es-ES_tradnl"/>
        </w:rPr>
        <w:t xml:space="preserve">Se prosiguió con todo vigor la implantación de medidas de eficiencia de costos, acompañadas de las correspondientes orientaciones e instrucciones en materia de pasantes, atenciones sociales, honorarios y tasas estimadas de los oradores y los titulares de contratos de comisión de servicios especiales, gastos de viaje, etc. </w:t>
      </w:r>
    </w:p>
    <w:p w:rsidR="00B070BF" w:rsidRPr="009577DE" w:rsidRDefault="00B070BF" w:rsidP="00B070BF">
      <w:pPr>
        <w:widowControl w:val="0"/>
        <w:jc w:val="both"/>
        <w:rPr>
          <w:bCs/>
          <w:sz w:val="20"/>
          <w:lang w:val="es-ES_tradnl"/>
        </w:rPr>
      </w:pPr>
    </w:p>
    <w:p w:rsidR="00B070BF" w:rsidRPr="009577DE" w:rsidRDefault="00B070BF" w:rsidP="00B070BF">
      <w:pPr>
        <w:widowControl w:val="0"/>
        <w:numPr>
          <w:ilvl w:val="0"/>
          <w:numId w:val="44"/>
        </w:numPr>
        <w:tabs>
          <w:tab w:val="left" w:pos="709"/>
        </w:tabs>
        <w:autoSpaceDE w:val="0"/>
        <w:autoSpaceDN w:val="0"/>
        <w:adjustRightInd w:val="0"/>
        <w:ind w:left="0" w:firstLine="0"/>
        <w:jc w:val="both"/>
        <w:rPr>
          <w:bCs/>
          <w:sz w:val="20"/>
          <w:lang w:val="es-ES_tradnl"/>
        </w:rPr>
      </w:pPr>
      <w:r w:rsidRPr="009577DE">
        <w:rPr>
          <w:bCs/>
          <w:sz w:val="20"/>
          <w:lang w:val="es-ES_tradnl"/>
        </w:rPr>
        <w:t xml:space="preserve">Durante el año se mejoraron los procedimientos de pago en términos de eficiencia y seguridad. La </w:t>
      </w:r>
      <w:r w:rsidRPr="009577DE">
        <w:rPr>
          <w:sz w:val="20"/>
          <w:lang w:val="es-ES_tradnl"/>
        </w:rPr>
        <w:t>mayoría</w:t>
      </w:r>
      <w:r w:rsidRPr="009577DE">
        <w:rPr>
          <w:bCs/>
          <w:sz w:val="20"/>
          <w:lang w:val="es-ES_tradnl"/>
        </w:rPr>
        <w:t xml:space="preserve"> de los pagos que antes se realizaban por métodos manuales se efectúan ahora por vía electrónica, habiéndose incrementado considerablemente la seguridad de las transmisiones de archivos de pago a los bancos.  En 2012 se preparó e implementó un plan de continuidad de las operaciones que abarca varias funciones financieras esenciales (en particular por lo concerniente a los pagos), hallándose prevista durante el año 2013 la realización de ulteriores trabajos a este respecto.</w:t>
      </w:r>
    </w:p>
    <w:p w:rsidR="00B070BF" w:rsidRPr="009577DE" w:rsidRDefault="00B070BF" w:rsidP="00B070BF">
      <w:pPr>
        <w:widowControl w:val="0"/>
        <w:jc w:val="both"/>
        <w:rPr>
          <w:bCs/>
          <w:szCs w:val="22"/>
          <w:lang w:val="es-ES_tradnl"/>
        </w:rPr>
      </w:pPr>
    </w:p>
    <w:p w:rsidR="00B070BF" w:rsidRPr="009577DE" w:rsidRDefault="00B070BF" w:rsidP="00B070BF">
      <w:pPr>
        <w:widowControl w:val="0"/>
        <w:jc w:val="both"/>
        <w:rPr>
          <w:bCs/>
          <w:szCs w:val="22"/>
          <w:lang w:val="es-ES_tradnl"/>
        </w:rPr>
      </w:pPr>
    </w:p>
    <w:p w:rsidR="00B070BF" w:rsidRPr="009577DE" w:rsidRDefault="00B070BF" w:rsidP="00B070BF">
      <w:pPr>
        <w:widowControl w:val="0"/>
        <w:jc w:val="both"/>
        <w:rPr>
          <w:sz w:val="20"/>
          <w:szCs w:val="22"/>
          <w:lang w:val="es-ES_tradnl"/>
        </w:rPr>
      </w:pPr>
      <w:r w:rsidRPr="009771C7">
        <w:rPr>
          <w:sz w:val="20"/>
          <w:szCs w:val="22"/>
          <w:lang w:val="es-ES_tradnl"/>
        </w:rPr>
        <w:t>DATOS SOBRE EL RENDIMIENTO</w:t>
      </w:r>
    </w:p>
    <w:p w:rsidR="00B070BF" w:rsidRPr="009577DE" w:rsidRDefault="00B070BF" w:rsidP="00B070BF">
      <w:pPr>
        <w:widowControl w:val="0"/>
        <w:rPr>
          <w:b/>
          <w:sz w:val="20"/>
          <w:szCs w:val="16"/>
          <w:lang w:val="es-ES_tradnl"/>
        </w:rPr>
      </w:pPr>
    </w:p>
    <w:tbl>
      <w:tblPr>
        <w:tblW w:w="5000" w:type="pct"/>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670"/>
        <w:gridCol w:w="1538"/>
        <w:gridCol w:w="1750"/>
        <w:gridCol w:w="3534"/>
        <w:gridCol w:w="1079"/>
      </w:tblGrid>
      <w:tr w:rsidR="00B070BF" w:rsidRPr="009577DE" w:rsidTr="00C33D4A">
        <w:trPr>
          <w:cantSplit/>
        </w:trPr>
        <w:tc>
          <w:tcPr>
            <w:tcW w:w="5000" w:type="pct"/>
            <w:gridSpan w:val="5"/>
            <w:tcBorders>
              <w:top w:val="single" w:sz="4" w:space="0" w:color="auto"/>
              <w:left w:val="single" w:sz="4" w:space="0" w:color="auto"/>
              <w:bottom w:val="single" w:sz="4" w:space="0" w:color="auto"/>
              <w:right w:val="single" w:sz="4" w:space="0" w:color="auto"/>
            </w:tcBorders>
            <w:shd w:val="clear" w:color="auto" w:fill="CCFFFF"/>
            <w:vAlign w:val="center"/>
          </w:tcPr>
          <w:p w:rsidR="00B070BF" w:rsidRPr="009577DE" w:rsidRDefault="00B070BF" w:rsidP="00C33D4A">
            <w:pPr>
              <w:widowControl w:val="0"/>
              <w:tabs>
                <w:tab w:val="left" w:pos="1452"/>
              </w:tabs>
              <w:spacing w:before="120" w:after="120"/>
              <w:ind w:left="1452" w:hanging="1452"/>
              <w:rPr>
                <w:b/>
                <w:bCs/>
                <w:sz w:val="16"/>
                <w:szCs w:val="16"/>
                <w:lang w:val="es-ES_tradnl"/>
              </w:rPr>
            </w:pPr>
            <w:r w:rsidRPr="009577DE">
              <w:rPr>
                <w:b/>
                <w:bCs/>
                <w:sz w:val="16"/>
                <w:szCs w:val="16"/>
                <w:lang w:val="es-ES_tradnl"/>
              </w:rPr>
              <w:t>Resultado previsto:</w:t>
            </w:r>
            <w:r w:rsidRPr="009577DE">
              <w:rPr>
                <w:b/>
                <w:bCs/>
                <w:sz w:val="16"/>
                <w:szCs w:val="16"/>
                <w:lang w:val="es-ES_tradnl"/>
              </w:rPr>
              <w:tab/>
            </w:r>
            <w:r w:rsidRPr="009577DE">
              <w:rPr>
                <w:bCs/>
                <w:sz w:val="16"/>
                <w:szCs w:val="16"/>
                <w:lang w:val="es-ES_tradnl"/>
              </w:rPr>
              <w:t xml:space="preserve"> Mayor eficacia y eficiencia en la planificación, el procesamiento, la ejecución, la evaluación y la presentación de informes basados en los resultados en los ámbitos financiero y programático.</w:t>
            </w:r>
          </w:p>
        </w:tc>
      </w:tr>
      <w:tr w:rsidR="00B070BF" w:rsidRPr="009577DE" w:rsidTr="00C33D4A">
        <w:trPr>
          <w:cantSplit/>
        </w:trPr>
        <w:tc>
          <w:tcPr>
            <w:tcW w:w="874" w:type="pct"/>
            <w:tcBorders>
              <w:top w:val="single" w:sz="4" w:space="0" w:color="auto"/>
              <w:left w:val="single" w:sz="4" w:space="0" w:color="auto"/>
              <w:bottom w:val="nil"/>
            </w:tcBorders>
            <w:shd w:val="clear" w:color="auto" w:fill="auto"/>
            <w:vAlign w:val="center"/>
          </w:tcPr>
          <w:p w:rsidR="00B070BF" w:rsidRPr="009577DE" w:rsidRDefault="00B070BF" w:rsidP="00C33D4A">
            <w:pPr>
              <w:widowControl w:val="0"/>
              <w:spacing w:after="120"/>
              <w:rPr>
                <w:sz w:val="16"/>
                <w:szCs w:val="16"/>
                <w:lang w:val="es-ES_tradnl"/>
              </w:rPr>
            </w:pPr>
            <w:r w:rsidRPr="009577DE">
              <w:rPr>
                <w:b/>
                <w:bCs/>
                <w:sz w:val="16"/>
                <w:szCs w:val="16"/>
                <w:lang w:val="es-ES_tradnl"/>
              </w:rPr>
              <w:t>Indicadores de rendimiento</w:t>
            </w:r>
          </w:p>
        </w:tc>
        <w:tc>
          <w:tcPr>
            <w:tcW w:w="805" w:type="pct"/>
            <w:tcBorders>
              <w:top w:val="single" w:sz="4" w:space="0" w:color="auto"/>
              <w:bottom w:val="nil"/>
            </w:tcBorders>
            <w:shd w:val="clear" w:color="auto" w:fill="C0C0C0"/>
          </w:tcPr>
          <w:p w:rsidR="00B070BF" w:rsidRPr="009577DE" w:rsidRDefault="00B070BF" w:rsidP="00C33D4A">
            <w:pPr>
              <w:widowControl w:val="0"/>
              <w:spacing w:after="120"/>
              <w:rPr>
                <w:b/>
                <w:bCs/>
                <w:sz w:val="16"/>
                <w:szCs w:val="16"/>
                <w:lang w:val="es-ES_tradnl"/>
              </w:rPr>
            </w:pPr>
            <w:r w:rsidRPr="009577DE">
              <w:rPr>
                <w:b/>
                <w:bCs/>
                <w:sz w:val="16"/>
                <w:szCs w:val="16"/>
                <w:lang w:val="es-ES_tradnl"/>
              </w:rPr>
              <w:t>Referencia (</w:t>
            </w:r>
            <w:proofErr w:type="spellStart"/>
            <w:r w:rsidRPr="009577DE">
              <w:rPr>
                <w:b/>
                <w:bCs/>
                <w:sz w:val="16"/>
                <w:szCs w:val="16"/>
                <w:lang w:val="es-ES_tradnl"/>
              </w:rPr>
              <w:t>Presup</w:t>
            </w:r>
            <w:proofErr w:type="spellEnd"/>
            <w:r w:rsidRPr="009577DE">
              <w:rPr>
                <w:b/>
                <w:bCs/>
                <w:sz w:val="16"/>
                <w:szCs w:val="16"/>
                <w:lang w:val="es-ES_tradnl"/>
              </w:rPr>
              <w:t xml:space="preserve">. por </w:t>
            </w:r>
            <w:proofErr w:type="spellStart"/>
            <w:r w:rsidRPr="009577DE">
              <w:rPr>
                <w:b/>
                <w:bCs/>
                <w:sz w:val="16"/>
                <w:szCs w:val="16"/>
                <w:lang w:val="es-ES_tradnl"/>
              </w:rPr>
              <w:t>prog</w:t>
            </w:r>
            <w:proofErr w:type="spellEnd"/>
            <w:r w:rsidRPr="009577DE">
              <w:rPr>
                <w:b/>
                <w:bCs/>
                <w:sz w:val="16"/>
                <w:szCs w:val="16"/>
                <w:lang w:val="es-ES_tradnl"/>
              </w:rPr>
              <w:t>. 2012/13)</w:t>
            </w:r>
          </w:p>
        </w:tc>
        <w:tc>
          <w:tcPr>
            <w:tcW w:w="916" w:type="pct"/>
            <w:tcBorders>
              <w:top w:val="single" w:sz="4" w:space="0" w:color="auto"/>
              <w:bottom w:val="nil"/>
            </w:tcBorders>
            <w:shd w:val="clear" w:color="auto" w:fill="auto"/>
            <w:tcMar>
              <w:top w:w="110" w:type="dxa"/>
            </w:tcMar>
            <w:vAlign w:val="center"/>
          </w:tcPr>
          <w:p w:rsidR="00B070BF" w:rsidRPr="009577DE" w:rsidRDefault="00B070BF" w:rsidP="00C33D4A">
            <w:pPr>
              <w:widowControl w:val="0"/>
              <w:spacing w:after="120"/>
              <w:rPr>
                <w:b/>
                <w:sz w:val="16"/>
                <w:szCs w:val="16"/>
                <w:lang w:val="es-ES_tradnl"/>
              </w:rPr>
            </w:pPr>
            <w:r w:rsidRPr="00BF138D">
              <w:rPr>
                <w:b/>
                <w:color w:val="993300"/>
                <w:sz w:val="16"/>
                <w:szCs w:val="16"/>
                <w:lang w:val="es-ES_tradnl"/>
              </w:rPr>
              <w:t>Referencia actualizada a finales de 2011</w:t>
            </w:r>
            <w:r w:rsidRPr="009577DE">
              <w:rPr>
                <w:b/>
                <w:sz w:val="16"/>
                <w:szCs w:val="16"/>
                <w:lang w:val="es-ES_tradnl"/>
              </w:rPr>
              <w:t xml:space="preserve"> </w:t>
            </w:r>
          </w:p>
        </w:tc>
        <w:tc>
          <w:tcPr>
            <w:tcW w:w="1848" w:type="pct"/>
            <w:tcBorders>
              <w:top w:val="single" w:sz="4" w:space="0" w:color="auto"/>
              <w:bottom w:val="nil"/>
            </w:tcBorders>
            <w:shd w:val="clear" w:color="auto" w:fill="FFFFFF"/>
            <w:tcMar>
              <w:top w:w="110" w:type="dxa"/>
            </w:tcMar>
            <w:vAlign w:val="center"/>
          </w:tcPr>
          <w:p w:rsidR="00B070BF" w:rsidRPr="009577DE" w:rsidRDefault="00B070BF" w:rsidP="00C33D4A">
            <w:pPr>
              <w:widowControl w:val="0"/>
              <w:spacing w:after="120"/>
              <w:rPr>
                <w:sz w:val="16"/>
                <w:szCs w:val="16"/>
                <w:lang w:val="es-ES_tradnl"/>
              </w:rPr>
            </w:pPr>
            <w:r w:rsidRPr="009577DE">
              <w:rPr>
                <w:b/>
                <w:bCs/>
                <w:sz w:val="16"/>
                <w:szCs w:val="16"/>
                <w:lang w:val="es-ES_tradnl"/>
              </w:rPr>
              <w:t>Datos sobre el rendimiento</w:t>
            </w:r>
          </w:p>
        </w:tc>
        <w:tc>
          <w:tcPr>
            <w:tcW w:w="557" w:type="pct"/>
            <w:tcBorders>
              <w:top w:val="single" w:sz="4" w:space="0" w:color="auto"/>
              <w:bottom w:val="nil"/>
              <w:right w:val="single" w:sz="4" w:space="0" w:color="auto"/>
            </w:tcBorders>
            <w:shd w:val="clear" w:color="auto" w:fill="auto"/>
            <w:tcMar>
              <w:top w:w="110" w:type="dxa"/>
            </w:tcMar>
            <w:vAlign w:val="center"/>
          </w:tcPr>
          <w:p w:rsidR="00B070BF" w:rsidRPr="009577DE" w:rsidRDefault="00B070BF" w:rsidP="00C33D4A">
            <w:pPr>
              <w:widowControl w:val="0"/>
              <w:spacing w:after="120"/>
              <w:jc w:val="center"/>
              <w:rPr>
                <w:b/>
                <w:bCs/>
                <w:sz w:val="16"/>
                <w:szCs w:val="16"/>
                <w:lang w:val="es-ES_tradnl"/>
              </w:rPr>
            </w:pPr>
            <w:r w:rsidRPr="009577DE">
              <w:rPr>
                <w:b/>
                <w:bCs/>
                <w:sz w:val="16"/>
                <w:szCs w:val="16"/>
                <w:lang w:val="es-ES_tradnl"/>
              </w:rPr>
              <w:t>Clave de colores</w:t>
            </w:r>
          </w:p>
        </w:tc>
      </w:tr>
      <w:tr w:rsidR="00B070BF" w:rsidRPr="009577DE" w:rsidTr="00C33D4A">
        <w:trPr>
          <w:cantSplit/>
        </w:trPr>
        <w:tc>
          <w:tcPr>
            <w:tcW w:w="874" w:type="pct"/>
            <w:tcBorders>
              <w:top w:val="nil"/>
              <w:left w:val="single" w:sz="4" w:space="0" w:color="auto"/>
              <w:bottom w:val="nil"/>
            </w:tcBorders>
            <w:shd w:val="clear" w:color="auto" w:fill="auto"/>
          </w:tcPr>
          <w:p w:rsidR="00B070BF" w:rsidRPr="009577DE" w:rsidRDefault="00B070BF" w:rsidP="00C33D4A">
            <w:pPr>
              <w:widowControl w:val="0"/>
              <w:rPr>
                <w:sz w:val="16"/>
                <w:szCs w:val="16"/>
                <w:lang w:val="es-ES_tradnl" w:bidi="th-TH"/>
              </w:rPr>
            </w:pPr>
            <w:r w:rsidRPr="009577DE">
              <w:rPr>
                <w:sz w:val="16"/>
                <w:szCs w:val="16"/>
                <w:lang w:val="es-ES_tradnl" w:bidi="th-TH"/>
              </w:rPr>
              <w:t>Porcentaje de programas de la OMPI que utilizan los datos sobre el rendimiento para gestionar el rendimiento del programa.</w:t>
            </w:r>
          </w:p>
          <w:p w:rsidR="00B070BF" w:rsidRPr="009577DE" w:rsidRDefault="00B070BF" w:rsidP="00C33D4A">
            <w:pPr>
              <w:widowControl w:val="0"/>
              <w:rPr>
                <w:sz w:val="16"/>
                <w:szCs w:val="16"/>
                <w:lang w:val="es-ES_tradnl" w:bidi="th-TH"/>
              </w:rPr>
            </w:pPr>
          </w:p>
        </w:tc>
        <w:tc>
          <w:tcPr>
            <w:tcW w:w="805" w:type="pct"/>
            <w:tcBorders>
              <w:top w:val="nil"/>
              <w:bottom w:val="nil"/>
            </w:tcBorders>
            <w:shd w:val="clear" w:color="auto" w:fill="C0C0C0"/>
          </w:tcPr>
          <w:p w:rsidR="00B070BF" w:rsidRPr="009577DE" w:rsidRDefault="00B070BF" w:rsidP="00C33D4A">
            <w:pPr>
              <w:widowControl w:val="0"/>
              <w:rPr>
                <w:sz w:val="16"/>
                <w:szCs w:val="16"/>
                <w:lang w:val="es-ES_tradnl" w:bidi="th-TH"/>
              </w:rPr>
            </w:pPr>
            <w:r w:rsidRPr="009577DE">
              <w:rPr>
                <w:sz w:val="16"/>
                <w:szCs w:val="16"/>
                <w:lang w:val="es-ES_tradnl" w:bidi="th-TH"/>
              </w:rPr>
              <w:t>20%</w:t>
            </w:r>
          </w:p>
        </w:tc>
        <w:tc>
          <w:tcPr>
            <w:tcW w:w="916" w:type="pct"/>
            <w:tcBorders>
              <w:top w:val="nil"/>
              <w:bottom w:val="nil"/>
            </w:tcBorders>
            <w:shd w:val="clear" w:color="auto" w:fill="auto"/>
            <w:tcMar>
              <w:top w:w="110" w:type="dxa"/>
            </w:tcMar>
          </w:tcPr>
          <w:p w:rsidR="00B070BF" w:rsidRPr="009577DE" w:rsidRDefault="00B070BF" w:rsidP="00C33D4A">
            <w:pPr>
              <w:widowControl w:val="0"/>
              <w:rPr>
                <w:sz w:val="16"/>
                <w:szCs w:val="16"/>
                <w:lang w:val="es-ES_tradnl" w:bidi="th-TH"/>
              </w:rPr>
            </w:pPr>
          </w:p>
        </w:tc>
        <w:tc>
          <w:tcPr>
            <w:tcW w:w="1848" w:type="pct"/>
            <w:tcBorders>
              <w:top w:val="nil"/>
              <w:bottom w:val="nil"/>
            </w:tcBorders>
            <w:shd w:val="clear" w:color="auto" w:fill="FFFFFF"/>
            <w:tcMar>
              <w:top w:w="110" w:type="dxa"/>
            </w:tcMar>
          </w:tcPr>
          <w:p w:rsidR="00B070BF" w:rsidRPr="009577DE" w:rsidRDefault="00B070BF" w:rsidP="00C33D4A">
            <w:pPr>
              <w:widowControl w:val="0"/>
              <w:rPr>
                <w:sz w:val="16"/>
                <w:szCs w:val="16"/>
                <w:lang w:val="es-ES_tradnl" w:bidi="th-TH"/>
              </w:rPr>
            </w:pPr>
            <w:r w:rsidRPr="009577DE">
              <w:rPr>
                <w:sz w:val="16"/>
                <w:szCs w:val="16"/>
                <w:lang w:val="es-ES_tradnl" w:bidi="th-TH"/>
              </w:rPr>
              <w:t>53%</w:t>
            </w:r>
          </w:p>
          <w:p w:rsidR="00B070BF" w:rsidRPr="009577DE" w:rsidRDefault="00B070BF" w:rsidP="00C33D4A">
            <w:pPr>
              <w:widowControl w:val="0"/>
              <w:rPr>
                <w:sz w:val="16"/>
                <w:szCs w:val="16"/>
                <w:lang w:val="es-ES_tradnl" w:bidi="th-TH"/>
              </w:rPr>
            </w:pPr>
          </w:p>
          <w:p w:rsidR="00B070BF" w:rsidRPr="009577DE" w:rsidRDefault="00B070BF" w:rsidP="00C33D4A">
            <w:pPr>
              <w:widowControl w:val="0"/>
              <w:rPr>
                <w:sz w:val="16"/>
                <w:szCs w:val="16"/>
                <w:lang w:val="es-ES_tradnl" w:bidi="th-TH"/>
              </w:rPr>
            </w:pPr>
          </w:p>
          <w:p w:rsidR="00B070BF" w:rsidRPr="009577DE" w:rsidRDefault="00B070BF" w:rsidP="00C33D4A">
            <w:pPr>
              <w:widowControl w:val="0"/>
              <w:rPr>
                <w:sz w:val="16"/>
                <w:szCs w:val="16"/>
                <w:lang w:val="es-ES_tradnl" w:bidi="th-TH"/>
              </w:rPr>
            </w:pPr>
          </w:p>
          <w:p w:rsidR="00B070BF" w:rsidRPr="009577DE" w:rsidRDefault="00B070BF" w:rsidP="00C33D4A">
            <w:pPr>
              <w:widowControl w:val="0"/>
              <w:rPr>
                <w:sz w:val="16"/>
                <w:szCs w:val="16"/>
                <w:lang w:val="es-ES_tradnl"/>
              </w:rPr>
            </w:pPr>
          </w:p>
        </w:tc>
        <w:tc>
          <w:tcPr>
            <w:tcW w:w="557" w:type="pct"/>
            <w:tcBorders>
              <w:top w:val="nil"/>
              <w:bottom w:val="nil"/>
              <w:right w:val="single" w:sz="4" w:space="0" w:color="auto"/>
            </w:tcBorders>
            <w:shd w:val="clear" w:color="auto" w:fill="auto"/>
            <w:tcMar>
              <w:top w:w="110" w:type="dxa"/>
            </w:tcMar>
          </w:tcPr>
          <w:p w:rsidR="00B070BF" w:rsidRPr="009577DE" w:rsidRDefault="00B070BF" w:rsidP="00C33D4A">
            <w:pPr>
              <w:widowControl w:val="0"/>
              <w:jc w:val="center"/>
              <w:rPr>
                <w:b/>
                <w:bCs/>
                <w:sz w:val="16"/>
                <w:szCs w:val="16"/>
                <w:lang w:val="es-ES_tradnl"/>
              </w:rPr>
            </w:pPr>
            <w:r w:rsidRPr="009577DE">
              <w:rPr>
                <w:b/>
                <w:bCs/>
                <w:color w:val="008000"/>
                <w:sz w:val="16"/>
                <w:szCs w:val="16"/>
                <w:lang w:val="es-ES_tradnl"/>
              </w:rPr>
              <w:t>Progresa con normalidad</w:t>
            </w:r>
          </w:p>
          <w:p w:rsidR="00B070BF" w:rsidRPr="009577DE" w:rsidRDefault="00B070BF" w:rsidP="00C33D4A">
            <w:pPr>
              <w:widowControl w:val="0"/>
              <w:jc w:val="center"/>
              <w:rPr>
                <w:bCs/>
                <w:sz w:val="16"/>
                <w:szCs w:val="16"/>
                <w:lang w:val="es-ES_tradnl"/>
              </w:rPr>
            </w:pPr>
          </w:p>
          <w:p w:rsidR="00B070BF" w:rsidRPr="009577DE" w:rsidRDefault="00B070BF" w:rsidP="00C33D4A">
            <w:pPr>
              <w:widowControl w:val="0"/>
              <w:jc w:val="center"/>
              <w:rPr>
                <w:bCs/>
                <w:sz w:val="16"/>
                <w:szCs w:val="16"/>
                <w:lang w:val="es-ES_tradnl"/>
              </w:rPr>
            </w:pPr>
            <w:r w:rsidRPr="009577DE">
              <w:rPr>
                <w:bCs/>
                <w:sz w:val="16"/>
                <w:szCs w:val="16"/>
                <w:lang w:val="es-ES_tradnl"/>
              </w:rPr>
              <w:br/>
            </w:r>
          </w:p>
        </w:tc>
      </w:tr>
      <w:tr w:rsidR="00B070BF" w:rsidRPr="009577DE" w:rsidTr="00C33D4A">
        <w:trPr>
          <w:cantSplit/>
        </w:trPr>
        <w:tc>
          <w:tcPr>
            <w:tcW w:w="874" w:type="pct"/>
            <w:tcBorders>
              <w:top w:val="nil"/>
              <w:left w:val="single" w:sz="4" w:space="0" w:color="auto"/>
              <w:bottom w:val="single" w:sz="4" w:space="0" w:color="auto"/>
            </w:tcBorders>
            <w:shd w:val="clear" w:color="auto" w:fill="auto"/>
          </w:tcPr>
          <w:p w:rsidR="00B070BF" w:rsidRPr="009577DE" w:rsidRDefault="00B070BF" w:rsidP="00C33D4A">
            <w:pPr>
              <w:widowControl w:val="0"/>
              <w:rPr>
                <w:sz w:val="16"/>
                <w:szCs w:val="16"/>
                <w:lang w:val="es-ES_tradnl" w:bidi="th-TH"/>
              </w:rPr>
            </w:pPr>
            <w:r w:rsidRPr="009577DE">
              <w:rPr>
                <w:sz w:val="16"/>
                <w:szCs w:val="16"/>
                <w:lang w:val="es-ES_tradnl" w:bidi="th-TH"/>
              </w:rPr>
              <w:t>Porcentaje de encuestados (OMPI) que estiman que la OMPI debe rendir cuentas sobre sus resultados.</w:t>
            </w:r>
          </w:p>
        </w:tc>
        <w:tc>
          <w:tcPr>
            <w:tcW w:w="805" w:type="pct"/>
            <w:tcBorders>
              <w:top w:val="nil"/>
              <w:bottom w:val="single" w:sz="4" w:space="0" w:color="auto"/>
            </w:tcBorders>
            <w:shd w:val="clear" w:color="auto" w:fill="C0C0C0"/>
          </w:tcPr>
          <w:p w:rsidR="00B070BF" w:rsidRPr="009577DE" w:rsidRDefault="00B070BF" w:rsidP="00C33D4A">
            <w:pPr>
              <w:widowControl w:val="0"/>
              <w:rPr>
                <w:sz w:val="16"/>
                <w:szCs w:val="16"/>
                <w:lang w:val="es-ES_tradnl" w:bidi="th-TH"/>
              </w:rPr>
            </w:pPr>
            <w:r w:rsidRPr="009577DE">
              <w:rPr>
                <w:sz w:val="16"/>
                <w:szCs w:val="16"/>
                <w:lang w:val="es-ES_tradnl" w:bidi="th-TH"/>
              </w:rPr>
              <w:t>59%</w:t>
            </w:r>
          </w:p>
        </w:tc>
        <w:tc>
          <w:tcPr>
            <w:tcW w:w="916" w:type="pct"/>
            <w:tcBorders>
              <w:top w:val="nil"/>
              <w:bottom w:val="single" w:sz="4" w:space="0" w:color="auto"/>
            </w:tcBorders>
            <w:shd w:val="clear" w:color="auto" w:fill="auto"/>
            <w:tcMar>
              <w:top w:w="110" w:type="dxa"/>
            </w:tcMar>
          </w:tcPr>
          <w:p w:rsidR="00B070BF" w:rsidRPr="009577DE" w:rsidRDefault="00B070BF" w:rsidP="00C33D4A">
            <w:pPr>
              <w:widowControl w:val="0"/>
              <w:rPr>
                <w:sz w:val="16"/>
                <w:szCs w:val="16"/>
                <w:lang w:val="es-ES_tradnl" w:bidi="th-TH"/>
              </w:rPr>
            </w:pPr>
          </w:p>
        </w:tc>
        <w:tc>
          <w:tcPr>
            <w:tcW w:w="1848" w:type="pct"/>
            <w:tcBorders>
              <w:top w:val="nil"/>
              <w:bottom w:val="single" w:sz="4" w:space="0" w:color="auto"/>
            </w:tcBorders>
            <w:shd w:val="clear" w:color="auto" w:fill="FFFFFF"/>
            <w:tcMar>
              <w:top w:w="110" w:type="dxa"/>
            </w:tcMar>
          </w:tcPr>
          <w:p w:rsidR="00B070BF" w:rsidRPr="009577DE" w:rsidRDefault="00B070BF" w:rsidP="00C33D4A">
            <w:pPr>
              <w:widowControl w:val="0"/>
              <w:rPr>
                <w:sz w:val="16"/>
                <w:szCs w:val="16"/>
                <w:lang w:val="es-ES_tradnl"/>
              </w:rPr>
            </w:pPr>
            <w:r w:rsidRPr="009577DE">
              <w:rPr>
                <w:sz w:val="16"/>
                <w:szCs w:val="16"/>
                <w:lang w:val="es-ES_tradnl"/>
              </w:rPr>
              <w:t>80,7%</w:t>
            </w:r>
          </w:p>
          <w:p w:rsidR="00B070BF" w:rsidRPr="009577DE" w:rsidRDefault="00B070BF" w:rsidP="00C33D4A">
            <w:pPr>
              <w:widowControl w:val="0"/>
              <w:rPr>
                <w:sz w:val="16"/>
                <w:szCs w:val="16"/>
                <w:lang w:val="es-ES_tradnl"/>
              </w:rPr>
            </w:pPr>
          </w:p>
          <w:p w:rsidR="00B070BF" w:rsidRPr="009577DE" w:rsidRDefault="00B070BF" w:rsidP="00C33D4A">
            <w:pPr>
              <w:widowControl w:val="0"/>
              <w:rPr>
                <w:sz w:val="16"/>
                <w:szCs w:val="16"/>
                <w:lang w:val="es-ES_tradnl"/>
              </w:rPr>
            </w:pPr>
          </w:p>
          <w:p w:rsidR="00B070BF" w:rsidRPr="009577DE" w:rsidRDefault="00B070BF" w:rsidP="00C33D4A">
            <w:pPr>
              <w:widowControl w:val="0"/>
              <w:rPr>
                <w:sz w:val="16"/>
                <w:szCs w:val="16"/>
                <w:lang w:val="es-ES_tradnl"/>
              </w:rPr>
            </w:pPr>
          </w:p>
          <w:p w:rsidR="00B070BF" w:rsidRPr="009577DE" w:rsidRDefault="00B070BF" w:rsidP="00C33D4A">
            <w:pPr>
              <w:widowControl w:val="0"/>
              <w:rPr>
                <w:sz w:val="16"/>
                <w:szCs w:val="16"/>
                <w:lang w:val="es-ES_tradnl"/>
              </w:rPr>
            </w:pPr>
          </w:p>
        </w:tc>
        <w:tc>
          <w:tcPr>
            <w:tcW w:w="557" w:type="pct"/>
            <w:tcBorders>
              <w:top w:val="nil"/>
              <w:bottom w:val="single" w:sz="4" w:space="0" w:color="auto"/>
              <w:right w:val="single" w:sz="4" w:space="0" w:color="auto"/>
            </w:tcBorders>
            <w:shd w:val="clear" w:color="auto" w:fill="auto"/>
            <w:tcMar>
              <w:top w:w="110" w:type="dxa"/>
            </w:tcMar>
          </w:tcPr>
          <w:p w:rsidR="00B070BF" w:rsidRPr="009577DE" w:rsidRDefault="00B070BF" w:rsidP="00C33D4A">
            <w:pPr>
              <w:widowControl w:val="0"/>
              <w:jc w:val="center"/>
              <w:rPr>
                <w:bCs/>
                <w:sz w:val="16"/>
                <w:szCs w:val="16"/>
                <w:lang w:val="es-ES_tradnl"/>
              </w:rPr>
            </w:pPr>
            <w:r w:rsidRPr="009577DE">
              <w:rPr>
                <w:b/>
                <w:bCs/>
                <w:color w:val="008000"/>
                <w:sz w:val="16"/>
                <w:szCs w:val="16"/>
                <w:lang w:val="es-ES_tradnl"/>
              </w:rPr>
              <w:t>Progresa con normalidad</w:t>
            </w:r>
          </w:p>
          <w:p w:rsidR="00B070BF" w:rsidRPr="009577DE" w:rsidRDefault="00B070BF" w:rsidP="00C33D4A">
            <w:pPr>
              <w:widowControl w:val="0"/>
              <w:jc w:val="center"/>
              <w:rPr>
                <w:bCs/>
                <w:sz w:val="16"/>
                <w:szCs w:val="16"/>
                <w:lang w:val="es-ES_tradnl"/>
              </w:rPr>
            </w:pPr>
          </w:p>
        </w:tc>
      </w:tr>
      <w:tr w:rsidR="00B070BF" w:rsidRPr="009577DE" w:rsidTr="00C33D4A">
        <w:trPr>
          <w:cantSplit/>
        </w:trPr>
        <w:tc>
          <w:tcPr>
            <w:tcW w:w="874" w:type="pct"/>
            <w:tcBorders>
              <w:top w:val="single" w:sz="4" w:space="0" w:color="auto"/>
              <w:left w:val="single" w:sz="4" w:space="0" w:color="auto"/>
              <w:bottom w:val="nil"/>
            </w:tcBorders>
            <w:shd w:val="clear" w:color="auto" w:fill="auto"/>
          </w:tcPr>
          <w:p w:rsidR="00B070BF" w:rsidRPr="009577DE" w:rsidRDefault="00B070BF" w:rsidP="00C33D4A">
            <w:pPr>
              <w:widowControl w:val="0"/>
              <w:rPr>
                <w:sz w:val="16"/>
                <w:szCs w:val="16"/>
                <w:lang w:val="es-ES_tradnl" w:bidi="th-TH"/>
              </w:rPr>
            </w:pPr>
            <w:r w:rsidRPr="009577DE">
              <w:rPr>
                <w:sz w:val="16"/>
                <w:szCs w:val="16"/>
                <w:lang w:val="es-ES_tradnl" w:bidi="th-TH"/>
              </w:rPr>
              <w:lastRenderedPageBreak/>
              <w:t>Conformidad de las operaciones financieras y la gestión del presupuesto con las disposiciones pertinentes de los convenios y tratados de la OMPI, el Reglamento Financiero y la Reglamentación Financiera de la OMPI y las normas de contabilidad pertinentes.</w:t>
            </w:r>
          </w:p>
        </w:tc>
        <w:tc>
          <w:tcPr>
            <w:tcW w:w="805" w:type="pct"/>
            <w:tcBorders>
              <w:top w:val="single" w:sz="4" w:space="0" w:color="auto"/>
              <w:bottom w:val="nil"/>
            </w:tcBorders>
            <w:shd w:val="clear" w:color="auto" w:fill="C0C0C0"/>
          </w:tcPr>
          <w:p w:rsidR="00B070BF" w:rsidRPr="009577DE" w:rsidRDefault="00B070BF" w:rsidP="00C33D4A">
            <w:pPr>
              <w:widowControl w:val="0"/>
              <w:rPr>
                <w:sz w:val="16"/>
                <w:szCs w:val="16"/>
                <w:lang w:val="es-ES_tradnl" w:bidi="th-TH"/>
              </w:rPr>
            </w:pPr>
            <w:r w:rsidRPr="009577DE">
              <w:rPr>
                <w:sz w:val="16"/>
                <w:szCs w:val="16"/>
                <w:lang w:val="es-ES_tradnl" w:bidi="th-TH"/>
              </w:rPr>
              <w:t>Serie existente de políticas, reglas y procedimientos documentados.</w:t>
            </w:r>
          </w:p>
        </w:tc>
        <w:tc>
          <w:tcPr>
            <w:tcW w:w="916" w:type="pct"/>
            <w:tcBorders>
              <w:top w:val="single" w:sz="4" w:space="0" w:color="auto"/>
              <w:bottom w:val="nil"/>
            </w:tcBorders>
            <w:shd w:val="clear" w:color="auto" w:fill="auto"/>
            <w:tcMar>
              <w:top w:w="110" w:type="dxa"/>
            </w:tcMar>
          </w:tcPr>
          <w:p w:rsidR="00B070BF" w:rsidRPr="009577DE" w:rsidRDefault="00B070BF" w:rsidP="00C33D4A">
            <w:pPr>
              <w:widowControl w:val="0"/>
              <w:rPr>
                <w:sz w:val="16"/>
                <w:szCs w:val="16"/>
                <w:lang w:val="es-ES_tradnl" w:bidi="th-TH"/>
              </w:rPr>
            </w:pPr>
            <w:r w:rsidRPr="00F2661C">
              <w:rPr>
                <w:color w:val="993300"/>
                <w:sz w:val="16"/>
                <w:szCs w:val="16"/>
                <w:lang w:val="es-ES_tradnl" w:bidi="th-TH"/>
              </w:rPr>
              <w:t xml:space="preserve">En 2010/11 se actualizó la orden de servicio de atenciones sociales oficiales.  Se enviaron las actualizaciones del Reglamento Financiero y la Reglamentación Financiera a las Asambleas de los Estados miembros de la OMPI.  Se aprobaron y se promulgaron varias políticas, entre las que se incluyen  el proceso presupuestario aplicado a los proyectos propuestos por el Comité sobre Desarrollo y Propiedad Intelectual (CDIP) para dar aplicación a las recomendaciones de la Agenda para el Desarrollo;  la política sobre fondos de reserva y principios aplicados en relación con el uso de las reservas;  la política de inversiones;  y el marco de gestión y planificación en materia de capital de la OMPI. </w:t>
            </w:r>
          </w:p>
        </w:tc>
        <w:tc>
          <w:tcPr>
            <w:tcW w:w="1848" w:type="pct"/>
            <w:tcBorders>
              <w:top w:val="single" w:sz="4" w:space="0" w:color="auto"/>
              <w:bottom w:val="nil"/>
            </w:tcBorders>
            <w:shd w:val="clear" w:color="auto" w:fill="FFFFFF"/>
            <w:tcMar>
              <w:top w:w="110" w:type="dxa"/>
            </w:tcMar>
          </w:tcPr>
          <w:p w:rsidR="00B070BF" w:rsidRPr="009577DE" w:rsidRDefault="00B070BF" w:rsidP="00C33D4A">
            <w:pPr>
              <w:widowControl w:val="0"/>
              <w:rPr>
                <w:sz w:val="16"/>
                <w:szCs w:val="16"/>
                <w:lang w:val="es-ES_tradnl"/>
              </w:rPr>
            </w:pPr>
            <w:r w:rsidRPr="009577DE">
              <w:rPr>
                <w:sz w:val="16"/>
                <w:szCs w:val="16"/>
                <w:lang w:val="es-ES_tradnl"/>
              </w:rPr>
              <w:t>Tras la aprobación y publicación del nuevo Estatuto y Reglamento del Personal revisado, este programa contribuyó a su aplicación, incluida la revisión y actualización de los procedimientos y documentos de política conexos.</w:t>
            </w:r>
          </w:p>
          <w:p w:rsidR="00B070BF" w:rsidRPr="009577DE" w:rsidRDefault="00B070BF" w:rsidP="00C33D4A">
            <w:pPr>
              <w:widowControl w:val="0"/>
              <w:rPr>
                <w:sz w:val="16"/>
                <w:szCs w:val="16"/>
                <w:lang w:val="es-ES_tradnl"/>
              </w:rPr>
            </w:pPr>
          </w:p>
          <w:p w:rsidR="00B070BF" w:rsidRPr="009577DE" w:rsidRDefault="00B070BF" w:rsidP="00C33D4A">
            <w:pPr>
              <w:widowControl w:val="0"/>
              <w:rPr>
                <w:sz w:val="16"/>
                <w:szCs w:val="16"/>
                <w:lang w:val="es-ES_tradnl"/>
              </w:rPr>
            </w:pPr>
            <w:r w:rsidRPr="009577DE">
              <w:rPr>
                <w:sz w:val="16"/>
                <w:szCs w:val="16"/>
                <w:lang w:val="es-ES_tradnl"/>
              </w:rPr>
              <w:t>El programa contribuyó a la revisión de los distintos elementos del proceso de reforma de los contratos (de las categorías de personal y no relacionados con el personal), que permitieron aclarar los procesos, las funciones y los cometidos, así como la redacción de órdenes de servicio a fin de abordarlos (pasantes, becas y servicios contractuales individuales).</w:t>
            </w:r>
          </w:p>
          <w:p w:rsidR="00B070BF" w:rsidRPr="009577DE" w:rsidRDefault="00B070BF" w:rsidP="00C33D4A">
            <w:pPr>
              <w:widowControl w:val="0"/>
              <w:rPr>
                <w:sz w:val="16"/>
                <w:szCs w:val="16"/>
                <w:lang w:val="es-ES_tradnl"/>
              </w:rPr>
            </w:pPr>
          </w:p>
          <w:p w:rsidR="00B070BF" w:rsidRPr="009577DE" w:rsidRDefault="00B070BF" w:rsidP="00C33D4A">
            <w:pPr>
              <w:widowControl w:val="0"/>
              <w:rPr>
                <w:sz w:val="16"/>
                <w:szCs w:val="16"/>
                <w:lang w:val="es-ES_tradnl"/>
              </w:rPr>
            </w:pPr>
            <w:r w:rsidRPr="009577DE">
              <w:rPr>
                <w:sz w:val="16"/>
                <w:szCs w:val="16"/>
                <w:lang w:val="es-ES_tradnl"/>
              </w:rPr>
              <w:t>Se llevaron a cabo revisiones específicas de determinadas políticas y procedimientos que se consideraba que era preciso actualizar o modificar, comprendidos los relativos a la tramitación de las afectaciones y los compromisos de gasto de los servicios de traducción del PCT.  Se espera tener las conclusiones y recomendaciones de la revisión en 2013, que pueden dar lugar a cambios y mejoras de los procesos y procedimientos actuales.</w:t>
            </w:r>
          </w:p>
          <w:p w:rsidR="00B070BF" w:rsidRPr="009577DE" w:rsidRDefault="00B070BF" w:rsidP="00C33D4A">
            <w:pPr>
              <w:widowControl w:val="0"/>
              <w:rPr>
                <w:sz w:val="16"/>
                <w:szCs w:val="16"/>
                <w:lang w:val="es-ES_tradnl"/>
              </w:rPr>
            </w:pPr>
          </w:p>
          <w:p w:rsidR="00B070BF" w:rsidRPr="009577DE" w:rsidRDefault="00B070BF" w:rsidP="00C33D4A">
            <w:pPr>
              <w:widowControl w:val="0"/>
              <w:rPr>
                <w:sz w:val="16"/>
                <w:szCs w:val="16"/>
                <w:lang w:val="es-ES_tradnl"/>
              </w:rPr>
            </w:pPr>
            <w:r w:rsidRPr="009577DE">
              <w:rPr>
                <w:sz w:val="16"/>
                <w:szCs w:val="16"/>
                <w:lang w:val="es-ES_tradnl"/>
              </w:rPr>
              <w:t>Las órdenes de servicio sobre sobre viajes oficiales y gastos conexos, atenciones sociales oficiales y pago de honorarios a los conferenciantes se revisaron y publicaron a comienzos de 2012, y en ellas se reflejan las medidas encaminadas a mejorar la eficacia en función de los costos aplicadas por la Secretaría.</w:t>
            </w:r>
          </w:p>
          <w:p w:rsidR="00B070BF" w:rsidRPr="009577DE" w:rsidRDefault="00B070BF" w:rsidP="00C33D4A">
            <w:pPr>
              <w:widowControl w:val="0"/>
              <w:rPr>
                <w:sz w:val="16"/>
                <w:szCs w:val="16"/>
                <w:lang w:val="es-ES_tradnl"/>
              </w:rPr>
            </w:pPr>
          </w:p>
          <w:p w:rsidR="00B070BF" w:rsidRPr="009577DE" w:rsidRDefault="00B070BF" w:rsidP="00C33D4A">
            <w:pPr>
              <w:widowControl w:val="0"/>
              <w:rPr>
                <w:iCs/>
                <w:sz w:val="16"/>
                <w:szCs w:val="16"/>
                <w:lang w:val="es-ES_tradnl"/>
              </w:rPr>
            </w:pPr>
            <w:r w:rsidRPr="009577DE">
              <w:rPr>
                <w:iCs/>
                <w:sz w:val="16"/>
                <w:szCs w:val="16"/>
                <w:lang w:val="es-ES_tradnl"/>
              </w:rPr>
              <w:t>Se presentaron a las Asambleas de los Estados miembros de la OMPI modificaciones adicionales del Reglamento Financiero y la Reglamentación Financiera, necesarias a causa de la adopción de las IPSAS por la Organización.  De conformidad con la política sobre inversiones, el Comité Asesor en materia de Inversiones celebró su primera reunión en 2012 y acordó su mandato.</w:t>
            </w:r>
          </w:p>
          <w:p w:rsidR="00B070BF" w:rsidRPr="009577DE" w:rsidRDefault="00B070BF" w:rsidP="00C33D4A">
            <w:pPr>
              <w:widowControl w:val="0"/>
              <w:rPr>
                <w:iCs/>
                <w:sz w:val="16"/>
                <w:szCs w:val="16"/>
                <w:lang w:val="es-ES_tradnl"/>
              </w:rPr>
            </w:pPr>
          </w:p>
        </w:tc>
        <w:tc>
          <w:tcPr>
            <w:tcW w:w="557" w:type="pct"/>
            <w:tcBorders>
              <w:top w:val="single" w:sz="4" w:space="0" w:color="auto"/>
              <w:bottom w:val="nil"/>
              <w:right w:val="single" w:sz="4" w:space="0" w:color="auto"/>
            </w:tcBorders>
            <w:shd w:val="clear" w:color="auto" w:fill="auto"/>
            <w:tcMar>
              <w:top w:w="110" w:type="dxa"/>
            </w:tcMar>
          </w:tcPr>
          <w:p w:rsidR="00B070BF" w:rsidRPr="009577DE" w:rsidRDefault="00B070BF" w:rsidP="00C33D4A">
            <w:pPr>
              <w:widowControl w:val="0"/>
              <w:jc w:val="center"/>
              <w:rPr>
                <w:b/>
                <w:bCs/>
                <w:sz w:val="16"/>
                <w:szCs w:val="16"/>
                <w:lang w:val="es-ES_tradnl"/>
              </w:rPr>
            </w:pPr>
            <w:r w:rsidRPr="009577DE">
              <w:rPr>
                <w:b/>
                <w:bCs/>
                <w:color w:val="008000"/>
                <w:sz w:val="16"/>
                <w:szCs w:val="16"/>
                <w:lang w:val="es-ES_tradnl"/>
              </w:rPr>
              <w:t>Progresa con normalidad</w:t>
            </w:r>
          </w:p>
          <w:p w:rsidR="00B070BF" w:rsidRPr="009577DE" w:rsidRDefault="00B070BF" w:rsidP="00C33D4A">
            <w:pPr>
              <w:widowControl w:val="0"/>
              <w:jc w:val="center"/>
              <w:rPr>
                <w:bCs/>
                <w:sz w:val="16"/>
                <w:szCs w:val="16"/>
                <w:lang w:val="es-ES_tradnl"/>
              </w:rPr>
            </w:pPr>
          </w:p>
        </w:tc>
      </w:tr>
      <w:tr w:rsidR="00B070BF" w:rsidRPr="009577DE" w:rsidTr="00C33D4A">
        <w:trPr>
          <w:cantSplit/>
        </w:trPr>
        <w:tc>
          <w:tcPr>
            <w:tcW w:w="874" w:type="pct"/>
            <w:tcBorders>
              <w:top w:val="nil"/>
              <w:left w:val="single" w:sz="4" w:space="0" w:color="auto"/>
              <w:bottom w:val="single" w:sz="4" w:space="0" w:color="auto"/>
            </w:tcBorders>
            <w:shd w:val="clear" w:color="auto" w:fill="auto"/>
          </w:tcPr>
          <w:p w:rsidR="00B070BF" w:rsidRPr="009577DE" w:rsidRDefault="00B070BF" w:rsidP="00C33D4A">
            <w:pPr>
              <w:widowControl w:val="0"/>
              <w:rPr>
                <w:sz w:val="16"/>
                <w:szCs w:val="16"/>
                <w:lang w:val="es-ES_tradnl" w:bidi="th-TH"/>
              </w:rPr>
            </w:pPr>
            <w:r w:rsidRPr="009577DE">
              <w:rPr>
                <w:sz w:val="16"/>
                <w:szCs w:val="16"/>
                <w:lang w:val="es-ES_tradnl" w:bidi="th-TH"/>
              </w:rPr>
              <w:t>La presentación de un informe financiero satisfactorio por parte de los Auditores Externos confirma la conformidad de las operaciones de contabilidad con los reglamentos, las reglas y las normas aplicables</w:t>
            </w:r>
          </w:p>
          <w:p w:rsidR="00B070BF" w:rsidRPr="009577DE" w:rsidRDefault="00B070BF" w:rsidP="00C33D4A">
            <w:pPr>
              <w:widowControl w:val="0"/>
              <w:rPr>
                <w:sz w:val="16"/>
                <w:szCs w:val="16"/>
                <w:lang w:val="es-ES_tradnl" w:bidi="th-TH"/>
              </w:rPr>
            </w:pPr>
          </w:p>
        </w:tc>
        <w:tc>
          <w:tcPr>
            <w:tcW w:w="805" w:type="pct"/>
            <w:tcBorders>
              <w:top w:val="nil"/>
              <w:bottom w:val="single" w:sz="4" w:space="0" w:color="auto"/>
            </w:tcBorders>
            <w:shd w:val="clear" w:color="auto" w:fill="C0C0C0"/>
          </w:tcPr>
          <w:p w:rsidR="00B070BF" w:rsidRPr="009577DE" w:rsidRDefault="00B070BF" w:rsidP="00C33D4A">
            <w:pPr>
              <w:widowControl w:val="0"/>
              <w:rPr>
                <w:sz w:val="16"/>
                <w:szCs w:val="16"/>
                <w:lang w:val="es-ES_tradnl" w:bidi="th-TH"/>
              </w:rPr>
            </w:pPr>
            <w:r w:rsidRPr="009577DE">
              <w:rPr>
                <w:sz w:val="16"/>
                <w:szCs w:val="16"/>
                <w:lang w:val="es-ES_tradnl" w:bidi="th-TH"/>
              </w:rPr>
              <w:t>Informe sin reservas del Auditor Externo.</w:t>
            </w:r>
          </w:p>
        </w:tc>
        <w:tc>
          <w:tcPr>
            <w:tcW w:w="916" w:type="pct"/>
            <w:tcBorders>
              <w:top w:val="nil"/>
              <w:bottom w:val="single" w:sz="4" w:space="0" w:color="auto"/>
            </w:tcBorders>
            <w:shd w:val="clear" w:color="auto" w:fill="auto"/>
            <w:tcMar>
              <w:top w:w="110" w:type="dxa"/>
            </w:tcMar>
          </w:tcPr>
          <w:p w:rsidR="00B070BF" w:rsidRPr="009577DE" w:rsidRDefault="00B070BF" w:rsidP="00C33D4A">
            <w:pPr>
              <w:widowControl w:val="0"/>
              <w:rPr>
                <w:sz w:val="16"/>
                <w:szCs w:val="16"/>
                <w:lang w:val="es-ES_tradnl" w:bidi="th-TH"/>
              </w:rPr>
            </w:pPr>
          </w:p>
        </w:tc>
        <w:tc>
          <w:tcPr>
            <w:tcW w:w="1848" w:type="pct"/>
            <w:tcBorders>
              <w:top w:val="nil"/>
              <w:bottom w:val="single" w:sz="4" w:space="0" w:color="auto"/>
            </w:tcBorders>
            <w:shd w:val="clear" w:color="auto" w:fill="FFFFFF"/>
            <w:tcMar>
              <w:top w:w="110" w:type="dxa"/>
            </w:tcMar>
          </w:tcPr>
          <w:p w:rsidR="00B070BF" w:rsidRPr="009577DE" w:rsidRDefault="00B070BF" w:rsidP="00C33D4A">
            <w:pPr>
              <w:widowControl w:val="0"/>
              <w:rPr>
                <w:iCs/>
                <w:sz w:val="16"/>
                <w:szCs w:val="16"/>
                <w:lang w:val="es-ES_tradnl"/>
              </w:rPr>
            </w:pPr>
            <w:r w:rsidRPr="009577DE">
              <w:rPr>
                <w:iCs/>
                <w:sz w:val="16"/>
                <w:szCs w:val="16"/>
                <w:lang w:val="es-ES_tradnl"/>
              </w:rPr>
              <w:t>En el momento de publicación, se ha finalizado la auditoria externa de los estados financieros y se han resuelto todas las cuestiones planteadas por el Auditor Externo.</w:t>
            </w:r>
          </w:p>
          <w:p w:rsidR="00B070BF" w:rsidRPr="009577DE" w:rsidRDefault="00B070BF" w:rsidP="00C33D4A">
            <w:pPr>
              <w:widowControl w:val="0"/>
              <w:rPr>
                <w:iCs/>
                <w:sz w:val="16"/>
                <w:szCs w:val="16"/>
                <w:lang w:val="es-ES_tradnl"/>
              </w:rPr>
            </w:pPr>
          </w:p>
          <w:p w:rsidR="00B070BF" w:rsidRPr="009577DE" w:rsidRDefault="00B070BF" w:rsidP="00C33D4A">
            <w:pPr>
              <w:widowControl w:val="0"/>
              <w:rPr>
                <w:sz w:val="16"/>
                <w:szCs w:val="16"/>
                <w:lang w:val="es-ES_tradnl"/>
              </w:rPr>
            </w:pPr>
          </w:p>
          <w:p w:rsidR="00B070BF" w:rsidRPr="009577DE" w:rsidRDefault="00B070BF" w:rsidP="00C33D4A">
            <w:pPr>
              <w:widowControl w:val="0"/>
              <w:rPr>
                <w:sz w:val="16"/>
                <w:szCs w:val="16"/>
                <w:lang w:val="es-ES_tradnl"/>
              </w:rPr>
            </w:pPr>
          </w:p>
          <w:p w:rsidR="00B070BF" w:rsidRPr="009577DE" w:rsidRDefault="00B070BF" w:rsidP="00C33D4A">
            <w:pPr>
              <w:widowControl w:val="0"/>
              <w:rPr>
                <w:sz w:val="16"/>
                <w:szCs w:val="16"/>
                <w:lang w:val="es-ES_tradnl"/>
              </w:rPr>
            </w:pPr>
          </w:p>
          <w:p w:rsidR="00B070BF" w:rsidRPr="009577DE" w:rsidRDefault="00B070BF" w:rsidP="00C33D4A">
            <w:pPr>
              <w:widowControl w:val="0"/>
              <w:rPr>
                <w:sz w:val="16"/>
                <w:szCs w:val="16"/>
                <w:lang w:val="es-ES_tradnl"/>
              </w:rPr>
            </w:pPr>
          </w:p>
          <w:p w:rsidR="00B070BF" w:rsidRPr="009577DE" w:rsidRDefault="00B070BF" w:rsidP="00C33D4A">
            <w:pPr>
              <w:widowControl w:val="0"/>
              <w:rPr>
                <w:sz w:val="16"/>
                <w:szCs w:val="16"/>
                <w:lang w:val="es-ES_tradnl"/>
              </w:rPr>
            </w:pPr>
          </w:p>
        </w:tc>
        <w:tc>
          <w:tcPr>
            <w:tcW w:w="557" w:type="pct"/>
            <w:tcBorders>
              <w:top w:val="nil"/>
              <w:bottom w:val="single" w:sz="4" w:space="0" w:color="auto"/>
              <w:right w:val="single" w:sz="4" w:space="0" w:color="auto"/>
            </w:tcBorders>
            <w:shd w:val="clear" w:color="auto" w:fill="auto"/>
            <w:tcMar>
              <w:top w:w="110" w:type="dxa"/>
            </w:tcMar>
          </w:tcPr>
          <w:p w:rsidR="00B070BF" w:rsidRPr="009577DE" w:rsidRDefault="00B070BF" w:rsidP="00C33D4A">
            <w:pPr>
              <w:widowControl w:val="0"/>
              <w:jc w:val="center"/>
              <w:rPr>
                <w:b/>
                <w:bCs/>
                <w:sz w:val="16"/>
                <w:szCs w:val="16"/>
                <w:lang w:val="es-ES_tradnl"/>
              </w:rPr>
            </w:pPr>
            <w:r w:rsidRPr="009577DE">
              <w:rPr>
                <w:b/>
                <w:bCs/>
                <w:color w:val="008000"/>
                <w:sz w:val="16"/>
                <w:szCs w:val="16"/>
                <w:lang w:val="es-ES_tradnl"/>
              </w:rPr>
              <w:t>Progresa con normalidad</w:t>
            </w:r>
          </w:p>
        </w:tc>
      </w:tr>
    </w:tbl>
    <w:p w:rsidR="00B070BF" w:rsidRPr="009577DE" w:rsidRDefault="00B070BF" w:rsidP="00B070BF">
      <w:pPr>
        <w:widowControl w:val="0"/>
        <w:rPr>
          <w:b/>
          <w:sz w:val="20"/>
          <w:szCs w:val="16"/>
          <w:lang w:val="es-ES_tradnl"/>
        </w:rPr>
      </w:pPr>
    </w:p>
    <w:p w:rsidR="00B070BF" w:rsidRDefault="00B070BF" w:rsidP="00B070BF">
      <w:pPr>
        <w:rPr>
          <w:sz w:val="20"/>
          <w:szCs w:val="22"/>
          <w:lang w:val="es-ES_tradnl"/>
        </w:rPr>
      </w:pPr>
      <w:r>
        <w:rPr>
          <w:sz w:val="20"/>
          <w:szCs w:val="22"/>
          <w:lang w:val="es-ES_tradnl"/>
        </w:rPr>
        <w:br w:type="page"/>
      </w:r>
    </w:p>
    <w:p w:rsidR="00B070BF" w:rsidRPr="009577DE" w:rsidRDefault="00B070BF" w:rsidP="00B070BF">
      <w:pPr>
        <w:widowControl w:val="0"/>
        <w:rPr>
          <w:sz w:val="20"/>
          <w:szCs w:val="22"/>
          <w:lang w:val="es-ES_tradnl"/>
        </w:rPr>
      </w:pPr>
      <w:r w:rsidRPr="009577DE">
        <w:rPr>
          <w:sz w:val="20"/>
          <w:szCs w:val="22"/>
          <w:lang w:val="es-ES_tradnl"/>
        </w:rPr>
        <w:lastRenderedPageBreak/>
        <w:t>PRESUPUESTO Y GASTOS REALES</w:t>
      </w:r>
    </w:p>
    <w:p w:rsidR="00B070BF" w:rsidRPr="006964C6" w:rsidRDefault="00B070BF" w:rsidP="00B070BF">
      <w:pPr>
        <w:widowControl w:val="0"/>
        <w:rPr>
          <w:sz w:val="20"/>
          <w:lang w:val="es-ES_tradnl"/>
        </w:rPr>
      </w:pPr>
    </w:p>
    <w:p w:rsidR="00B070BF" w:rsidRPr="006964C6" w:rsidRDefault="00B070BF" w:rsidP="00B070BF">
      <w:pPr>
        <w:widowControl w:val="0"/>
        <w:jc w:val="center"/>
        <w:rPr>
          <w:sz w:val="20"/>
          <w:lang w:val="es-ES_tradnl"/>
        </w:rPr>
      </w:pPr>
      <w:r w:rsidRPr="006964C6">
        <w:rPr>
          <w:sz w:val="20"/>
          <w:lang w:val="es-ES_tradnl"/>
        </w:rPr>
        <w:t>Presupuesto y gastos reales (por resultado)</w:t>
      </w:r>
    </w:p>
    <w:p w:rsidR="00B070BF" w:rsidRPr="009577DE" w:rsidRDefault="00B070BF" w:rsidP="00B070BF">
      <w:pPr>
        <w:widowControl w:val="0"/>
        <w:jc w:val="center"/>
        <w:rPr>
          <w:sz w:val="20"/>
          <w:szCs w:val="22"/>
          <w:lang w:val="es-ES_tradnl"/>
        </w:rPr>
      </w:pPr>
      <w:r w:rsidRPr="006964C6">
        <w:rPr>
          <w:i/>
          <w:iCs/>
          <w:sz w:val="20"/>
          <w:lang w:val="es-ES_tradnl"/>
        </w:rPr>
        <w:t>(en miles de francos suizos)</w:t>
      </w:r>
      <w:r w:rsidRPr="006964C6">
        <w:rPr>
          <w:i/>
          <w:iCs/>
          <w:sz w:val="20"/>
          <w:lang w:val="es-ES_tradnl"/>
        </w:rPr>
        <w:br/>
      </w:r>
      <w:r w:rsidRPr="006964C6">
        <w:rPr>
          <w:i/>
          <w:iCs/>
          <w:sz w:val="20"/>
          <w:lang w:val="es-ES_tradnl"/>
        </w:rPr>
        <w:br/>
      </w:r>
      <w:r w:rsidRPr="009577DE">
        <w:rPr>
          <w:noProof/>
          <w:lang w:val="en-US" w:eastAsia="en-US"/>
        </w:rPr>
        <w:drawing>
          <wp:inline distT="0" distB="0" distL="0" distR="0" wp14:anchorId="055D0879" wp14:editId="5D1AB3B1">
            <wp:extent cx="5902325" cy="1139825"/>
            <wp:effectExtent l="0" t="0" r="3175" b="3175"/>
            <wp:docPr id="242" name="Picture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902325" cy="1139825"/>
                    </a:xfrm>
                    <a:prstGeom prst="rect">
                      <a:avLst/>
                    </a:prstGeom>
                    <a:noFill/>
                    <a:ln>
                      <a:noFill/>
                    </a:ln>
                  </pic:spPr>
                </pic:pic>
              </a:graphicData>
            </a:graphic>
          </wp:inline>
        </w:drawing>
      </w:r>
    </w:p>
    <w:p w:rsidR="00B070BF" w:rsidRPr="006964C6" w:rsidRDefault="00B070BF" w:rsidP="00B070BF">
      <w:pPr>
        <w:widowControl w:val="0"/>
        <w:jc w:val="center"/>
        <w:rPr>
          <w:sz w:val="20"/>
          <w:lang w:val="es-ES_tradnl"/>
        </w:rPr>
      </w:pPr>
    </w:p>
    <w:p w:rsidR="00B070BF" w:rsidRPr="006964C6" w:rsidRDefault="00B070BF" w:rsidP="00B070BF">
      <w:pPr>
        <w:widowControl w:val="0"/>
        <w:jc w:val="center"/>
        <w:rPr>
          <w:sz w:val="20"/>
          <w:lang w:val="es-ES_tradnl"/>
        </w:rPr>
      </w:pPr>
    </w:p>
    <w:p w:rsidR="00B070BF" w:rsidRPr="009577DE" w:rsidRDefault="00B070BF" w:rsidP="00B070BF">
      <w:pPr>
        <w:widowControl w:val="0"/>
        <w:jc w:val="center"/>
        <w:rPr>
          <w:sz w:val="20"/>
          <w:lang w:val="es-ES_tradnl"/>
        </w:rPr>
      </w:pPr>
      <w:r w:rsidRPr="006964C6">
        <w:rPr>
          <w:sz w:val="20"/>
          <w:lang w:val="es-ES_tradnl"/>
        </w:rPr>
        <w:t>Presupuesto y gastos reales (de personal y no relativos al personal)</w:t>
      </w:r>
      <w:r w:rsidRPr="006964C6">
        <w:rPr>
          <w:sz w:val="20"/>
          <w:lang w:val="es-ES_tradnl"/>
        </w:rPr>
        <w:br/>
      </w:r>
      <w:r w:rsidRPr="006964C6">
        <w:rPr>
          <w:i/>
          <w:sz w:val="20"/>
          <w:lang w:val="es-ES_tradnl"/>
        </w:rPr>
        <w:t>(en miles de francos suizos)</w:t>
      </w:r>
      <w:r w:rsidRPr="006964C6">
        <w:rPr>
          <w:sz w:val="20"/>
          <w:lang w:val="es-ES_tradnl"/>
        </w:rPr>
        <w:br/>
      </w:r>
      <w:r w:rsidRPr="006964C6">
        <w:rPr>
          <w:sz w:val="20"/>
          <w:lang w:val="es-ES_tradnl"/>
        </w:rPr>
        <w:br/>
      </w:r>
      <w:r w:rsidRPr="009577DE">
        <w:rPr>
          <w:noProof/>
          <w:lang w:val="en-US" w:eastAsia="en-US"/>
        </w:rPr>
        <w:drawing>
          <wp:inline distT="0" distB="0" distL="0" distR="0" wp14:anchorId="646C6DCE" wp14:editId="2EBD763E">
            <wp:extent cx="5902325" cy="1235075"/>
            <wp:effectExtent l="0" t="0" r="3175" b="3175"/>
            <wp:docPr id="241" name="Picture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902325" cy="1235075"/>
                    </a:xfrm>
                    <a:prstGeom prst="rect">
                      <a:avLst/>
                    </a:prstGeom>
                    <a:noFill/>
                    <a:ln>
                      <a:noFill/>
                    </a:ln>
                  </pic:spPr>
                </pic:pic>
              </a:graphicData>
            </a:graphic>
          </wp:inline>
        </w:drawing>
      </w:r>
    </w:p>
    <w:p w:rsidR="00B070BF" w:rsidRPr="009577DE" w:rsidRDefault="00B070BF" w:rsidP="00B070BF">
      <w:pPr>
        <w:widowControl w:val="0"/>
        <w:autoSpaceDE w:val="0"/>
        <w:autoSpaceDN w:val="0"/>
        <w:adjustRightInd w:val="0"/>
        <w:rPr>
          <w:sz w:val="16"/>
          <w:szCs w:val="16"/>
          <w:lang w:val="es-ES_tradnl"/>
        </w:rPr>
      </w:pPr>
    </w:p>
    <w:p w:rsidR="00B070BF" w:rsidRPr="009577DE" w:rsidRDefault="00B070BF" w:rsidP="00B070BF">
      <w:pPr>
        <w:widowControl w:val="0"/>
        <w:autoSpaceDE w:val="0"/>
        <w:autoSpaceDN w:val="0"/>
        <w:adjustRightInd w:val="0"/>
        <w:rPr>
          <w:sz w:val="16"/>
          <w:szCs w:val="16"/>
          <w:lang w:val="es-ES_tradnl"/>
        </w:rPr>
      </w:pPr>
      <w:r w:rsidRPr="007C3E0F">
        <w:rPr>
          <w:sz w:val="16"/>
          <w:szCs w:val="16"/>
          <w:lang w:val="es-ES_tradnl"/>
        </w:rPr>
        <w:t>NOTAS:</w:t>
      </w:r>
    </w:p>
    <w:p w:rsidR="00B070BF" w:rsidRPr="009577DE" w:rsidRDefault="00B070BF" w:rsidP="00B070BF">
      <w:pPr>
        <w:widowControl w:val="0"/>
        <w:autoSpaceDE w:val="0"/>
        <w:autoSpaceDN w:val="0"/>
        <w:adjustRightInd w:val="0"/>
        <w:rPr>
          <w:sz w:val="16"/>
          <w:szCs w:val="16"/>
          <w:lang w:val="es-ES_tradnl"/>
        </w:rPr>
      </w:pPr>
    </w:p>
    <w:p w:rsidR="00B070BF" w:rsidRPr="009577DE" w:rsidRDefault="00B070BF" w:rsidP="00B070BF">
      <w:pPr>
        <w:widowControl w:val="0"/>
        <w:autoSpaceDE w:val="0"/>
        <w:autoSpaceDN w:val="0"/>
        <w:adjustRightInd w:val="0"/>
        <w:rPr>
          <w:sz w:val="16"/>
          <w:szCs w:val="16"/>
          <w:lang w:val="es-ES_tradnl"/>
        </w:rPr>
      </w:pPr>
      <w:r w:rsidRPr="009577DE">
        <w:rPr>
          <w:sz w:val="16"/>
          <w:szCs w:val="16"/>
          <w:lang w:val="es-ES_tradnl"/>
        </w:rPr>
        <w:t>1) El presupuesto después de las transferencias refleja el presupuesto de los programas ajustado después de las transferencias efectuadas en 2012/13 en virtud del artículo 5.5 del Reglamento Financiero.</w:t>
      </w:r>
    </w:p>
    <w:p w:rsidR="00B070BF" w:rsidRPr="009577DE" w:rsidRDefault="00B070BF" w:rsidP="00B070BF">
      <w:pPr>
        <w:widowControl w:val="0"/>
        <w:autoSpaceDE w:val="0"/>
        <w:autoSpaceDN w:val="0"/>
        <w:adjustRightInd w:val="0"/>
        <w:rPr>
          <w:sz w:val="16"/>
          <w:szCs w:val="16"/>
          <w:lang w:val="es-ES_tradnl"/>
        </w:rPr>
      </w:pPr>
    </w:p>
    <w:p w:rsidR="00B070BF" w:rsidRPr="009577DE" w:rsidRDefault="00B070BF" w:rsidP="00B070BF">
      <w:pPr>
        <w:widowControl w:val="0"/>
        <w:autoSpaceDE w:val="0"/>
        <w:autoSpaceDN w:val="0"/>
        <w:adjustRightInd w:val="0"/>
        <w:rPr>
          <w:sz w:val="16"/>
          <w:szCs w:val="16"/>
          <w:lang w:val="es-ES_tradnl"/>
        </w:rPr>
      </w:pPr>
      <w:r w:rsidRPr="009577DE">
        <w:rPr>
          <w:sz w:val="16"/>
          <w:szCs w:val="16"/>
          <w:lang w:val="es-ES_tradnl"/>
        </w:rPr>
        <w:t xml:space="preserve">2) La asignación para el personal del presupuesto de 2012/13 después de las transferencias representa los gastos reales efectuados hasta el 31 de marzo de 2013 y los importes presupuestados para los nueve meses restantes de 2013, sobre la base de costos estándar. </w:t>
      </w:r>
    </w:p>
    <w:p w:rsidR="00B070BF" w:rsidRPr="009577DE" w:rsidRDefault="00B070BF" w:rsidP="00B070BF">
      <w:pPr>
        <w:widowControl w:val="0"/>
        <w:autoSpaceDE w:val="0"/>
        <w:autoSpaceDN w:val="0"/>
        <w:adjustRightInd w:val="0"/>
        <w:rPr>
          <w:sz w:val="16"/>
          <w:szCs w:val="16"/>
          <w:lang w:val="es-ES_tradnl"/>
        </w:rPr>
      </w:pPr>
    </w:p>
    <w:p w:rsidR="00B070BF" w:rsidRPr="009577DE" w:rsidRDefault="00B070BF" w:rsidP="00B070BF">
      <w:pPr>
        <w:widowControl w:val="0"/>
        <w:autoSpaceDE w:val="0"/>
        <w:autoSpaceDN w:val="0"/>
        <w:adjustRightInd w:val="0"/>
        <w:rPr>
          <w:sz w:val="16"/>
          <w:szCs w:val="16"/>
          <w:lang w:val="es-ES_tradnl"/>
        </w:rPr>
      </w:pPr>
      <w:r w:rsidRPr="009577DE">
        <w:rPr>
          <w:sz w:val="16"/>
          <w:szCs w:val="16"/>
          <w:lang w:val="es-ES_tradnl"/>
        </w:rPr>
        <w:t>3) La asignación no relativa al personal del presupuesto de 2012/13 después de las transferencias refleja los ajustes a la baja efectuados para aumentar la eficacia en función de los costos, de conformidad con el compromiso de la Organización de reducir gastos por un importe de 10,2 millones de francos suizos en el bienio 2012/13.</w:t>
      </w:r>
    </w:p>
    <w:p w:rsidR="00B070BF" w:rsidRDefault="00B070BF" w:rsidP="00B070BF">
      <w:pPr>
        <w:widowControl w:val="0"/>
        <w:rPr>
          <w:sz w:val="20"/>
          <w:lang w:val="es-ES_tradnl"/>
        </w:rPr>
      </w:pPr>
    </w:p>
    <w:p w:rsidR="00B070BF" w:rsidRPr="009577DE" w:rsidRDefault="00B070BF" w:rsidP="00B070BF">
      <w:pPr>
        <w:widowControl w:val="0"/>
        <w:rPr>
          <w:sz w:val="20"/>
          <w:lang w:val="es-ES_tradnl"/>
        </w:rPr>
      </w:pPr>
    </w:p>
    <w:p w:rsidR="00B070BF" w:rsidRPr="009577DE" w:rsidRDefault="00B070BF" w:rsidP="00B070BF">
      <w:pPr>
        <w:widowControl w:val="0"/>
        <w:rPr>
          <w:sz w:val="20"/>
          <w:u w:val="single"/>
          <w:lang w:val="es-ES_tradnl"/>
        </w:rPr>
      </w:pPr>
      <w:r>
        <w:rPr>
          <w:sz w:val="20"/>
          <w:lang w:val="es-ES_tradnl"/>
        </w:rPr>
        <w:t xml:space="preserve">A.  </w:t>
      </w:r>
      <w:r w:rsidRPr="009577DE">
        <w:rPr>
          <w:sz w:val="20"/>
          <w:u w:val="single"/>
          <w:lang w:val="es-ES_tradnl"/>
        </w:rPr>
        <w:t xml:space="preserve">Presupuesto </w:t>
      </w:r>
      <w:r>
        <w:rPr>
          <w:sz w:val="20"/>
          <w:u w:val="single"/>
          <w:lang w:val="es-ES_tradnl"/>
        </w:rPr>
        <w:t>2012/13</w:t>
      </w:r>
      <w:r w:rsidRPr="009577DE">
        <w:rPr>
          <w:sz w:val="20"/>
          <w:u w:val="single"/>
          <w:lang w:val="es-ES_tradnl"/>
        </w:rPr>
        <w:t xml:space="preserve"> después de las transferencias</w:t>
      </w:r>
    </w:p>
    <w:p w:rsidR="00B070BF" w:rsidRPr="009577DE" w:rsidRDefault="00B070BF" w:rsidP="00B070BF">
      <w:pPr>
        <w:widowControl w:val="0"/>
        <w:rPr>
          <w:b/>
          <w:bCs/>
          <w:sz w:val="20"/>
          <w:lang w:val="es-ES_tradnl"/>
        </w:rPr>
      </w:pPr>
    </w:p>
    <w:p w:rsidR="00B070BF" w:rsidRPr="009577DE" w:rsidRDefault="00B070BF" w:rsidP="00B070BF">
      <w:pPr>
        <w:widowControl w:val="0"/>
        <w:numPr>
          <w:ilvl w:val="0"/>
          <w:numId w:val="44"/>
        </w:numPr>
        <w:tabs>
          <w:tab w:val="left" w:pos="709"/>
        </w:tabs>
        <w:autoSpaceDE w:val="0"/>
        <w:autoSpaceDN w:val="0"/>
        <w:adjustRightInd w:val="0"/>
        <w:ind w:left="0" w:firstLine="0"/>
        <w:jc w:val="both"/>
        <w:rPr>
          <w:sz w:val="20"/>
          <w:lang w:val="es-ES_tradnl"/>
        </w:rPr>
      </w:pPr>
      <w:r w:rsidRPr="009577DE">
        <w:rPr>
          <w:sz w:val="20"/>
          <w:lang w:val="es-ES_tradnl"/>
        </w:rPr>
        <w:t>El aumento de los recursos asignados a este programa refleja los costos del proyecto de la Agenda de la OMPI para el Desarrollo relativo a la mejora del marco de la OMPI de gestión por resultados para respaldar la supervisión y evaluación de las actividades de desarrollo</w:t>
      </w:r>
      <w:r w:rsidRPr="009577DE">
        <w:rPr>
          <w:iCs/>
          <w:sz w:val="20"/>
          <w:lang w:val="es-ES_tradnl"/>
        </w:rPr>
        <w:t>.</w:t>
      </w:r>
      <w:r w:rsidRPr="009577DE">
        <w:rPr>
          <w:sz w:val="20"/>
          <w:lang w:val="es-ES_tradnl"/>
        </w:rPr>
        <w:t xml:space="preserve">  </w:t>
      </w:r>
    </w:p>
    <w:p w:rsidR="00B070BF" w:rsidRPr="009577DE" w:rsidRDefault="00B070BF" w:rsidP="00B070BF">
      <w:pPr>
        <w:widowControl w:val="0"/>
        <w:jc w:val="both"/>
        <w:rPr>
          <w:rFonts w:eastAsia="Batang"/>
          <w:sz w:val="20"/>
          <w:lang w:val="es-ES_tradnl" w:eastAsia="ko-KR"/>
        </w:rPr>
      </w:pPr>
    </w:p>
    <w:p w:rsidR="00B070BF" w:rsidRPr="009577DE" w:rsidRDefault="00B070BF" w:rsidP="00B070BF">
      <w:pPr>
        <w:widowControl w:val="0"/>
        <w:jc w:val="both"/>
        <w:rPr>
          <w:rFonts w:eastAsia="Batang"/>
          <w:sz w:val="20"/>
          <w:lang w:val="es-ES_tradnl" w:eastAsia="ko-KR"/>
        </w:rPr>
      </w:pPr>
      <w:r w:rsidRPr="009577DE">
        <w:rPr>
          <w:rFonts w:eastAsia="Batang"/>
          <w:sz w:val="20"/>
          <w:lang w:val="es-ES_tradnl" w:eastAsia="ko-KR"/>
        </w:rPr>
        <w:t xml:space="preserve">B. </w:t>
      </w:r>
      <w:r>
        <w:rPr>
          <w:rFonts w:eastAsia="Batang"/>
          <w:sz w:val="20"/>
          <w:lang w:val="es-ES_tradnl" w:eastAsia="ko-KR"/>
        </w:rPr>
        <w:t xml:space="preserve"> </w:t>
      </w:r>
      <w:r w:rsidRPr="009577DE">
        <w:rPr>
          <w:rFonts w:eastAsia="Batang"/>
          <w:sz w:val="20"/>
          <w:u w:val="single"/>
          <w:lang w:val="es-ES_tradnl" w:eastAsia="ko-KR"/>
        </w:rPr>
        <w:t>Utilización del presupuesto 2012</w:t>
      </w:r>
    </w:p>
    <w:p w:rsidR="00B070BF" w:rsidRPr="009577DE" w:rsidRDefault="00B070BF" w:rsidP="00B070BF">
      <w:pPr>
        <w:widowControl w:val="0"/>
        <w:jc w:val="both"/>
        <w:rPr>
          <w:sz w:val="20"/>
          <w:lang w:val="es-ES_tradnl"/>
        </w:rPr>
      </w:pPr>
    </w:p>
    <w:p w:rsidR="00B070BF" w:rsidRPr="009577DE" w:rsidRDefault="00B070BF" w:rsidP="00B070BF">
      <w:pPr>
        <w:widowControl w:val="0"/>
        <w:numPr>
          <w:ilvl w:val="0"/>
          <w:numId w:val="44"/>
        </w:numPr>
        <w:tabs>
          <w:tab w:val="left" w:pos="709"/>
        </w:tabs>
        <w:autoSpaceDE w:val="0"/>
        <w:autoSpaceDN w:val="0"/>
        <w:adjustRightInd w:val="0"/>
        <w:ind w:left="0" w:firstLine="0"/>
        <w:jc w:val="both"/>
        <w:rPr>
          <w:sz w:val="20"/>
          <w:lang w:val="es-ES_tradnl"/>
        </w:rPr>
      </w:pPr>
      <w:r w:rsidRPr="009577DE">
        <w:rPr>
          <w:rFonts w:eastAsia="Batang"/>
          <w:sz w:val="20"/>
          <w:lang w:val="es-ES_tradnl" w:eastAsia="ko-KR"/>
        </w:rPr>
        <w:t xml:space="preserve">La </w:t>
      </w:r>
      <w:r w:rsidRPr="005B3FA5">
        <w:rPr>
          <w:sz w:val="20"/>
          <w:lang w:val="es-ES_tradnl"/>
        </w:rPr>
        <w:t>utilización</w:t>
      </w:r>
      <w:r w:rsidRPr="009577DE">
        <w:rPr>
          <w:rFonts w:eastAsia="Batang"/>
          <w:sz w:val="20"/>
          <w:lang w:val="es-ES_tradnl" w:eastAsia="ko-KR"/>
        </w:rPr>
        <w:t xml:space="preserve"> del presupuesto se mantiene entre el 40% y el 60% en el primer año del bienio y progresa con normalidad.  </w:t>
      </w:r>
      <w:r w:rsidRPr="009577DE">
        <w:rPr>
          <w:sz w:val="20"/>
          <w:lang w:val="es-ES_tradnl"/>
        </w:rPr>
        <w:t xml:space="preserve">La escasa utilización de los recursos no relativos al personal refleja el aplazamiento hasta 2013 de determinadas actividades relacionadas con la gestión por resultados.  </w:t>
      </w:r>
    </w:p>
    <w:p w:rsidR="00B070BF" w:rsidRPr="009577DE" w:rsidRDefault="00B070BF" w:rsidP="00B070BF">
      <w:pPr>
        <w:widowControl w:val="0"/>
        <w:ind w:left="2268" w:hanging="2268"/>
        <w:jc w:val="both"/>
        <w:outlineLvl w:val="1"/>
        <w:rPr>
          <w:bCs/>
          <w:iCs/>
          <w:caps/>
          <w:szCs w:val="28"/>
          <w:lang w:val="es-ES_tradnl"/>
        </w:rPr>
      </w:pPr>
    </w:p>
    <w:p w:rsidR="00B070BF" w:rsidRPr="009577DE" w:rsidRDefault="00B070BF" w:rsidP="00B070BF">
      <w:pPr>
        <w:widowControl w:val="0"/>
        <w:rPr>
          <w:b/>
          <w:sz w:val="20"/>
          <w:szCs w:val="16"/>
          <w:lang w:val="es-ES_tradnl"/>
        </w:rPr>
      </w:pPr>
    </w:p>
    <w:p w:rsidR="00B070BF" w:rsidRPr="009577DE" w:rsidRDefault="00B070BF" w:rsidP="00B070BF">
      <w:pPr>
        <w:widowControl w:val="0"/>
        <w:spacing w:before="240" w:after="60"/>
        <w:ind w:left="2835" w:hanging="2835"/>
        <w:outlineLvl w:val="1"/>
        <w:rPr>
          <w:b/>
          <w:bCs/>
          <w:iCs/>
          <w:caps/>
          <w:szCs w:val="22"/>
          <w:lang w:val="es-ES_tradnl"/>
        </w:rPr>
      </w:pPr>
      <w:r w:rsidRPr="009577DE">
        <w:rPr>
          <w:bCs/>
          <w:iCs/>
          <w:caps/>
          <w:szCs w:val="28"/>
          <w:lang w:val="es-ES_tradnl"/>
        </w:rPr>
        <w:br w:type="page"/>
      </w:r>
      <w:bookmarkStart w:id="58" w:name="_Toc359846809"/>
      <w:bookmarkStart w:id="59" w:name="_Toc359949333"/>
      <w:r w:rsidRPr="009577DE">
        <w:rPr>
          <w:b/>
          <w:bCs/>
          <w:iCs/>
          <w:szCs w:val="22"/>
          <w:lang w:val="es-ES_tradnl"/>
        </w:rPr>
        <w:lastRenderedPageBreak/>
        <w:t>PROGRAMA 23</w:t>
      </w:r>
      <w:r w:rsidRPr="009577DE">
        <w:rPr>
          <w:bCs/>
          <w:iCs/>
          <w:szCs w:val="22"/>
          <w:lang w:val="es-ES_tradnl"/>
        </w:rPr>
        <w:tab/>
      </w:r>
      <w:r w:rsidRPr="009577DE">
        <w:rPr>
          <w:b/>
          <w:bCs/>
          <w:iCs/>
          <w:szCs w:val="22"/>
          <w:lang w:val="es-ES_tradnl"/>
        </w:rPr>
        <w:t>GESTIÓN Y DESARROLLO DE LOS RECURSOS HUMANOS</w:t>
      </w:r>
      <w:bookmarkEnd w:id="58"/>
      <w:bookmarkEnd w:id="59"/>
    </w:p>
    <w:p w:rsidR="00B070BF" w:rsidRPr="009577DE" w:rsidRDefault="00B070BF" w:rsidP="00B070BF">
      <w:pPr>
        <w:widowControl w:val="0"/>
        <w:tabs>
          <w:tab w:val="left" w:pos="2268"/>
        </w:tabs>
        <w:rPr>
          <w:sz w:val="20"/>
          <w:lang w:val="es-ES_tradnl"/>
        </w:rPr>
      </w:pPr>
    </w:p>
    <w:p w:rsidR="00B070BF" w:rsidRPr="009577DE" w:rsidRDefault="00B070BF" w:rsidP="00B070BF">
      <w:pPr>
        <w:widowControl w:val="0"/>
        <w:tabs>
          <w:tab w:val="left" w:pos="2268"/>
        </w:tabs>
        <w:rPr>
          <w:sz w:val="20"/>
          <w:lang w:val="es-ES_tradnl"/>
        </w:rPr>
      </w:pPr>
    </w:p>
    <w:p w:rsidR="00B070BF" w:rsidRPr="009577DE" w:rsidRDefault="00B070BF" w:rsidP="00B070BF">
      <w:pPr>
        <w:widowControl w:val="0"/>
        <w:tabs>
          <w:tab w:val="left" w:pos="2268"/>
        </w:tabs>
        <w:rPr>
          <w:b/>
          <w:szCs w:val="22"/>
          <w:lang w:val="es-ES_tradnl"/>
        </w:rPr>
      </w:pPr>
      <w:r w:rsidRPr="009577DE">
        <w:rPr>
          <w:b/>
          <w:szCs w:val="22"/>
          <w:lang w:val="es-ES_tradnl"/>
        </w:rPr>
        <w:t>Director del Programa</w:t>
      </w:r>
      <w:r w:rsidRPr="009577DE">
        <w:rPr>
          <w:b/>
          <w:szCs w:val="22"/>
          <w:lang w:val="es-ES_tradnl"/>
        </w:rPr>
        <w:tab/>
        <w:t>Director General</w:t>
      </w:r>
    </w:p>
    <w:p w:rsidR="00B070BF" w:rsidRPr="009577DE" w:rsidRDefault="00B070BF" w:rsidP="00B070BF">
      <w:pPr>
        <w:widowControl w:val="0"/>
        <w:rPr>
          <w:sz w:val="20"/>
          <w:lang w:val="es-ES_tradnl"/>
        </w:rPr>
      </w:pPr>
    </w:p>
    <w:p w:rsidR="00B070BF" w:rsidRPr="009577DE" w:rsidRDefault="00B070BF" w:rsidP="00B070BF">
      <w:pPr>
        <w:widowControl w:val="0"/>
        <w:rPr>
          <w:bCs/>
          <w:sz w:val="20"/>
          <w:lang w:val="es-ES_tradnl"/>
        </w:rPr>
      </w:pPr>
    </w:p>
    <w:p w:rsidR="00B070BF" w:rsidRPr="009577DE" w:rsidRDefault="00B070BF" w:rsidP="00B070BF">
      <w:pPr>
        <w:widowControl w:val="0"/>
        <w:spacing w:line="260" w:lineRule="atLeast"/>
        <w:jc w:val="both"/>
        <w:rPr>
          <w:bCs/>
          <w:sz w:val="20"/>
          <w:lang w:val="es-ES_tradnl"/>
        </w:rPr>
      </w:pPr>
      <w:r w:rsidRPr="009577DE">
        <w:rPr>
          <w:bCs/>
          <w:sz w:val="20"/>
          <w:lang w:val="es-ES_tradnl"/>
        </w:rPr>
        <w:t>RESEÑA DE LOS AVANCES LOGRADOS EN 2012</w:t>
      </w:r>
    </w:p>
    <w:p w:rsidR="00B070BF" w:rsidRPr="009577DE" w:rsidRDefault="00B070BF" w:rsidP="00B070BF">
      <w:pPr>
        <w:widowControl w:val="0"/>
        <w:jc w:val="both"/>
        <w:rPr>
          <w:sz w:val="20"/>
          <w:lang w:val="es-ES_tradnl"/>
        </w:rPr>
      </w:pPr>
    </w:p>
    <w:p w:rsidR="00B070BF" w:rsidRPr="009577DE" w:rsidRDefault="00B070BF" w:rsidP="00B070BF">
      <w:pPr>
        <w:widowControl w:val="0"/>
        <w:numPr>
          <w:ilvl w:val="0"/>
          <w:numId w:val="37"/>
        </w:numPr>
        <w:jc w:val="both"/>
        <w:rPr>
          <w:sz w:val="20"/>
          <w:lang w:val="es-ES_tradnl"/>
        </w:rPr>
      </w:pPr>
      <w:r w:rsidRPr="009577DE">
        <w:rPr>
          <w:sz w:val="20"/>
          <w:lang w:val="es-ES_tradnl"/>
        </w:rPr>
        <w:t>Durante 2012 prosiguió la puesta en práctica de diversas iniciativas referentes a los recursos humanos en el marco del PAE.  Estas iniciativas pretenden contribuir a la mejora de la eficacia y la eficiencia de la función de gestión de recursos humanos.</w:t>
      </w:r>
    </w:p>
    <w:p w:rsidR="00B070BF" w:rsidRPr="009577DE" w:rsidRDefault="00B070BF" w:rsidP="00B070BF">
      <w:pPr>
        <w:widowControl w:val="0"/>
        <w:jc w:val="both"/>
        <w:rPr>
          <w:sz w:val="20"/>
          <w:lang w:val="es-ES_tradnl"/>
        </w:rPr>
      </w:pPr>
    </w:p>
    <w:p w:rsidR="00B070BF" w:rsidRPr="009577DE" w:rsidRDefault="00B070BF" w:rsidP="00B070BF">
      <w:pPr>
        <w:widowControl w:val="0"/>
        <w:numPr>
          <w:ilvl w:val="0"/>
          <w:numId w:val="37"/>
        </w:numPr>
        <w:jc w:val="both"/>
        <w:rPr>
          <w:sz w:val="20"/>
          <w:lang w:val="es-ES_tradnl"/>
        </w:rPr>
      </w:pPr>
      <w:r w:rsidRPr="009577DE">
        <w:rPr>
          <w:sz w:val="20"/>
          <w:lang w:val="es-ES_tradnl"/>
        </w:rPr>
        <w:t xml:space="preserve">En el año 2012 se registró un incremento de la satisfacción de los clientes y una confirmación del hecho de que los equipos de RR.HH. se han hecho más receptivos a las necesidades del personal, como lo confirman las entrevistas de fin de empleo y los resultados de la reciente encuesta sobre las prioridades centrales. </w:t>
      </w:r>
    </w:p>
    <w:p w:rsidR="00B070BF" w:rsidRPr="009577DE" w:rsidRDefault="00B070BF" w:rsidP="00B070BF">
      <w:pPr>
        <w:widowControl w:val="0"/>
        <w:jc w:val="both"/>
        <w:rPr>
          <w:sz w:val="20"/>
          <w:lang w:val="es-ES_tradnl"/>
        </w:rPr>
      </w:pPr>
    </w:p>
    <w:p w:rsidR="00B070BF" w:rsidRPr="009577DE" w:rsidRDefault="00B070BF" w:rsidP="00B070BF">
      <w:pPr>
        <w:widowControl w:val="0"/>
        <w:numPr>
          <w:ilvl w:val="0"/>
          <w:numId w:val="37"/>
        </w:numPr>
        <w:jc w:val="both"/>
        <w:rPr>
          <w:sz w:val="20"/>
          <w:lang w:val="es-ES_tradnl"/>
        </w:rPr>
      </w:pPr>
      <w:r w:rsidRPr="009577DE">
        <w:rPr>
          <w:sz w:val="20"/>
          <w:lang w:val="es-ES_tradnl"/>
        </w:rPr>
        <w:t>El programa elaboró un eficaz tablero de control de gestión que es ahora utilizado con regularidad por los altos directivos de la OMPI.  Esta herramienta facilita actualizaciones mensuales y trimestrales de indicadores como el número de empleados, el número de jubilaciones próximas y las estadísticas sobre igualdad de sexos, ausencias, horas extraordinarias, asuntos pendientes de Derecho administrativo y contrataciones en curso.  Esta innovación ha producido ya un resultado positivo al   proporcionar a los administradores y a la función de dirección de RR.HH. informaciones útiles para la adopción de decisiones.  </w:t>
      </w:r>
    </w:p>
    <w:p w:rsidR="00B070BF" w:rsidRPr="009577DE" w:rsidRDefault="00B070BF" w:rsidP="00B070BF">
      <w:pPr>
        <w:widowControl w:val="0"/>
        <w:jc w:val="both"/>
        <w:rPr>
          <w:sz w:val="20"/>
          <w:lang w:val="es-ES_tradnl"/>
        </w:rPr>
      </w:pPr>
    </w:p>
    <w:p w:rsidR="00B070BF" w:rsidRPr="009577DE" w:rsidRDefault="00B070BF" w:rsidP="00B070BF">
      <w:pPr>
        <w:widowControl w:val="0"/>
        <w:numPr>
          <w:ilvl w:val="0"/>
          <w:numId w:val="37"/>
        </w:numPr>
        <w:jc w:val="both"/>
        <w:rPr>
          <w:sz w:val="20"/>
          <w:lang w:val="es-ES_tradnl"/>
        </w:rPr>
      </w:pPr>
      <w:r w:rsidRPr="009577DE">
        <w:rPr>
          <w:sz w:val="20"/>
          <w:lang w:val="es-ES_tradnl"/>
        </w:rPr>
        <w:t xml:space="preserve">Pese al crecimiento del volumen de trabajo a raíz de la implementación de la reforma contractual y la planificación de los recursos institucionales (PRI), el Servicio de Administración Operacional de Recursos Humanos logró tramitar las transacciones rutinarias de recursos humanos en un máximo de cuatro días.  </w:t>
      </w:r>
    </w:p>
    <w:p w:rsidR="00B070BF" w:rsidRPr="009577DE" w:rsidRDefault="00B070BF" w:rsidP="00B070BF">
      <w:pPr>
        <w:widowControl w:val="0"/>
        <w:jc w:val="both"/>
        <w:rPr>
          <w:sz w:val="20"/>
          <w:lang w:val="es-ES_tradnl"/>
        </w:rPr>
      </w:pPr>
    </w:p>
    <w:p w:rsidR="00B070BF" w:rsidRPr="009577DE" w:rsidRDefault="00B070BF" w:rsidP="00B070BF">
      <w:pPr>
        <w:widowControl w:val="0"/>
        <w:numPr>
          <w:ilvl w:val="0"/>
          <w:numId w:val="37"/>
        </w:numPr>
        <w:jc w:val="both"/>
        <w:rPr>
          <w:sz w:val="20"/>
          <w:lang w:val="es-ES_tradnl"/>
        </w:rPr>
      </w:pPr>
      <w:r w:rsidRPr="009577DE">
        <w:rPr>
          <w:sz w:val="20"/>
          <w:lang w:val="es-ES_tradnl"/>
        </w:rPr>
        <w:t>El proceso de regularización de los empleados temporeros con muchos años de servicio en la Organización se implementó con éxito según lo aprobado por los Estados miembros en 2010.  Como resultado de dicho proceso, 30 empleados que desempeñaban funciones permanentes y tenían cinco o más años de servicio continuo y satisfactorio a 1 de enero de 2012 quedaron regularizados a través de un procedimiento competitivo.  Este proceso continuará en 2013 para culminar finalmente en 2014.</w:t>
      </w:r>
    </w:p>
    <w:p w:rsidR="00B070BF" w:rsidRPr="009577DE" w:rsidRDefault="00B070BF" w:rsidP="00B070BF">
      <w:pPr>
        <w:widowControl w:val="0"/>
        <w:jc w:val="both"/>
        <w:rPr>
          <w:sz w:val="20"/>
          <w:lang w:val="es-ES_tradnl"/>
        </w:rPr>
      </w:pPr>
    </w:p>
    <w:p w:rsidR="00B070BF" w:rsidRPr="009577DE" w:rsidRDefault="00B070BF" w:rsidP="00B070BF">
      <w:pPr>
        <w:widowControl w:val="0"/>
        <w:numPr>
          <w:ilvl w:val="0"/>
          <w:numId w:val="37"/>
        </w:numPr>
        <w:jc w:val="both"/>
        <w:rPr>
          <w:sz w:val="20"/>
          <w:lang w:val="es-ES_tradnl"/>
        </w:rPr>
      </w:pPr>
      <w:r w:rsidRPr="009577DE">
        <w:rPr>
          <w:sz w:val="20"/>
          <w:lang w:val="es-ES_tradnl"/>
        </w:rPr>
        <w:t xml:space="preserve">El Sistema de Gestión del Desempeño y el Perfeccionamiento del Personal (PMSDS) fue perfeccionado y puesto en marcha el 1 de enero de 2012, con el respaldo de amplias campañas de comunicación y formación.  Además, la herramienta informática </w:t>
      </w:r>
      <w:proofErr w:type="spellStart"/>
      <w:r w:rsidRPr="009577DE">
        <w:rPr>
          <w:sz w:val="20"/>
          <w:lang w:val="es-ES_tradnl"/>
        </w:rPr>
        <w:t>ePMSDS</w:t>
      </w:r>
      <w:proofErr w:type="spellEnd"/>
      <w:r w:rsidRPr="009577DE">
        <w:rPr>
          <w:sz w:val="20"/>
          <w:lang w:val="es-ES_tradnl"/>
        </w:rPr>
        <w:t xml:space="preserve"> fue rediseñada para conferir a la aplicación una mayor comodidad de uso e incrementar aún más la eficiencia de los procesos del PMSDS.  El efecto positivo de dicha mejora fue avalado por la encuesta sobre las prioridades centrales, en la cual un mayor número de empleados manifestaron que sus objetivos individuales contribuían a los resultados previstos de sus programas y que ellos mismos recibían regularmente de su supervisor los apropiados comentarios sobre su rendimiento.  </w:t>
      </w:r>
    </w:p>
    <w:p w:rsidR="00B070BF" w:rsidRPr="009577DE" w:rsidRDefault="00B070BF" w:rsidP="00B070BF">
      <w:pPr>
        <w:widowControl w:val="0"/>
        <w:jc w:val="both"/>
        <w:rPr>
          <w:sz w:val="20"/>
          <w:lang w:val="es-ES_tradnl"/>
        </w:rPr>
      </w:pPr>
    </w:p>
    <w:p w:rsidR="00B070BF" w:rsidRPr="009577DE" w:rsidRDefault="00B070BF" w:rsidP="00B070BF">
      <w:pPr>
        <w:widowControl w:val="0"/>
        <w:numPr>
          <w:ilvl w:val="0"/>
          <w:numId w:val="37"/>
        </w:numPr>
        <w:jc w:val="both"/>
        <w:rPr>
          <w:sz w:val="20"/>
          <w:lang w:val="es-ES_tradnl"/>
        </w:rPr>
      </w:pPr>
      <w:r w:rsidRPr="009577DE">
        <w:rPr>
          <w:sz w:val="20"/>
          <w:lang w:val="es-ES_tradnl"/>
        </w:rPr>
        <w:t>En lo que respecta al perfeccionamiento del personal, la Organización continuó brindando oportunidades de formación (incluyendo orientación en la prestación óptima de servicios al cliente, ética y el PMSDS) en el contexto de las iniciativas del PAE, con la consiguiente repercusión positiva sobre los resultados de éste.  También se llevaron a cabo actividades económicamente interesantes de formación de grupo a nivel intersectorial (incluyendo la solución de controversias y la gestión de personal) después de asignar prioridad a las necesidades de formación determinadas en el marco del PMSDS.  En la reciente encuesta sobre las prioridades centrales se registró un notable incremento del porcentaje de empleados que manifestaron satisfacción ante las oportunidades de formación ofrecidas por la OMPI.</w:t>
      </w:r>
    </w:p>
    <w:p w:rsidR="00B070BF" w:rsidRPr="00FA27B1" w:rsidRDefault="00B070BF" w:rsidP="00B070BF">
      <w:pPr>
        <w:rPr>
          <w:sz w:val="20"/>
          <w:lang w:val="es-ES_tradnl"/>
        </w:rPr>
      </w:pPr>
    </w:p>
    <w:p w:rsidR="00B070BF" w:rsidRPr="009577DE" w:rsidRDefault="00B070BF" w:rsidP="00B070BF">
      <w:pPr>
        <w:widowControl w:val="0"/>
        <w:numPr>
          <w:ilvl w:val="0"/>
          <w:numId w:val="37"/>
        </w:numPr>
        <w:jc w:val="both"/>
        <w:rPr>
          <w:sz w:val="20"/>
          <w:lang w:val="es-ES_tradnl"/>
        </w:rPr>
      </w:pPr>
      <w:r w:rsidRPr="009577DE">
        <w:rPr>
          <w:sz w:val="20"/>
          <w:lang w:val="es-ES_tradnl"/>
        </w:rPr>
        <w:t xml:space="preserve">La OMPI continuó impulsando la iniciativa de diseño orgánico y planificación estratégica de su personal, la cual pretende asegurar que la estructura y las funciones de la plantilla sean revisadas de manera proactiva y continuada a fin de apoyar las actividades de la Organización de la manera más idónea para la consecución de los resultados deseados.  El diseño orgánico y la planificación del personal son partes integrantes de la gestión por resultados; en el año 2012 se realizaron considerables progresos en este ámbito, a saber:  (i) la alineación de las estructuras y recursos de la Organización con </w:t>
      </w:r>
      <w:r w:rsidRPr="009577DE">
        <w:rPr>
          <w:sz w:val="20"/>
          <w:lang w:val="es-ES_tradnl"/>
        </w:rPr>
        <w:lastRenderedPageBreak/>
        <w:t>metas estratégicas a más largo plazo;  (ii) la recopilación de datos de planificación del personal con destino a la planificación anual de las actividades de 2013 y la planificación bianual de 2014/15; y (iii) la elaboración de un marco de diseño orgánico, con definición de las políticas e identificación de los elementos que han de constituir la base de la nueva estrategia de RR.HH.  El objetivo en 2013 será lograr que la planificación estratégica de los recursos humanos pase a ser una actividad central de la OMPI y una pieza clave de la planificación bienal, lo que permitirá a la Organización proyectarse hacia el futuro y anticiparse proactivamente a las cambiantes necesidades.</w:t>
      </w:r>
    </w:p>
    <w:p w:rsidR="00B070BF" w:rsidRPr="009577DE" w:rsidRDefault="00B070BF" w:rsidP="00B070BF">
      <w:pPr>
        <w:widowControl w:val="0"/>
        <w:jc w:val="both"/>
        <w:rPr>
          <w:sz w:val="20"/>
          <w:lang w:val="es-ES_tradnl"/>
        </w:rPr>
      </w:pPr>
    </w:p>
    <w:p w:rsidR="00B070BF" w:rsidRPr="009577DE" w:rsidRDefault="00B070BF" w:rsidP="00B070BF">
      <w:pPr>
        <w:widowControl w:val="0"/>
        <w:numPr>
          <w:ilvl w:val="0"/>
          <w:numId w:val="37"/>
        </w:numPr>
        <w:jc w:val="both"/>
        <w:rPr>
          <w:rFonts w:eastAsia="MS Mincho"/>
          <w:sz w:val="20"/>
          <w:lang w:val="es-ES_tradnl" w:eastAsia="ja-JP" w:bidi="th-TH"/>
        </w:rPr>
      </w:pPr>
      <w:r w:rsidRPr="009577DE">
        <w:rPr>
          <w:rFonts w:eastAsia="MS Mincho"/>
          <w:sz w:val="20"/>
          <w:lang w:val="es-ES_tradnl" w:eastAsia="ja-JP" w:bidi="th-TH"/>
        </w:rPr>
        <w:t>El cuarto capítulo revisado del Estatuto y Reglamento del Personal sobre la contratación de personal entró en vigor el 1 de enero de 2012.  Las nuevas composiciones de las Juntas de Nombramiento y la racionalización de los procedimientos han operado una reducción del 29</w:t>
      </w:r>
      <w:r>
        <w:rPr>
          <w:rFonts w:eastAsia="MS Mincho"/>
          <w:sz w:val="20"/>
          <w:lang w:val="es-ES_tradnl" w:eastAsia="ja-JP" w:bidi="th-TH"/>
        </w:rPr>
        <w:t>%</w:t>
      </w:r>
      <w:r w:rsidRPr="009577DE">
        <w:rPr>
          <w:rFonts w:eastAsia="MS Mincho"/>
          <w:sz w:val="20"/>
          <w:lang w:val="es-ES_tradnl" w:eastAsia="ja-JP" w:bidi="th-TH"/>
        </w:rPr>
        <w:t xml:space="preserve"> en el tiempo necesario para llevar a cabo una contratación, esperándose alcanzar el objetivo de 21 semanas para fines del bienio.  Sin embargo, también se deposita un mayor énfasis en los aspectos cualitativos con la mira de captar colaboradores dotados de los conjuntos de capacidades que se precisan para hacer frente a las necesidades futuras.</w:t>
      </w:r>
    </w:p>
    <w:p w:rsidR="00B070BF" w:rsidRPr="009577DE" w:rsidRDefault="00B070BF" w:rsidP="00B070BF">
      <w:pPr>
        <w:widowControl w:val="0"/>
        <w:jc w:val="both"/>
        <w:rPr>
          <w:rFonts w:eastAsia="MS Mincho"/>
          <w:sz w:val="20"/>
          <w:lang w:val="es-ES_tradnl" w:eastAsia="ja-JP" w:bidi="th-TH"/>
        </w:rPr>
      </w:pPr>
    </w:p>
    <w:p w:rsidR="00B070BF" w:rsidRPr="009577DE" w:rsidRDefault="00B070BF" w:rsidP="00B070BF">
      <w:pPr>
        <w:widowControl w:val="0"/>
        <w:numPr>
          <w:ilvl w:val="0"/>
          <w:numId w:val="37"/>
        </w:numPr>
        <w:jc w:val="both"/>
        <w:rPr>
          <w:rFonts w:eastAsia="MS Mincho"/>
          <w:sz w:val="20"/>
          <w:lang w:val="es-ES_tradnl" w:eastAsia="ja-JP" w:bidi="th-TH"/>
        </w:rPr>
      </w:pPr>
      <w:r w:rsidRPr="009577DE">
        <w:rPr>
          <w:rFonts w:eastAsia="MS Mincho"/>
          <w:sz w:val="20"/>
          <w:lang w:val="es-ES_tradnl" w:eastAsia="ja-JP" w:bidi="th-TH"/>
        </w:rPr>
        <w:t>En 2012 se registraron mejoras tanto en lo concerniente a la igualdad de sexos como en lo relativo a la diversidad geográfica.  Se ha creado una función especializada en género y diversidad, hallándose prevista la elaboración de ulteriores políticas en el transcurso de 2013.</w:t>
      </w:r>
    </w:p>
    <w:p w:rsidR="00B070BF" w:rsidRPr="009577DE" w:rsidRDefault="00B070BF" w:rsidP="00B070BF">
      <w:pPr>
        <w:widowControl w:val="0"/>
        <w:jc w:val="both"/>
        <w:rPr>
          <w:rFonts w:eastAsia="MS Mincho"/>
          <w:sz w:val="20"/>
          <w:lang w:val="es-ES_tradnl" w:eastAsia="ja-JP" w:bidi="th-TH"/>
        </w:rPr>
      </w:pPr>
    </w:p>
    <w:p w:rsidR="00B070BF" w:rsidRPr="009577DE" w:rsidRDefault="00B070BF" w:rsidP="00B070BF">
      <w:pPr>
        <w:widowControl w:val="0"/>
        <w:numPr>
          <w:ilvl w:val="0"/>
          <w:numId w:val="37"/>
        </w:numPr>
        <w:jc w:val="both"/>
        <w:rPr>
          <w:rFonts w:eastAsia="MS Mincho"/>
          <w:sz w:val="20"/>
          <w:lang w:val="es-ES_tradnl" w:eastAsia="ja-JP" w:bidi="th-TH"/>
        </w:rPr>
      </w:pPr>
      <w:r w:rsidRPr="009577DE">
        <w:rPr>
          <w:rFonts w:eastAsia="MS Mincho"/>
          <w:sz w:val="20"/>
          <w:lang w:val="es-ES_tradnl" w:eastAsia="ja-JP" w:bidi="th-TH"/>
        </w:rPr>
        <w:t xml:space="preserve">Al término de un intenso proceso consultivo, la OMPI modernizó su Estatuto y Reglamento del Personal en consonancia con las normas de la Comisión de Administración Pública Internacional (CAPI) y las prácticas óptimas utilizadas en el sistema común de las NN.UU.  El Estatuto y Reglamento del Personal revisado entró en vigor el 1 de enero de 2013, sustentado por un marco exhaustivamente actualizado de órdenes de servicio.  La OMPI implementó asimismo en 2012 un marco contractual simplificado, en consonancia con las recomendaciones de la CAPI.  El nuevo marco otorgó a los empleados temporeros categoría de personal en plantilla, con las consiguientes ventajas. </w:t>
      </w:r>
    </w:p>
    <w:p w:rsidR="00B070BF" w:rsidRPr="009577DE" w:rsidRDefault="00B070BF" w:rsidP="00B070BF">
      <w:pPr>
        <w:widowControl w:val="0"/>
        <w:jc w:val="both"/>
        <w:rPr>
          <w:rFonts w:eastAsia="MS Mincho"/>
          <w:sz w:val="20"/>
          <w:lang w:val="es-ES_tradnl" w:eastAsia="ja-JP" w:bidi="th-TH"/>
        </w:rPr>
      </w:pPr>
    </w:p>
    <w:p w:rsidR="00B070BF" w:rsidRPr="009577DE" w:rsidRDefault="00B070BF" w:rsidP="00B070BF">
      <w:pPr>
        <w:widowControl w:val="0"/>
        <w:numPr>
          <w:ilvl w:val="0"/>
          <w:numId w:val="37"/>
        </w:numPr>
        <w:jc w:val="both"/>
        <w:rPr>
          <w:rFonts w:eastAsia="MS Mincho"/>
          <w:sz w:val="20"/>
          <w:lang w:val="es-ES_tradnl" w:eastAsia="ja-JP" w:bidi="th-TH"/>
        </w:rPr>
      </w:pPr>
      <w:r w:rsidRPr="009577DE">
        <w:rPr>
          <w:rFonts w:eastAsia="MS Mincho"/>
          <w:sz w:val="20"/>
          <w:lang w:val="es-ES_tradnl" w:eastAsia="ja-JP" w:bidi="th-TH"/>
        </w:rPr>
        <w:t>Finalmente, se inició una revisión del sistema interno de justicia como primer paso para una revisión completa de todo el sistema que probablemente conllevará ulteriores revisiones del Estatuto y Reglamento del Personal en el transcurso de 2013.</w:t>
      </w:r>
    </w:p>
    <w:p w:rsidR="00B070BF" w:rsidRPr="009577DE" w:rsidRDefault="00B070BF" w:rsidP="00B070BF">
      <w:pPr>
        <w:widowControl w:val="0"/>
        <w:jc w:val="both"/>
        <w:rPr>
          <w:rFonts w:eastAsia="MS Mincho"/>
          <w:sz w:val="20"/>
          <w:lang w:val="es-ES_tradnl" w:eastAsia="ja-JP" w:bidi="th-TH"/>
        </w:rPr>
      </w:pPr>
    </w:p>
    <w:p w:rsidR="00B070BF" w:rsidRPr="009577DE" w:rsidRDefault="00B070BF" w:rsidP="00B070BF">
      <w:pPr>
        <w:widowControl w:val="0"/>
        <w:jc w:val="both"/>
        <w:rPr>
          <w:sz w:val="20"/>
          <w:lang w:val="es-ES_tradnl"/>
        </w:rPr>
      </w:pPr>
    </w:p>
    <w:p w:rsidR="00B070BF" w:rsidRPr="009577DE" w:rsidRDefault="00B070BF" w:rsidP="00B070BF">
      <w:pPr>
        <w:widowControl w:val="0"/>
        <w:jc w:val="both"/>
        <w:rPr>
          <w:rFonts w:eastAsia="MS Mincho"/>
          <w:sz w:val="20"/>
          <w:lang w:val="es-ES_tradnl" w:eastAsia="ja-JP" w:bidi="th-TH"/>
        </w:rPr>
      </w:pPr>
      <w:r w:rsidRPr="009577DE">
        <w:rPr>
          <w:rFonts w:eastAsia="MS Mincho"/>
          <w:sz w:val="20"/>
          <w:lang w:val="es-ES_tradnl" w:eastAsia="ja-JP" w:bidi="th-TH"/>
        </w:rPr>
        <w:t>APLICACIÓN DE LA AGENDA PARA EL DESARROLLO</w:t>
      </w:r>
    </w:p>
    <w:p w:rsidR="00B070BF" w:rsidRPr="009577DE" w:rsidRDefault="00B070BF" w:rsidP="00B070BF">
      <w:pPr>
        <w:widowControl w:val="0"/>
        <w:jc w:val="both"/>
        <w:rPr>
          <w:rFonts w:eastAsia="MS Mincho"/>
          <w:sz w:val="20"/>
          <w:lang w:val="es-ES_tradnl" w:eastAsia="ja-JP" w:bidi="th-TH"/>
        </w:rPr>
      </w:pPr>
    </w:p>
    <w:p w:rsidR="00B070BF" w:rsidRPr="009577DE" w:rsidRDefault="00B070BF" w:rsidP="00B070BF">
      <w:pPr>
        <w:widowControl w:val="0"/>
        <w:numPr>
          <w:ilvl w:val="0"/>
          <w:numId w:val="37"/>
        </w:numPr>
        <w:jc w:val="both"/>
        <w:rPr>
          <w:rFonts w:eastAsia="MS Mincho"/>
          <w:sz w:val="20"/>
          <w:lang w:val="es-ES_tradnl" w:eastAsia="ja-JP" w:bidi="th-TH"/>
        </w:rPr>
      </w:pPr>
      <w:r w:rsidRPr="009577DE">
        <w:rPr>
          <w:rFonts w:eastAsia="MS Mincho"/>
          <w:bCs/>
          <w:sz w:val="20"/>
          <w:lang w:val="es-ES_tradnl" w:eastAsia="ja-JP" w:bidi="th-TH"/>
        </w:rPr>
        <w:t>Todos los programas relacionados con la meta estratégica IX suministran apoyo u otros servicios a la Organización en su conjunto al contribuir a los resultados previstos de la OMPI.  A este respecto, el programa 23 facilita la aplicación de la Agenda para el Desarrollo de la OMPI desde la perspectiva de la gestión de los recursos humanos.  Las Normas de conducta de la administración pública internacional de las Naciones Unidas continúan siendo incorporadas a todos los contratos de la OMPI.  Además se llevó a cabo un programa de formación sobre ética e integridad dotado de carácter obligatorio para todo el personal;  por otra parte, se elaboró un proyecto de Política de protección de los denunciantes de irregularidades y se iniciaron las consultas sobre el particular.  La Lista de consultores presentada ante el CDIP/3 fue integrada con el proyecto de Base de datos de asistencia técnica en materia de propiedad intelectual (IP</w:t>
      </w:r>
      <w:r w:rsidRPr="009577DE">
        <w:rPr>
          <w:rFonts w:eastAsia="MS Mincho"/>
          <w:bCs/>
          <w:sz w:val="20"/>
          <w:lang w:val="es-ES_tradnl" w:eastAsia="ja-JP" w:bidi="th-TH"/>
        </w:rPr>
        <w:noBreakHyphen/>
        <w:t>TAD) y continúa siendo actualizada con regularidad.</w:t>
      </w:r>
    </w:p>
    <w:p w:rsidR="00B070BF" w:rsidRPr="009577DE" w:rsidRDefault="00B070BF" w:rsidP="00B070BF">
      <w:pPr>
        <w:widowControl w:val="0"/>
        <w:rPr>
          <w:sz w:val="20"/>
          <w:lang w:val="es-ES_tradnl"/>
        </w:rPr>
      </w:pPr>
    </w:p>
    <w:p w:rsidR="00B070BF" w:rsidRDefault="00B070BF" w:rsidP="00B070BF">
      <w:pPr>
        <w:rPr>
          <w:sz w:val="20"/>
          <w:lang w:val="es-ES_tradnl"/>
        </w:rPr>
      </w:pPr>
      <w:r>
        <w:rPr>
          <w:sz w:val="20"/>
          <w:lang w:val="es-ES_tradnl"/>
        </w:rPr>
        <w:br w:type="page"/>
      </w:r>
    </w:p>
    <w:p w:rsidR="00B070BF" w:rsidRPr="009577DE" w:rsidRDefault="00B070BF" w:rsidP="00B070BF">
      <w:pPr>
        <w:widowControl w:val="0"/>
        <w:rPr>
          <w:sz w:val="20"/>
          <w:lang w:val="es-ES_tradnl"/>
        </w:rPr>
      </w:pPr>
    </w:p>
    <w:p w:rsidR="00B070BF" w:rsidRDefault="00B070BF" w:rsidP="00B070BF">
      <w:pPr>
        <w:widowControl w:val="0"/>
        <w:jc w:val="both"/>
        <w:rPr>
          <w:sz w:val="20"/>
          <w:lang w:val="es-ES_tradnl"/>
        </w:rPr>
      </w:pPr>
      <w:r w:rsidRPr="00FA27B1">
        <w:rPr>
          <w:sz w:val="20"/>
          <w:lang w:val="es-ES_tradnl"/>
        </w:rPr>
        <w:t>DATOS SOBRE EL RENDIMIENTO</w:t>
      </w:r>
    </w:p>
    <w:p w:rsidR="00B070BF" w:rsidRPr="009577DE" w:rsidRDefault="00B070BF" w:rsidP="00B070BF">
      <w:pPr>
        <w:widowControl w:val="0"/>
        <w:jc w:val="both"/>
        <w:rPr>
          <w:sz w:val="20"/>
          <w:lang w:val="es-ES_tradnl"/>
        </w:rPr>
      </w:pPr>
    </w:p>
    <w:tbl>
      <w:tblPr>
        <w:tblW w:w="5000" w:type="pct"/>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630"/>
        <w:gridCol w:w="1498"/>
        <w:gridCol w:w="1710"/>
        <w:gridCol w:w="3494"/>
        <w:gridCol w:w="1239"/>
      </w:tblGrid>
      <w:tr w:rsidR="00B070BF" w:rsidRPr="009577DE" w:rsidTr="00C33D4A">
        <w:trPr>
          <w:cantSplit/>
        </w:trPr>
        <w:tc>
          <w:tcPr>
            <w:tcW w:w="5000" w:type="pct"/>
            <w:gridSpan w:val="5"/>
            <w:tcBorders>
              <w:top w:val="single" w:sz="4" w:space="0" w:color="auto"/>
              <w:bottom w:val="single" w:sz="4" w:space="0" w:color="auto"/>
            </w:tcBorders>
            <w:shd w:val="clear" w:color="auto" w:fill="CCFFFF"/>
            <w:vAlign w:val="center"/>
          </w:tcPr>
          <w:p w:rsidR="00B070BF" w:rsidRPr="009577DE" w:rsidRDefault="00B070BF" w:rsidP="00C33D4A">
            <w:pPr>
              <w:widowControl w:val="0"/>
              <w:tabs>
                <w:tab w:val="left" w:pos="1452"/>
              </w:tabs>
              <w:spacing w:before="120" w:after="120"/>
              <w:ind w:left="1452" w:hanging="1452"/>
              <w:rPr>
                <w:b/>
                <w:bCs/>
                <w:sz w:val="16"/>
                <w:szCs w:val="16"/>
                <w:lang w:val="es-ES_tradnl"/>
              </w:rPr>
            </w:pPr>
            <w:r w:rsidRPr="009577DE">
              <w:rPr>
                <w:b/>
                <w:bCs/>
                <w:sz w:val="16"/>
                <w:szCs w:val="16"/>
                <w:lang w:val="es-ES_tradnl"/>
              </w:rPr>
              <w:t>Resultado previsto:</w:t>
            </w:r>
            <w:r w:rsidRPr="009577DE">
              <w:rPr>
                <w:b/>
                <w:bCs/>
                <w:sz w:val="16"/>
                <w:szCs w:val="16"/>
                <w:lang w:val="es-ES_tradnl"/>
              </w:rPr>
              <w:tab/>
            </w:r>
            <w:r w:rsidRPr="009577DE">
              <w:rPr>
                <w:bCs/>
                <w:sz w:val="16"/>
                <w:szCs w:val="16"/>
                <w:lang w:val="es-ES_tradnl"/>
              </w:rPr>
              <w:t xml:space="preserve"> Servicios de apoyo eficaces, eficientes, de calidad y orientados al cliente, tanto a los clientes internos como a las partes interesadas externas (recursos humanos, T.I., servicios de conferencias y lingüísticos, compras, viajes, impresión y publicación, gestión de locales)</w:t>
            </w:r>
          </w:p>
        </w:tc>
      </w:tr>
      <w:tr w:rsidR="00B070BF" w:rsidRPr="009577DE" w:rsidTr="00C33D4A">
        <w:trPr>
          <w:cantSplit/>
        </w:trPr>
        <w:tc>
          <w:tcPr>
            <w:tcW w:w="874" w:type="pct"/>
            <w:tcBorders>
              <w:top w:val="single" w:sz="4" w:space="0" w:color="auto"/>
            </w:tcBorders>
            <w:shd w:val="clear" w:color="auto" w:fill="auto"/>
            <w:vAlign w:val="center"/>
          </w:tcPr>
          <w:p w:rsidR="00B070BF" w:rsidRPr="009577DE" w:rsidRDefault="00B070BF" w:rsidP="00C33D4A">
            <w:pPr>
              <w:widowControl w:val="0"/>
              <w:spacing w:after="120"/>
              <w:rPr>
                <w:sz w:val="16"/>
                <w:szCs w:val="16"/>
                <w:lang w:val="es-ES_tradnl"/>
              </w:rPr>
            </w:pPr>
            <w:r w:rsidRPr="009577DE">
              <w:rPr>
                <w:b/>
                <w:bCs/>
                <w:sz w:val="16"/>
                <w:szCs w:val="16"/>
                <w:lang w:val="es-ES_tradnl"/>
              </w:rPr>
              <w:t>Indicadores de rendimiento</w:t>
            </w:r>
          </w:p>
        </w:tc>
        <w:tc>
          <w:tcPr>
            <w:tcW w:w="805" w:type="pct"/>
            <w:tcBorders>
              <w:top w:val="single" w:sz="4" w:space="0" w:color="auto"/>
            </w:tcBorders>
            <w:shd w:val="clear" w:color="auto" w:fill="C0C0C0"/>
          </w:tcPr>
          <w:p w:rsidR="00B070BF" w:rsidRPr="009577DE" w:rsidRDefault="00B070BF" w:rsidP="00C33D4A">
            <w:pPr>
              <w:widowControl w:val="0"/>
              <w:spacing w:after="120"/>
              <w:rPr>
                <w:b/>
                <w:bCs/>
                <w:sz w:val="16"/>
                <w:szCs w:val="16"/>
                <w:lang w:val="es-ES_tradnl"/>
              </w:rPr>
            </w:pPr>
            <w:r w:rsidRPr="009577DE">
              <w:rPr>
                <w:b/>
                <w:bCs/>
                <w:sz w:val="16"/>
                <w:szCs w:val="16"/>
                <w:lang w:val="es-ES_tradnl"/>
              </w:rPr>
              <w:t>Referencia (</w:t>
            </w:r>
            <w:proofErr w:type="spellStart"/>
            <w:r w:rsidRPr="009577DE">
              <w:rPr>
                <w:b/>
                <w:bCs/>
                <w:sz w:val="16"/>
                <w:szCs w:val="16"/>
                <w:lang w:val="es-ES_tradnl"/>
              </w:rPr>
              <w:t>Presup</w:t>
            </w:r>
            <w:proofErr w:type="spellEnd"/>
            <w:r w:rsidRPr="009577DE">
              <w:rPr>
                <w:b/>
                <w:bCs/>
                <w:sz w:val="16"/>
                <w:szCs w:val="16"/>
                <w:lang w:val="es-ES_tradnl"/>
              </w:rPr>
              <w:t xml:space="preserve">. por </w:t>
            </w:r>
            <w:proofErr w:type="spellStart"/>
            <w:r w:rsidRPr="009577DE">
              <w:rPr>
                <w:b/>
                <w:bCs/>
                <w:sz w:val="16"/>
                <w:szCs w:val="16"/>
                <w:lang w:val="es-ES_tradnl"/>
              </w:rPr>
              <w:t>prog</w:t>
            </w:r>
            <w:proofErr w:type="spellEnd"/>
            <w:r w:rsidRPr="009577DE">
              <w:rPr>
                <w:b/>
                <w:bCs/>
                <w:sz w:val="16"/>
                <w:szCs w:val="16"/>
                <w:lang w:val="es-ES_tradnl"/>
              </w:rPr>
              <w:t>. 2012/13)</w:t>
            </w:r>
          </w:p>
        </w:tc>
        <w:tc>
          <w:tcPr>
            <w:tcW w:w="916" w:type="pct"/>
            <w:tcBorders>
              <w:top w:val="single" w:sz="4" w:space="0" w:color="auto"/>
            </w:tcBorders>
            <w:shd w:val="clear" w:color="auto" w:fill="auto"/>
            <w:tcMar>
              <w:top w:w="110" w:type="dxa"/>
            </w:tcMar>
            <w:vAlign w:val="center"/>
          </w:tcPr>
          <w:p w:rsidR="00B070BF" w:rsidRPr="009577DE" w:rsidRDefault="00B070BF" w:rsidP="00C33D4A">
            <w:pPr>
              <w:widowControl w:val="0"/>
              <w:spacing w:after="120"/>
              <w:rPr>
                <w:b/>
                <w:sz w:val="16"/>
                <w:szCs w:val="16"/>
                <w:lang w:val="es-ES_tradnl"/>
              </w:rPr>
            </w:pPr>
            <w:r w:rsidRPr="00BF138D">
              <w:rPr>
                <w:b/>
                <w:color w:val="993300"/>
                <w:sz w:val="16"/>
                <w:szCs w:val="16"/>
                <w:lang w:val="es-ES_tradnl"/>
              </w:rPr>
              <w:t>Referencia actualizada a finales de 2011</w:t>
            </w:r>
            <w:r w:rsidRPr="009577DE">
              <w:rPr>
                <w:b/>
                <w:sz w:val="16"/>
                <w:szCs w:val="16"/>
                <w:lang w:val="es-ES_tradnl"/>
              </w:rPr>
              <w:t xml:space="preserve"> </w:t>
            </w:r>
          </w:p>
        </w:tc>
        <w:tc>
          <w:tcPr>
            <w:tcW w:w="1848" w:type="pct"/>
            <w:tcBorders>
              <w:top w:val="single" w:sz="4" w:space="0" w:color="auto"/>
            </w:tcBorders>
            <w:shd w:val="clear" w:color="auto" w:fill="FFFFFF"/>
            <w:tcMar>
              <w:top w:w="110" w:type="dxa"/>
            </w:tcMar>
            <w:vAlign w:val="center"/>
          </w:tcPr>
          <w:p w:rsidR="00B070BF" w:rsidRPr="009577DE" w:rsidRDefault="00B070BF" w:rsidP="00C33D4A">
            <w:pPr>
              <w:widowControl w:val="0"/>
              <w:spacing w:after="120"/>
              <w:rPr>
                <w:sz w:val="16"/>
                <w:szCs w:val="16"/>
                <w:lang w:val="es-ES_tradnl"/>
              </w:rPr>
            </w:pPr>
            <w:r w:rsidRPr="009577DE">
              <w:rPr>
                <w:b/>
                <w:bCs/>
                <w:sz w:val="16"/>
                <w:szCs w:val="16"/>
                <w:lang w:val="es-ES_tradnl"/>
              </w:rPr>
              <w:t>Datos sobre el rendimiento</w:t>
            </w:r>
          </w:p>
        </w:tc>
        <w:tc>
          <w:tcPr>
            <w:tcW w:w="557" w:type="pct"/>
            <w:tcBorders>
              <w:top w:val="single" w:sz="4" w:space="0" w:color="auto"/>
            </w:tcBorders>
            <w:shd w:val="clear" w:color="auto" w:fill="auto"/>
            <w:tcMar>
              <w:top w:w="110" w:type="dxa"/>
            </w:tcMar>
            <w:vAlign w:val="center"/>
          </w:tcPr>
          <w:p w:rsidR="00B070BF" w:rsidRPr="009577DE" w:rsidRDefault="00B070BF" w:rsidP="00C33D4A">
            <w:pPr>
              <w:widowControl w:val="0"/>
              <w:spacing w:after="120"/>
              <w:jc w:val="center"/>
              <w:rPr>
                <w:b/>
                <w:bCs/>
                <w:sz w:val="16"/>
                <w:szCs w:val="16"/>
                <w:lang w:val="es-ES_tradnl"/>
              </w:rPr>
            </w:pPr>
            <w:r w:rsidRPr="009577DE">
              <w:rPr>
                <w:b/>
                <w:bCs/>
                <w:sz w:val="16"/>
                <w:szCs w:val="16"/>
                <w:lang w:val="es-ES_tradnl"/>
              </w:rPr>
              <w:t>Clave de colores</w:t>
            </w:r>
          </w:p>
        </w:tc>
      </w:tr>
      <w:tr w:rsidR="00B070BF" w:rsidRPr="009577DE" w:rsidTr="00C33D4A">
        <w:trPr>
          <w:cantSplit/>
        </w:trPr>
        <w:tc>
          <w:tcPr>
            <w:tcW w:w="874" w:type="pct"/>
            <w:shd w:val="clear" w:color="auto" w:fill="auto"/>
          </w:tcPr>
          <w:p w:rsidR="00B070BF" w:rsidRPr="009577DE" w:rsidRDefault="00B070BF" w:rsidP="00C33D4A">
            <w:pPr>
              <w:widowControl w:val="0"/>
              <w:rPr>
                <w:sz w:val="16"/>
                <w:szCs w:val="16"/>
                <w:lang w:val="es-ES_tradnl"/>
              </w:rPr>
            </w:pPr>
            <w:r w:rsidRPr="009577DE">
              <w:rPr>
                <w:sz w:val="16"/>
                <w:szCs w:val="16"/>
                <w:lang w:val="es-ES_tradnl"/>
              </w:rPr>
              <w:t>Menos tiempo desde el inicio hasta la finalización de las transacciones ordinarias relativas a los recursos humanos (subsidio de educación y subsidio por mantenimiento).</w:t>
            </w:r>
            <w:r w:rsidRPr="009577DE">
              <w:rPr>
                <w:sz w:val="16"/>
                <w:szCs w:val="16"/>
                <w:lang w:val="es-ES_tradnl"/>
              </w:rPr>
              <w:br/>
            </w:r>
          </w:p>
        </w:tc>
        <w:tc>
          <w:tcPr>
            <w:tcW w:w="805" w:type="pct"/>
            <w:shd w:val="clear" w:color="auto" w:fill="C0C0C0"/>
          </w:tcPr>
          <w:p w:rsidR="00B070BF" w:rsidRPr="009577DE" w:rsidRDefault="00B070BF" w:rsidP="00C33D4A">
            <w:pPr>
              <w:widowControl w:val="0"/>
              <w:rPr>
                <w:sz w:val="16"/>
                <w:szCs w:val="16"/>
                <w:lang w:val="es-ES_tradnl"/>
              </w:rPr>
            </w:pPr>
            <w:r w:rsidRPr="009577DE">
              <w:rPr>
                <w:sz w:val="16"/>
                <w:szCs w:val="16"/>
                <w:lang w:val="es-ES_tradnl"/>
              </w:rPr>
              <w:t>Tres días</w:t>
            </w:r>
            <w:r w:rsidRPr="009577DE">
              <w:rPr>
                <w:sz w:val="16"/>
                <w:szCs w:val="16"/>
                <w:lang w:val="es-ES_tradnl"/>
              </w:rPr>
              <w:br/>
            </w:r>
            <w:r w:rsidRPr="009577DE">
              <w:rPr>
                <w:sz w:val="16"/>
                <w:szCs w:val="16"/>
                <w:lang w:val="es-ES_tradnl"/>
              </w:rPr>
              <w:br/>
            </w:r>
            <w:r w:rsidRPr="009577DE">
              <w:rPr>
                <w:sz w:val="16"/>
                <w:szCs w:val="16"/>
                <w:lang w:val="es-ES_tradnl"/>
              </w:rPr>
              <w:br/>
            </w:r>
            <w:r w:rsidRPr="009577DE">
              <w:rPr>
                <w:sz w:val="16"/>
                <w:szCs w:val="16"/>
                <w:lang w:val="es-ES_tradnl"/>
              </w:rPr>
              <w:br/>
            </w:r>
            <w:r w:rsidRPr="009577DE">
              <w:rPr>
                <w:sz w:val="16"/>
                <w:szCs w:val="16"/>
                <w:lang w:val="es-ES_tradnl"/>
              </w:rPr>
              <w:br/>
            </w:r>
            <w:r w:rsidRPr="009577DE">
              <w:rPr>
                <w:sz w:val="16"/>
                <w:szCs w:val="16"/>
                <w:lang w:val="es-ES_tradnl"/>
              </w:rPr>
              <w:br/>
            </w:r>
          </w:p>
        </w:tc>
        <w:tc>
          <w:tcPr>
            <w:tcW w:w="916" w:type="pct"/>
            <w:shd w:val="clear" w:color="auto" w:fill="auto"/>
            <w:tcMar>
              <w:top w:w="110" w:type="dxa"/>
            </w:tcMar>
          </w:tcPr>
          <w:p w:rsidR="00B070BF" w:rsidRPr="00F2661C" w:rsidRDefault="00B070BF" w:rsidP="00C33D4A">
            <w:pPr>
              <w:widowControl w:val="0"/>
              <w:rPr>
                <w:color w:val="993300"/>
                <w:sz w:val="16"/>
                <w:szCs w:val="16"/>
                <w:lang w:val="es-ES_tradnl" w:bidi="th-TH"/>
              </w:rPr>
            </w:pPr>
            <w:r w:rsidRPr="00F2661C">
              <w:rPr>
                <w:color w:val="993300"/>
                <w:sz w:val="16"/>
                <w:szCs w:val="16"/>
                <w:lang w:val="es-ES_tradnl" w:bidi="th-TH"/>
              </w:rPr>
              <w:t>Cuatro días</w:t>
            </w:r>
          </w:p>
        </w:tc>
        <w:tc>
          <w:tcPr>
            <w:tcW w:w="1848" w:type="pct"/>
            <w:shd w:val="clear" w:color="auto" w:fill="FFFFFF"/>
            <w:tcMar>
              <w:top w:w="110" w:type="dxa"/>
            </w:tcMar>
          </w:tcPr>
          <w:p w:rsidR="00B070BF" w:rsidRPr="009577DE" w:rsidRDefault="00B070BF" w:rsidP="00C33D4A">
            <w:pPr>
              <w:widowControl w:val="0"/>
              <w:rPr>
                <w:sz w:val="16"/>
                <w:szCs w:val="16"/>
                <w:lang w:val="es-ES_tradnl" w:bidi="th-TH"/>
              </w:rPr>
            </w:pPr>
            <w:r w:rsidRPr="009577DE">
              <w:rPr>
                <w:sz w:val="16"/>
                <w:szCs w:val="16"/>
                <w:lang w:val="es-ES_tradnl" w:bidi="th-TH"/>
              </w:rPr>
              <w:t>Cuatro días.  Se espera cumplir el objetivo una vez que comience a funcionar el módulo de RR.HH. del sistema PRI en 2013.</w:t>
            </w:r>
          </w:p>
          <w:p w:rsidR="00B070BF" w:rsidRPr="009577DE" w:rsidRDefault="00B070BF" w:rsidP="00C33D4A">
            <w:pPr>
              <w:widowControl w:val="0"/>
              <w:rPr>
                <w:sz w:val="16"/>
                <w:szCs w:val="16"/>
                <w:lang w:val="es-ES_tradnl" w:bidi="th-TH"/>
              </w:rPr>
            </w:pPr>
          </w:p>
          <w:p w:rsidR="00B070BF" w:rsidRPr="009577DE" w:rsidRDefault="00B070BF" w:rsidP="00C33D4A">
            <w:pPr>
              <w:widowControl w:val="0"/>
              <w:rPr>
                <w:sz w:val="16"/>
                <w:szCs w:val="16"/>
                <w:lang w:val="es-ES_tradnl" w:bidi="th-TH"/>
              </w:rPr>
            </w:pPr>
            <w:r w:rsidRPr="009577DE">
              <w:rPr>
                <w:sz w:val="16"/>
                <w:szCs w:val="16"/>
                <w:lang w:val="es-ES_tradnl" w:bidi="th-TH"/>
              </w:rPr>
              <w:t xml:space="preserve">. </w:t>
            </w:r>
          </w:p>
          <w:p w:rsidR="00B070BF" w:rsidRPr="009577DE" w:rsidRDefault="00B070BF" w:rsidP="00C33D4A">
            <w:pPr>
              <w:widowControl w:val="0"/>
              <w:rPr>
                <w:sz w:val="16"/>
                <w:szCs w:val="16"/>
                <w:lang w:val="es-ES_tradnl"/>
              </w:rPr>
            </w:pPr>
          </w:p>
        </w:tc>
        <w:tc>
          <w:tcPr>
            <w:tcW w:w="557" w:type="pct"/>
            <w:shd w:val="clear" w:color="auto" w:fill="auto"/>
            <w:tcMar>
              <w:top w:w="110" w:type="dxa"/>
            </w:tcMar>
          </w:tcPr>
          <w:p w:rsidR="00B070BF" w:rsidRPr="009577DE" w:rsidRDefault="00B070BF" w:rsidP="00C33D4A">
            <w:pPr>
              <w:widowControl w:val="0"/>
              <w:jc w:val="center"/>
              <w:rPr>
                <w:b/>
                <w:sz w:val="16"/>
                <w:szCs w:val="16"/>
                <w:lang w:val="es-ES_tradnl"/>
              </w:rPr>
            </w:pPr>
            <w:r w:rsidRPr="009577DE">
              <w:rPr>
                <w:b/>
                <w:color w:val="FF0000"/>
                <w:sz w:val="16"/>
                <w:szCs w:val="16"/>
                <w:lang w:val="es-ES_tradnl"/>
              </w:rPr>
              <w:t>Sin avances significativos</w:t>
            </w:r>
          </w:p>
          <w:p w:rsidR="00B070BF" w:rsidRPr="009577DE" w:rsidRDefault="00B070BF" w:rsidP="00C33D4A">
            <w:pPr>
              <w:widowControl w:val="0"/>
              <w:jc w:val="center"/>
              <w:rPr>
                <w:bCs/>
                <w:sz w:val="16"/>
                <w:szCs w:val="16"/>
                <w:lang w:val="es-ES_tradnl"/>
              </w:rPr>
            </w:pPr>
          </w:p>
          <w:p w:rsidR="00B070BF" w:rsidRPr="009577DE" w:rsidRDefault="00B070BF" w:rsidP="00C33D4A">
            <w:pPr>
              <w:widowControl w:val="0"/>
              <w:jc w:val="center"/>
              <w:rPr>
                <w:bCs/>
                <w:sz w:val="16"/>
                <w:szCs w:val="16"/>
                <w:lang w:val="es-ES_tradnl"/>
              </w:rPr>
            </w:pPr>
          </w:p>
        </w:tc>
      </w:tr>
      <w:tr w:rsidR="00B070BF" w:rsidRPr="009577DE" w:rsidTr="00C33D4A">
        <w:trPr>
          <w:cantSplit/>
        </w:trPr>
        <w:tc>
          <w:tcPr>
            <w:tcW w:w="874" w:type="pct"/>
            <w:shd w:val="clear" w:color="auto" w:fill="auto"/>
          </w:tcPr>
          <w:p w:rsidR="00B070BF" w:rsidRPr="009577DE" w:rsidRDefault="00B070BF" w:rsidP="00C33D4A">
            <w:pPr>
              <w:widowControl w:val="0"/>
              <w:rPr>
                <w:sz w:val="16"/>
                <w:szCs w:val="16"/>
                <w:lang w:val="es-ES_tradnl"/>
              </w:rPr>
            </w:pPr>
            <w:r w:rsidRPr="009577DE">
              <w:rPr>
                <w:sz w:val="16"/>
                <w:szCs w:val="16"/>
                <w:lang w:val="es-ES_tradnl"/>
              </w:rPr>
              <w:t>Relación entre el número de empleados (equivalentes en jornadas completas) y el personal de recursos humanos.</w:t>
            </w:r>
          </w:p>
        </w:tc>
        <w:tc>
          <w:tcPr>
            <w:tcW w:w="805" w:type="pct"/>
            <w:shd w:val="clear" w:color="auto" w:fill="C0C0C0"/>
          </w:tcPr>
          <w:p w:rsidR="00B070BF" w:rsidRPr="009577DE" w:rsidRDefault="00B070BF" w:rsidP="00C33D4A">
            <w:pPr>
              <w:widowControl w:val="0"/>
              <w:rPr>
                <w:sz w:val="16"/>
                <w:szCs w:val="16"/>
                <w:lang w:val="es-ES_tradnl"/>
              </w:rPr>
            </w:pPr>
            <w:r w:rsidRPr="009577DE">
              <w:rPr>
                <w:sz w:val="16"/>
                <w:szCs w:val="16"/>
                <w:lang w:val="es-ES_tradnl"/>
              </w:rPr>
              <w:t xml:space="preserve">Un empleado de RR.HH. por cada 31 empleados de la Organización (enero de 2011). </w:t>
            </w:r>
          </w:p>
        </w:tc>
        <w:tc>
          <w:tcPr>
            <w:tcW w:w="916" w:type="pct"/>
            <w:shd w:val="clear" w:color="auto" w:fill="auto"/>
            <w:tcMar>
              <w:top w:w="110" w:type="dxa"/>
            </w:tcMar>
          </w:tcPr>
          <w:p w:rsidR="00B070BF" w:rsidRPr="00F2661C" w:rsidRDefault="00B070BF" w:rsidP="00C33D4A">
            <w:pPr>
              <w:widowControl w:val="0"/>
              <w:rPr>
                <w:color w:val="993300"/>
                <w:sz w:val="16"/>
                <w:szCs w:val="16"/>
                <w:lang w:val="es-ES_tradnl" w:bidi="th-TH"/>
              </w:rPr>
            </w:pPr>
            <w:r w:rsidRPr="00F2661C">
              <w:rPr>
                <w:color w:val="993300"/>
                <w:sz w:val="16"/>
                <w:szCs w:val="16"/>
                <w:lang w:val="es-ES_tradnl" w:bidi="th-TH"/>
              </w:rPr>
              <w:t>29,3</w:t>
            </w:r>
          </w:p>
        </w:tc>
        <w:tc>
          <w:tcPr>
            <w:tcW w:w="1848" w:type="pct"/>
            <w:shd w:val="clear" w:color="auto" w:fill="FFFFFF"/>
            <w:tcMar>
              <w:top w:w="110" w:type="dxa"/>
            </w:tcMar>
          </w:tcPr>
          <w:p w:rsidR="00B070BF" w:rsidRPr="009577DE" w:rsidRDefault="00B070BF" w:rsidP="00C33D4A">
            <w:pPr>
              <w:widowControl w:val="0"/>
              <w:rPr>
                <w:sz w:val="16"/>
                <w:szCs w:val="16"/>
                <w:lang w:val="es-ES_tradnl"/>
              </w:rPr>
            </w:pPr>
            <w:r w:rsidRPr="009577DE">
              <w:rPr>
                <w:sz w:val="16"/>
                <w:szCs w:val="16"/>
                <w:lang w:val="es-ES_tradnl"/>
              </w:rPr>
              <w:t xml:space="preserve">31.  </w:t>
            </w:r>
            <w:r w:rsidRPr="009577DE">
              <w:rPr>
                <w:sz w:val="16"/>
                <w:szCs w:val="16"/>
                <w:lang w:val="es-ES_tradnl" w:bidi="th-TH"/>
              </w:rPr>
              <w:t>Se espera cumplir el objetivo una vez que comience a funcionar el módulo de RR.HH. del sistema PRI en 2013.</w:t>
            </w:r>
            <w:r w:rsidRPr="009577DE">
              <w:rPr>
                <w:sz w:val="16"/>
                <w:szCs w:val="16"/>
                <w:lang w:val="es-ES_tradnl"/>
              </w:rPr>
              <w:t xml:space="preserve">  </w:t>
            </w:r>
          </w:p>
          <w:p w:rsidR="00B070BF" w:rsidRPr="009577DE" w:rsidRDefault="00B070BF" w:rsidP="00C33D4A">
            <w:pPr>
              <w:widowControl w:val="0"/>
              <w:rPr>
                <w:sz w:val="16"/>
                <w:szCs w:val="16"/>
                <w:lang w:val="es-ES_tradnl"/>
              </w:rPr>
            </w:pPr>
          </w:p>
          <w:p w:rsidR="00B070BF" w:rsidRPr="009577DE" w:rsidRDefault="00B070BF" w:rsidP="00C33D4A">
            <w:pPr>
              <w:widowControl w:val="0"/>
              <w:rPr>
                <w:sz w:val="16"/>
                <w:szCs w:val="16"/>
                <w:lang w:val="es-ES_tradnl"/>
              </w:rPr>
            </w:pPr>
          </w:p>
          <w:p w:rsidR="00B070BF" w:rsidRPr="009577DE" w:rsidRDefault="00B070BF" w:rsidP="00C33D4A">
            <w:pPr>
              <w:widowControl w:val="0"/>
              <w:rPr>
                <w:sz w:val="16"/>
                <w:szCs w:val="16"/>
                <w:lang w:val="es-ES_tradnl"/>
              </w:rPr>
            </w:pPr>
          </w:p>
          <w:p w:rsidR="00B070BF" w:rsidRPr="009577DE" w:rsidRDefault="00B070BF" w:rsidP="00C33D4A">
            <w:pPr>
              <w:widowControl w:val="0"/>
              <w:rPr>
                <w:sz w:val="16"/>
                <w:szCs w:val="16"/>
                <w:lang w:val="es-ES_tradnl"/>
              </w:rPr>
            </w:pPr>
          </w:p>
        </w:tc>
        <w:tc>
          <w:tcPr>
            <w:tcW w:w="557" w:type="pct"/>
            <w:shd w:val="clear" w:color="auto" w:fill="auto"/>
            <w:tcMar>
              <w:top w:w="110" w:type="dxa"/>
            </w:tcMar>
          </w:tcPr>
          <w:p w:rsidR="00B070BF" w:rsidRPr="009577DE" w:rsidRDefault="00B070BF" w:rsidP="00C33D4A">
            <w:pPr>
              <w:widowControl w:val="0"/>
              <w:jc w:val="center"/>
              <w:rPr>
                <w:b/>
                <w:sz w:val="16"/>
                <w:szCs w:val="16"/>
                <w:lang w:val="es-ES_tradnl"/>
              </w:rPr>
            </w:pPr>
            <w:r w:rsidRPr="009577DE">
              <w:rPr>
                <w:b/>
                <w:color w:val="FF0000"/>
                <w:sz w:val="16"/>
                <w:szCs w:val="16"/>
                <w:lang w:val="es-ES_tradnl"/>
              </w:rPr>
              <w:t>Sin avances significativos</w:t>
            </w:r>
          </w:p>
          <w:p w:rsidR="00B070BF" w:rsidRPr="009577DE" w:rsidRDefault="00B070BF" w:rsidP="00C33D4A">
            <w:pPr>
              <w:widowControl w:val="0"/>
              <w:jc w:val="center"/>
              <w:rPr>
                <w:bCs/>
                <w:sz w:val="16"/>
                <w:szCs w:val="16"/>
                <w:lang w:val="es-ES_tradnl"/>
              </w:rPr>
            </w:pPr>
          </w:p>
          <w:p w:rsidR="00B070BF" w:rsidRPr="009577DE" w:rsidRDefault="00B070BF" w:rsidP="00C33D4A">
            <w:pPr>
              <w:widowControl w:val="0"/>
              <w:jc w:val="center"/>
              <w:rPr>
                <w:bCs/>
                <w:sz w:val="16"/>
                <w:szCs w:val="16"/>
                <w:lang w:val="es-ES_tradnl"/>
              </w:rPr>
            </w:pPr>
          </w:p>
        </w:tc>
      </w:tr>
      <w:tr w:rsidR="00B070BF" w:rsidRPr="009577DE" w:rsidTr="00C33D4A">
        <w:trPr>
          <w:cantSplit/>
        </w:trPr>
        <w:tc>
          <w:tcPr>
            <w:tcW w:w="874" w:type="pct"/>
            <w:tcBorders>
              <w:bottom w:val="single" w:sz="4" w:space="0" w:color="auto"/>
            </w:tcBorders>
            <w:shd w:val="clear" w:color="auto" w:fill="auto"/>
          </w:tcPr>
          <w:p w:rsidR="00B070BF" w:rsidRPr="009577DE" w:rsidRDefault="00B070BF" w:rsidP="00C33D4A">
            <w:pPr>
              <w:widowControl w:val="0"/>
              <w:rPr>
                <w:sz w:val="16"/>
                <w:szCs w:val="16"/>
                <w:lang w:val="es-ES_tradnl"/>
              </w:rPr>
            </w:pPr>
            <w:r w:rsidRPr="009577DE">
              <w:rPr>
                <w:sz w:val="16"/>
                <w:szCs w:val="16"/>
                <w:lang w:val="es-ES_tradnl"/>
              </w:rPr>
              <w:t>Porcentaje de miembros del personal satisfechos con los servicios de recursos humanos.</w:t>
            </w:r>
          </w:p>
        </w:tc>
        <w:tc>
          <w:tcPr>
            <w:tcW w:w="805" w:type="pct"/>
            <w:tcBorders>
              <w:bottom w:val="single" w:sz="4" w:space="0" w:color="auto"/>
            </w:tcBorders>
            <w:shd w:val="clear" w:color="auto" w:fill="C0C0C0"/>
          </w:tcPr>
          <w:p w:rsidR="00B070BF" w:rsidRPr="009577DE" w:rsidRDefault="00B070BF" w:rsidP="00C33D4A">
            <w:pPr>
              <w:widowControl w:val="0"/>
              <w:rPr>
                <w:sz w:val="16"/>
                <w:szCs w:val="16"/>
                <w:lang w:val="es-ES_tradnl"/>
              </w:rPr>
            </w:pPr>
            <w:r w:rsidRPr="009577DE">
              <w:rPr>
                <w:sz w:val="16"/>
                <w:szCs w:val="16"/>
                <w:lang w:val="es-ES_tradnl"/>
              </w:rPr>
              <w:t>Muy satisfechos: 30,8%, Satisfechos: 48,2%, Insatisfechos: 17,9%,</w:t>
            </w:r>
          </w:p>
          <w:p w:rsidR="00B070BF" w:rsidRPr="009577DE" w:rsidRDefault="00B070BF" w:rsidP="00C33D4A">
            <w:pPr>
              <w:widowControl w:val="0"/>
              <w:rPr>
                <w:sz w:val="16"/>
                <w:szCs w:val="16"/>
                <w:lang w:val="es-ES_tradnl"/>
              </w:rPr>
            </w:pPr>
            <w:r w:rsidRPr="009577DE">
              <w:rPr>
                <w:sz w:val="16"/>
                <w:szCs w:val="16"/>
                <w:lang w:val="es-ES_tradnl"/>
              </w:rPr>
              <w:t>Muy</w:t>
            </w:r>
          </w:p>
          <w:p w:rsidR="00B070BF" w:rsidRPr="009577DE" w:rsidRDefault="00B070BF" w:rsidP="00C33D4A">
            <w:pPr>
              <w:widowControl w:val="0"/>
              <w:rPr>
                <w:sz w:val="16"/>
                <w:szCs w:val="16"/>
                <w:lang w:val="es-ES_tradnl"/>
              </w:rPr>
            </w:pPr>
            <w:r w:rsidRPr="009577DE">
              <w:rPr>
                <w:sz w:val="16"/>
                <w:szCs w:val="16"/>
                <w:lang w:val="es-ES_tradnl"/>
              </w:rPr>
              <w:t>insatisfechos: 3,1%</w:t>
            </w:r>
          </w:p>
        </w:tc>
        <w:tc>
          <w:tcPr>
            <w:tcW w:w="916" w:type="pct"/>
            <w:tcBorders>
              <w:bottom w:val="single" w:sz="4" w:space="0" w:color="auto"/>
            </w:tcBorders>
            <w:shd w:val="clear" w:color="auto" w:fill="auto"/>
            <w:tcMar>
              <w:top w:w="110" w:type="dxa"/>
            </w:tcMar>
          </w:tcPr>
          <w:p w:rsidR="00B070BF" w:rsidRPr="00F2661C" w:rsidRDefault="00B070BF" w:rsidP="00C33D4A">
            <w:pPr>
              <w:widowControl w:val="0"/>
              <w:rPr>
                <w:color w:val="993300"/>
                <w:sz w:val="16"/>
                <w:szCs w:val="16"/>
                <w:lang w:val="es-ES_tradnl"/>
              </w:rPr>
            </w:pPr>
            <w:r w:rsidRPr="00F2661C">
              <w:rPr>
                <w:color w:val="993300"/>
                <w:sz w:val="16"/>
                <w:szCs w:val="16"/>
                <w:lang w:val="es-ES_tradnl"/>
              </w:rPr>
              <w:t xml:space="preserve">Muy satisfechos: 31,8%, </w:t>
            </w:r>
          </w:p>
          <w:p w:rsidR="00B070BF" w:rsidRPr="00F2661C" w:rsidRDefault="00B070BF" w:rsidP="00C33D4A">
            <w:pPr>
              <w:widowControl w:val="0"/>
              <w:rPr>
                <w:color w:val="993300"/>
                <w:sz w:val="16"/>
                <w:szCs w:val="16"/>
                <w:lang w:val="es-ES_tradnl"/>
              </w:rPr>
            </w:pPr>
            <w:r w:rsidRPr="00F2661C">
              <w:rPr>
                <w:color w:val="993300"/>
                <w:sz w:val="16"/>
                <w:szCs w:val="16"/>
                <w:lang w:val="es-ES_tradnl"/>
              </w:rPr>
              <w:t xml:space="preserve">Satisfechos: 45,5%, Insatisfechos: 18,2%, </w:t>
            </w:r>
          </w:p>
          <w:p w:rsidR="00B070BF" w:rsidRPr="00F2661C" w:rsidRDefault="00B070BF" w:rsidP="00C33D4A">
            <w:pPr>
              <w:widowControl w:val="0"/>
              <w:rPr>
                <w:color w:val="993300"/>
                <w:sz w:val="16"/>
                <w:szCs w:val="16"/>
                <w:lang w:val="es-ES_tradnl" w:bidi="th-TH"/>
              </w:rPr>
            </w:pPr>
            <w:r w:rsidRPr="00F2661C">
              <w:rPr>
                <w:color w:val="993300"/>
                <w:sz w:val="16"/>
                <w:szCs w:val="16"/>
                <w:lang w:val="es-ES_tradnl"/>
              </w:rPr>
              <w:t>Muy insatisfechos: 4,5%</w:t>
            </w:r>
          </w:p>
        </w:tc>
        <w:tc>
          <w:tcPr>
            <w:tcW w:w="1848" w:type="pct"/>
            <w:tcBorders>
              <w:bottom w:val="single" w:sz="4" w:space="0" w:color="auto"/>
            </w:tcBorders>
            <w:shd w:val="clear" w:color="auto" w:fill="FFFFFF"/>
            <w:tcMar>
              <w:top w:w="110" w:type="dxa"/>
            </w:tcMar>
          </w:tcPr>
          <w:p w:rsidR="00B070BF" w:rsidRPr="009577DE" w:rsidRDefault="00B070BF" w:rsidP="00C33D4A">
            <w:pPr>
              <w:widowControl w:val="0"/>
              <w:rPr>
                <w:sz w:val="16"/>
                <w:szCs w:val="16"/>
                <w:lang w:val="es-ES_tradnl"/>
              </w:rPr>
            </w:pPr>
            <w:r w:rsidRPr="009577DE">
              <w:rPr>
                <w:sz w:val="16"/>
                <w:szCs w:val="16"/>
                <w:lang w:val="es-ES_tradnl"/>
              </w:rPr>
              <w:t>Entrevistas al terminar el empleo:  muy satisfechos: 31,2%;  satisfechos:  48,7%;  insatisfechos:  17,2%;  muy insatisfechos:  2,9%.</w:t>
            </w:r>
          </w:p>
          <w:p w:rsidR="00B070BF" w:rsidRPr="009577DE" w:rsidRDefault="00B070BF" w:rsidP="00C33D4A">
            <w:pPr>
              <w:widowControl w:val="0"/>
              <w:rPr>
                <w:sz w:val="16"/>
                <w:szCs w:val="16"/>
                <w:lang w:val="es-ES_tradnl"/>
              </w:rPr>
            </w:pPr>
          </w:p>
          <w:p w:rsidR="00B070BF" w:rsidRPr="009577DE" w:rsidRDefault="00B070BF" w:rsidP="00C33D4A">
            <w:pPr>
              <w:widowControl w:val="0"/>
              <w:rPr>
                <w:sz w:val="16"/>
                <w:szCs w:val="16"/>
                <w:lang w:val="es-ES_tradnl"/>
              </w:rPr>
            </w:pPr>
            <w:r w:rsidRPr="009577DE">
              <w:rPr>
                <w:sz w:val="16"/>
                <w:szCs w:val="16"/>
                <w:lang w:val="es-ES_tradnl"/>
              </w:rPr>
              <w:t xml:space="preserve">Resultados de la encuesta sobre las prioridades centrales:  excelentes:  8%;  buenos:  44%;  podrían ser mejores:  41%;  deficientes:  5%;  no sabe:  3%. </w:t>
            </w:r>
          </w:p>
          <w:p w:rsidR="00B070BF" w:rsidRPr="009577DE" w:rsidRDefault="00B070BF" w:rsidP="00C33D4A">
            <w:pPr>
              <w:widowControl w:val="0"/>
              <w:rPr>
                <w:sz w:val="16"/>
                <w:szCs w:val="16"/>
                <w:lang w:val="es-ES_tradnl"/>
              </w:rPr>
            </w:pPr>
          </w:p>
        </w:tc>
        <w:tc>
          <w:tcPr>
            <w:tcW w:w="557" w:type="pct"/>
            <w:tcBorders>
              <w:bottom w:val="single" w:sz="4" w:space="0" w:color="auto"/>
            </w:tcBorders>
            <w:shd w:val="clear" w:color="auto" w:fill="auto"/>
            <w:tcMar>
              <w:top w:w="110" w:type="dxa"/>
            </w:tcMar>
          </w:tcPr>
          <w:p w:rsidR="00B070BF" w:rsidRPr="009577DE" w:rsidRDefault="00B070BF" w:rsidP="00C33D4A">
            <w:pPr>
              <w:widowControl w:val="0"/>
              <w:jc w:val="center"/>
              <w:rPr>
                <w:b/>
                <w:sz w:val="16"/>
                <w:szCs w:val="16"/>
                <w:lang w:val="es-ES_tradnl"/>
              </w:rPr>
            </w:pPr>
            <w:r w:rsidRPr="009577DE">
              <w:rPr>
                <w:b/>
                <w:color w:val="008000"/>
                <w:sz w:val="16"/>
                <w:szCs w:val="16"/>
                <w:lang w:val="es-ES_tradnl"/>
              </w:rPr>
              <w:t>Progresa con normalidad</w:t>
            </w:r>
          </w:p>
          <w:p w:rsidR="00B070BF" w:rsidRPr="009577DE" w:rsidRDefault="00B070BF" w:rsidP="00C33D4A">
            <w:pPr>
              <w:widowControl w:val="0"/>
              <w:jc w:val="center"/>
              <w:rPr>
                <w:bCs/>
                <w:sz w:val="16"/>
                <w:szCs w:val="16"/>
                <w:lang w:val="es-ES_tradnl"/>
              </w:rPr>
            </w:pPr>
          </w:p>
          <w:p w:rsidR="00B070BF" w:rsidRPr="009577DE" w:rsidRDefault="00B070BF" w:rsidP="00C33D4A">
            <w:pPr>
              <w:widowControl w:val="0"/>
              <w:jc w:val="center"/>
              <w:rPr>
                <w:bCs/>
                <w:sz w:val="16"/>
                <w:szCs w:val="16"/>
                <w:lang w:val="es-ES_tradnl"/>
              </w:rPr>
            </w:pPr>
          </w:p>
        </w:tc>
      </w:tr>
      <w:tr w:rsidR="00B070BF" w:rsidRPr="009577DE" w:rsidTr="00C33D4A">
        <w:trPr>
          <w:cantSplit/>
        </w:trPr>
        <w:tc>
          <w:tcPr>
            <w:tcW w:w="5000" w:type="pct"/>
            <w:gridSpan w:val="5"/>
            <w:tcBorders>
              <w:top w:val="single" w:sz="4" w:space="0" w:color="auto"/>
              <w:bottom w:val="single" w:sz="4" w:space="0" w:color="auto"/>
            </w:tcBorders>
            <w:shd w:val="clear" w:color="auto" w:fill="CCFFFF"/>
            <w:vAlign w:val="center"/>
          </w:tcPr>
          <w:p w:rsidR="00B070BF" w:rsidRPr="009577DE" w:rsidRDefault="00B070BF" w:rsidP="00C33D4A">
            <w:pPr>
              <w:widowControl w:val="0"/>
              <w:tabs>
                <w:tab w:val="left" w:pos="1452"/>
              </w:tabs>
              <w:spacing w:before="120" w:after="120"/>
              <w:ind w:left="1452" w:hanging="1452"/>
              <w:rPr>
                <w:b/>
                <w:bCs/>
                <w:sz w:val="16"/>
                <w:szCs w:val="16"/>
                <w:lang w:val="es-ES_tradnl"/>
              </w:rPr>
            </w:pPr>
            <w:r w:rsidRPr="009577DE">
              <w:rPr>
                <w:b/>
                <w:bCs/>
                <w:sz w:val="16"/>
                <w:szCs w:val="16"/>
                <w:lang w:val="es-ES_tradnl"/>
              </w:rPr>
              <w:t>Resultado previsto:</w:t>
            </w:r>
            <w:r w:rsidRPr="009577DE">
              <w:rPr>
                <w:b/>
                <w:bCs/>
                <w:sz w:val="16"/>
                <w:szCs w:val="16"/>
                <w:lang w:val="es-ES_tradnl"/>
              </w:rPr>
              <w:tab/>
            </w:r>
            <w:r w:rsidRPr="009577DE">
              <w:rPr>
                <w:bCs/>
                <w:sz w:val="16"/>
                <w:szCs w:val="16"/>
                <w:lang w:val="es-ES_tradnl"/>
              </w:rPr>
              <w:t xml:space="preserve"> Personal profesional bien dirigido, diversificado, motivado y con las competencias adecuadas.</w:t>
            </w:r>
          </w:p>
        </w:tc>
      </w:tr>
      <w:tr w:rsidR="00B070BF" w:rsidRPr="009577DE" w:rsidTr="00C33D4A">
        <w:trPr>
          <w:cantSplit/>
        </w:trPr>
        <w:tc>
          <w:tcPr>
            <w:tcW w:w="874" w:type="pct"/>
            <w:tcBorders>
              <w:top w:val="single" w:sz="4" w:space="0" w:color="auto"/>
            </w:tcBorders>
            <w:shd w:val="clear" w:color="auto" w:fill="auto"/>
            <w:vAlign w:val="center"/>
          </w:tcPr>
          <w:p w:rsidR="00B070BF" w:rsidRPr="009577DE" w:rsidRDefault="00B070BF" w:rsidP="00C33D4A">
            <w:pPr>
              <w:widowControl w:val="0"/>
              <w:spacing w:after="120"/>
              <w:rPr>
                <w:sz w:val="16"/>
                <w:szCs w:val="16"/>
                <w:lang w:val="es-ES_tradnl"/>
              </w:rPr>
            </w:pPr>
            <w:r w:rsidRPr="009577DE">
              <w:rPr>
                <w:b/>
                <w:bCs/>
                <w:sz w:val="16"/>
                <w:szCs w:val="16"/>
                <w:lang w:val="es-ES_tradnl"/>
              </w:rPr>
              <w:t>Indicadores de rendimiento</w:t>
            </w:r>
          </w:p>
        </w:tc>
        <w:tc>
          <w:tcPr>
            <w:tcW w:w="805" w:type="pct"/>
            <w:tcBorders>
              <w:top w:val="single" w:sz="4" w:space="0" w:color="auto"/>
            </w:tcBorders>
            <w:shd w:val="clear" w:color="auto" w:fill="C0C0C0"/>
          </w:tcPr>
          <w:p w:rsidR="00B070BF" w:rsidRPr="009577DE" w:rsidRDefault="00B070BF" w:rsidP="00C33D4A">
            <w:pPr>
              <w:widowControl w:val="0"/>
              <w:spacing w:after="120"/>
              <w:rPr>
                <w:b/>
                <w:bCs/>
                <w:sz w:val="16"/>
                <w:szCs w:val="16"/>
                <w:lang w:val="es-ES_tradnl"/>
              </w:rPr>
            </w:pPr>
            <w:r w:rsidRPr="009577DE">
              <w:rPr>
                <w:b/>
                <w:bCs/>
                <w:sz w:val="16"/>
                <w:szCs w:val="16"/>
                <w:lang w:val="es-ES_tradnl"/>
              </w:rPr>
              <w:t>Referencia (</w:t>
            </w:r>
            <w:proofErr w:type="spellStart"/>
            <w:r w:rsidRPr="009577DE">
              <w:rPr>
                <w:b/>
                <w:bCs/>
                <w:sz w:val="16"/>
                <w:szCs w:val="16"/>
                <w:lang w:val="es-ES_tradnl"/>
              </w:rPr>
              <w:t>Presup</w:t>
            </w:r>
            <w:proofErr w:type="spellEnd"/>
            <w:r w:rsidRPr="009577DE">
              <w:rPr>
                <w:b/>
                <w:bCs/>
                <w:sz w:val="16"/>
                <w:szCs w:val="16"/>
                <w:lang w:val="es-ES_tradnl"/>
              </w:rPr>
              <w:t xml:space="preserve">. por </w:t>
            </w:r>
            <w:proofErr w:type="spellStart"/>
            <w:r w:rsidRPr="009577DE">
              <w:rPr>
                <w:b/>
                <w:bCs/>
                <w:sz w:val="16"/>
                <w:szCs w:val="16"/>
                <w:lang w:val="es-ES_tradnl"/>
              </w:rPr>
              <w:t>prog</w:t>
            </w:r>
            <w:proofErr w:type="spellEnd"/>
            <w:r w:rsidRPr="009577DE">
              <w:rPr>
                <w:b/>
                <w:bCs/>
                <w:sz w:val="16"/>
                <w:szCs w:val="16"/>
                <w:lang w:val="es-ES_tradnl"/>
              </w:rPr>
              <w:t>. 2012/13)</w:t>
            </w:r>
          </w:p>
        </w:tc>
        <w:tc>
          <w:tcPr>
            <w:tcW w:w="916" w:type="pct"/>
            <w:tcBorders>
              <w:top w:val="single" w:sz="4" w:space="0" w:color="auto"/>
            </w:tcBorders>
            <w:shd w:val="clear" w:color="auto" w:fill="auto"/>
            <w:tcMar>
              <w:top w:w="110" w:type="dxa"/>
            </w:tcMar>
            <w:vAlign w:val="center"/>
          </w:tcPr>
          <w:p w:rsidR="00B070BF" w:rsidRPr="009577DE" w:rsidRDefault="00B070BF" w:rsidP="00C33D4A">
            <w:pPr>
              <w:widowControl w:val="0"/>
              <w:spacing w:after="120"/>
              <w:rPr>
                <w:b/>
                <w:sz w:val="16"/>
                <w:szCs w:val="16"/>
                <w:lang w:val="es-ES_tradnl"/>
              </w:rPr>
            </w:pPr>
            <w:r w:rsidRPr="00BF138D">
              <w:rPr>
                <w:b/>
                <w:color w:val="993300"/>
                <w:sz w:val="16"/>
                <w:szCs w:val="16"/>
                <w:lang w:val="es-ES_tradnl"/>
              </w:rPr>
              <w:t>Referencia actualizada a finales de 2011</w:t>
            </w:r>
            <w:r w:rsidRPr="009577DE">
              <w:rPr>
                <w:b/>
                <w:sz w:val="16"/>
                <w:szCs w:val="16"/>
                <w:lang w:val="es-ES_tradnl"/>
              </w:rPr>
              <w:t xml:space="preserve"> </w:t>
            </w:r>
          </w:p>
        </w:tc>
        <w:tc>
          <w:tcPr>
            <w:tcW w:w="1848" w:type="pct"/>
            <w:tcBorders>
              <w:top w:val="single" w:sz="4" w:space="0" w:color="auto"/>
            </w:tcBorders>
            <w:shd w:val="clear" w:color="auto" w:fill="FFFFFF"/>
            <w:tcMar>
              <w:top w:w="110" w:type="dxa"/>
            </w:tcMar>
            <w:vAlign w:val="center"/>
          </w:tcPr>
          <w:p w:rsidR="00B070BF" w:rsidRPr="009577DE" w:rsidRDefault="00B070BF" w:rsidP="00C33D4A">
            <w:pPr>
              <w:widowControl w:val="0"/>
              <w:spacing w:after="120"/>
              <w:rPr>
                <w:sz w:val="16"/>
                <w:szCs w:val="16"/>
                <w:lang w:val="es-ES_tradnl"/>
              </w:rPr>
            </w:pPr>
            <w:r w:rsidRPr="009577DE">
              <w:rPr>
                <w:b/>
                <w:bCs/>
                <w:sz w:val="16"/>
                <w:szCs w:val="16"/>
                <w:lang w:val="es-ES_tradnl"/>
              </w:rPr>
              <w:t>Datos sobre el rendimiento</w:t>
            </w:r>
          </w:p>
        </w:tc>
        <w:tc>
          <w:tcPr>
            <w:tcW w:w="557" w:type="pct"/>
            <w:tcBorders>
              <w:top w:val="single" w:sz="4" w:space="0" w:color="auto"/>
            </w:tcBorders>
            <w:shd w:val="clear" w:color="auto" w:fill="auto"/>
            <w:tcMar>
              <w:top w:w="110" w:type="dxa"/>
            </w:tcMar>
            <w:vAlign w:val="center"/>
          </w:tcPr>
          <w:p w:rsidR="00B070BF" w:rsidRPr="009577DE" w:rsidRDefault="00B070BF" w:rsidP="00C33D4A">
            <w:pPr>
              <w:widowControl w:val="0"/>
              <w:spacing w:after="120"/>
              <w:jc w:val="center"/>
              <w:rPr>
                <w:b/>
                <w:bCs/>
                <w:sz w:val="16"/>
                <w:szCs w:val="16"/>
                <w:lang w:val="es-ES_tradnl"/>
              </w:rPr>
            </w:pPr>
            <w:r w:rsidRPr="009577DE">
              <w:rPr>
                <w:b/>
                <w:bCs/>
                <w:sz w:val="16"/>
                <w:szCs w:val="16"/>
                <w:lang w:val="es-ES_tradnl"/>
              </w:rPr>
              <w:t>Clave de colores</w:t>
            </w:r>
          </w:p>
        </w:tc>
      </w:tr>
      <w:tr w:rsidR="00B070BF" w:rsidRPr="009577DE" w:rsidTr="00C33D4A">
        <w:trPr>
          <w:cantSplit/>
        </w:trPr>
        <w:tc>
          <w:tcPr>
            <w:tcW w:w="874" w:type="pct"/>
            <w:shd w:val="clear" w:color="auto" w:fill="auto"/>
          </w:tcPr>
          <w:p w:rsidR="00B070BF" w:rsidRPr="009577DE" w:rsidRDefault="00B070BF" w:rsidP="00C33D4A">
            <w:pPr>
              <w:widowControl w:val="0"/>
              <w:rPr>
                <w:sz w:val="16"/>
                <w:szCs w:val="16"/>
                <w:lang w:val="es-ES_tradnl"/>
              </w:rPr>
            </w:pPr>
            <w:r w:rsidRPr="009577DE">
              <w:rPr>
                <w:sz w:val="16"/>
                <w:szCs w:val="16"/>
                <w:lang w:val="es-ES_tradnl"/>
              </w:rPr>
              <w:t>Porcentaje de miembros del personal cuyo desempeño se evalúa en función de objetivos y competencias específicos.</w:t>
            </w:r>
          </w:p>
          <w:p w:rsidR="00B070BF" w:rsidRPr="009577DE" w:rsidRDefault="00B070BF" w:rsidP="00C33D4A">
            <w:pPr>
              <w:widowControl w:val="0"/>
              <w:rPr>
                <w:sz w:val="16"/>
                <w:szCs w:val="16"/>
                <w:lang w:val="es-ES_tradnl"/>
              </w:rPr>
            </w:pPr>
          </w:p>
        </w:tc>
        <w:tc>
          <w:tcPr>
            <w:tcW w:w="805" w:type="pct"/>
            <w:shd w:val="clear" w:color="auto" w:fill="C0C0C0"/>
          </w:tcPr>
          <w:p w:rsidR="00B070BF" w:rsidRPr="009577DE" w:rsidRDefault="00B070BF" w:rsidP="00C33D4A">
            <w:pPr>
              <w:widowControl w:val="0"/>
              <w:ind w:left="89"/>
              <w:rPr>
                <w:sz w:val="16"/>
                <w:szCs w:val="16"/>
                <w:lang w:val="es-ES_tradnl"/>
              </w:rPr>
            </w:pPr>
            <w:r w:rsidRPr="009577DE">
              <w:rPr>
                <w:sz w:val="16"/>
                <w:szCs w:val="16"/>
                <w:lang w:val="es-ES_tradnl"/>
              </w:rPr>
              <w:t>62%</w:t>
            </w:r>
          </w:p>
        </w:tc>
        <w:tc>
          <w:tcPr>
            <w:tcW w:w="916" w:type="pct"/>
            <w:shd w:val="clear" w:color="auto" w:fill="auto"/>
            <w:tcMar>
              <w:top w:w="110" w:type="dxa"/>
            </w:tcMar>
          </w:tcPr>
          <w:p w:rsidR="00B070BF" w:rsidRPr="00F2661C" w:rsidRDefault="00B070BF" w:rsidP="00C33D4A">
            <w:pPr>
              <w:widowControl w:val="0"/>
              <w:rPr>
                <w:color w:val="993300"/>
                <w:sz w:val="16"/>
                <w:szCs w:val="16"/>
                <w:lang w:val="es-ES_tradnl" w:bidi="th-TH"/>
              </w:rPr>
            </w:pPr>
            <w:r w:rsidRPr="00F2661C">
              <w:rPr>
                <w:color w:val="993300"/>
                <w:sz w:val="16"/>
                <w:szCs w:val="16"/>
                <w:lang w:val="es-ES_tradnl" w:bidi="th-TH"/>
              </w:rPr>
              <w:t>92%</w:t>
            </w:r>
          </w:p>
        </w:tc>
        <w:tc>
          <w:tcPr>
            <w:tcW w:w="1848" w:type="pct"/>
            <w:shd w:val="clear" w:color="auto" w:fill="FFFFFF"/>
            <w:tcMar>
              <w:top w:w="110" w:type="dxa"/>
            </w:tcMar>
          </w:tcPr>
          <w:p w:rsidR="00B070BF" w:rsidRPr="009577DE" w:rsidRDefault="00B070BF" w:rsidP="00C33D4A">
            <w:pPr>
              <w:widowControl w:val="0"/>
              <w:rPr>
                <w:sz w:val="16"/>
                <w:szCs w:val="16"/>
                <w:lang w:val="es-ES_tradnl"/>
              </w:rPr>
            </w:pPr>
            <w:r w:rsidRPr="009577DE">
              <w:rPr>
                <w:sz w:val="16"/>
                <w:szCs w:val="16"/>
                <w:lang w:val="es-ES_tradnl"/>
              </w:rPr>
              <w:t>Se evaluó al 91% del personal incluido en el Sistema de gestión del desempeño y el perfeccionamiento del personal con respecto de objetivos individuales.</w:t>
            </w:r>
          </w:p>
          <w:p w:rsidR="00B070BF" w:rsidRPr="009577DE" w:rsidRDefault="00B070BF" w:rsidP="00C33D4A">
            <w:pPr>
              <w:widowControl w:val="0"/>
              <w:rPr>
                <w:sz w:val="16"/>
                <w:szCs w:val="16"/>
                <w:lang w:val="es-ES_tradnl"/>
              </w:rPr>
            </w:pPr>
          </w:p>
        </w:tc>
        <w:tc>
          <w:tcPr>
            <w:tcW w:w="557" w:type="pct"/>
            <w:shd w:val="clear" w:color="auto" w:fill="auto"/>
            <w:tcMar>
              <w:top w:w="110" w:type="dxa"/>
            </w:tcMar>
          </w:tcPr>
          <w:p w:rsidR="00B070BF" w:rsidRPr="009577DE" w:rsidRDefault="00B070BF" w:rsidP="00C33D4A">
            <w:pPr>
              <w:widowControl w:val="0"/>
              <w:jc w:val="center"/>
              <w:rPr>
                <w:b/>
                <w:sz w:val="16"/>
                <w:szCs w:val="16"/>
                <w:lang w:val="es-ES_tradnl"/>
              </w:rPr>
            </w:pPr>
            <w:r w:rsidRPr="009577DE">
              <w:rPr>
                <w:b/>
                <w:color w:val="008000"/>
                <w:sz w:val="16"/>
                <w:szCs w:val="16"/>
                <w:lang w:val="es-ES_tradnl"/>
              </w:rPr>
              <w:t>Progresa con normalidad</w:t>
            </w:r>
          </w:p>
          <w:p w:rsidR="00B070BF" w:rsidRPr="009577DE" w:rsidRDefault="00B070BF" w:rsidP="00C33D4A">
            <w:pPr>
              <w:widowControl w:val="0"/>
              <w:jc w:val="center"/>
              <w:rPr>
                <w:bCs/>
                <w:sz w:val="16"/>
                <w:szCs w:val="16"/>
                <w:lang w:val="es-ES_tradnl"/>
              </w:rPr>
            </w:pPr>
          </w:p>
          <w:p w:rsidR="00B070BF" w:rsidRPr="009577DE" w:rsidRDefault="00B070BF" w:rsidP="00C33D4A">
            <w:pPr>
              <w:widowControl w:val="0"/>
              <w:jc w:val="center"/>
              <w:rPr>
                <w:bCs/>
                <w:sz w:val="16"/>
                <w:szCs w:val="16"/>
                <w:lang w:val="es-ES_tradnl"/>
              </w:rPr>
            </w:pPr>
          </w:p>
        </w:tc>
      </w:tr>
      <w:tr w:rsidR="00B070BF" w:rsidRPr="009577DE" w:rsidTr="00C33D4A">
        <w:trPr>
          <w:cantSplit/>
        </w:trPr>
        <w:tc>
          <w:tcPr>
            <w:tcW w:w="874" w:type="pct"/>
            <w:shd w:val="clear" w:color="auto" w:fill="auto"/>
          </w:tcPr>
          <w:p w:rsidR="00B070BF" w:rsidRPr="009577DE" w:rsidRDefault="00B070BF" w:rsidP="00C33D4A">
            <w:pPr>
              <w:widowControl w:val="0"/>
              <w:rPr>
                <w:sz w:val="16"/>
                <w:szCs w:val="16"/>
                <w:lang w:val="es-ES_tradnl"/>
              </w:rPr>
            </w:pPr>
            <w:r w:rsidRPr="009577DE">
              <w:rPr>
                <w:sz w:val="16"/>
                <w:szCs w:val="16"/>
                <w:lang w:val="es-ES_tradnl"/>
              </w:rPr>
              <w:t>Duración del proceso de contratación.</w:t>
            </w:r>
          </w:p>
        </w:tc>
        <w:tc>
          <w:tcPr>
            <w:tcW w:w="805" w:type="pct"/>
            <w:shd w:val="clear" w:color="auto" w:fill="C0C0C0"/>
          </w:tcPr>
          <w:p w:rsidR="00B070BF" w:rsidRPr="009577DE" w:rsidRDefault="00B070BF" w:rsidP="00C33D4A">
            <w:pPr>
              <w:widowControl w:val="0"/>
              <w:ind w:left="89"/>
              <w:rPr>
                <w:sz w:val="16"/>
                <w:szCs w:val="16"/>
                <w:lang w:val="es-ES_tradnl"/>
              </w:rPr>
            </w:pPr>
            <w:r w:rsidRPr="009577DE">
              <w:rPr>
                <w:sz w:val="16"/>
                <w:szCs w:val="16"/>
                <w:lang w:val="es-ES_tradnl"/>
              </w:rPr>
              <w:t>24 semanas.</w:t>
            </w:r>
          </w:p>
          <w:p w:rsidR="00B070BF" w:rsidRPr="009577DE" w:rsidRDefault="00B070BF" w:rsidP="00C33D4A">
            <w:pPr>
              <w:widowControl w:val="0"/>
              <w:ind w:left="89"/>
              <w:rPr>
                <w:sz w:val="16"/>
                <w:szCs w:val="16"/>
                <w:lang w:val="es-ES_tradnl"/>
              </w:rPr>
            </w:pPr>
          </w:p>
        </w:tc>
        <w:tc>
          <w:tcPr>
            <w:tcW w:w="916" w:type="pct"/>
            <w:shd w:val="clear" w:color="auto" w:fill="auto"/>
            <w:tcMar>
              <w:top w:w="110" w:type="dxa"/>
            </w:tcMar>
          </w:tcPr>
          <w:p w:rsidR="00B070BF" w:rsidRPr="00F2661C" w:rsidRDefault="00B070BF" w:rsidP="00C33D4A">
            <w:pPr>
              <w:widowControl w:val="0"/>
              <w:rPr>
                <w:color w:val="993300"/>
                <w:sz w:val="16"/>
                <w:szCs w:val="16"/>
                <w:lang w:val="es-ES_tradnl"/>
              </w:rPr>
            </w:pPr>
            <w:r w:rsidRPr="00F2661C">
              <w:rPr>
                <w:color w:val="993300"/>
                <w:sz w:val="16"/>
                <w:szCs w:val="16"/>
                <w:lang w:val="es-ES_tradnl"/>
              </w:rPr>
              <w:t>37,7 semanas</w:t>
            </w:r>
          </w:p>
        </w:tc>
        <w:tc>
          <w:tcPr>
            <w:tcW w:w="1848" w:type="pct"/>
            <w:shd w:val="clear" w:color="auto" w:fill="FFFFFF"/>
            <w:tcMar>
              <w:top w:w="110" w:type="dxa"/>
            </w:tcMar>
          </w:tcPr>
          <w:p w:rsidR="00B070BF" w:rsidRPr="009577DE" w:rsidRDefault="00B070BF" w:rsidP="00C33D4A">
            <w:pPr>
              <w:widowControl w:val="0"/>
              <w:rPr>
                <w:sz w:val="16"/>
                <w:szCs w:val="16"/>
                <w:lang w:val="es-ES_tradnl"/>
              </w:rPr>
            </w:pPr>
            <w:r w:rsidRPr="009577DE">
              <w:rPr>
                <w:sz w:val="16"/>
                <w:szCs w:val="16"/>
                <w:lang w:val="es-ES_tradnl"/>
              </w:rPr>
              <w:t>16,5 semanas</w:t>
            </w:r>
          </w:p>
          <w:p w:rsidR="00B070BF" w:rsidRPr="009577DE" w:rsidRDefault="00B070BF" w:rsidP="00C33D4A">
            <w:pPr>
              <w:widowControl w:val="0"/>
              <w:rPr>
                <w:sz w:val="16"/>
                <w:szCs w:val="16"/>
                <w:lang w:val="es-ES_tradnl"/>
              </w:rPr>
            </w:pPr>
          </w:p>
        </w:tc>
        <w:tc>
          <w:tcPr>
            <w:tcW w:w="557" w:type="pct"/>
            <w:shd w:val="clear" w:color="auto" w:fill="auto"/>
            <w:tcMar>
              <w:top w:w="110" w:type="dxa"/>
            </w:tcMar>
          </w:tcPr>
          <w:p w:rsidR="00B070BF" w:rsidRPr="009577DE" w:rsidRDefault="00B070BF" w:rsidP="00C33D4A">
            <w:pPr>
              <w:widowControl w:val="0"/>
              <w:jc w:val="center"/>
              <w:rPr>
                <w:bCs/>
                <w:sz w:val="16"/>
                <w:szCs w:val="16"/>
                <w:lang w:val="es-ES_tradnl"/>
              </w:rPr>
            </w:pPr>
            <w:r w:rsidRPr="009577DE">
              <w:rPr>
                <w:b/>
                <w:color w:val="008000"/>
                <w:sz w:val="16"/>
                <w:szCs w:val="16"/>
                <w:lang w:val="es-ES_tradnl"/>
              </w:rPr>
              <w:t>Progresa con normalidad</w:t>
            </w:r>
          </w:p>
        </w:tc>
      </w:tr>
      <w:tr w:rsidR="00B070BF" w:rsidRPr="009577DE" w:rsidTr="00C33D4A">
        <w:trPr>
          <w:cantSplit/>
        </w:trPr>
        <w:tc>
          <w:tcPr>
            <w:tcW w:w="874" w:type="pct"/>
            <w:shd w:val="clear" w:color="auto" w:fill="auto"/>
          </w:tcPr>
          <w:p w:rsidR="00B070BF" w:rsidRPr="009577DE" w:rsidRDefault="00B070BF" w:rsidP="00C33D4A">
            <w:pPr>
              <w:widowControl w:val="0"/>
              <w:rPr>
                <w:sz w:val="16"/>
                <w:szCs w:val="16"/>
                <w:lang w:val="es-ES_tradnl"/>
              </w:rPr>
            </w:pPr>
            <w:r w:rsidRPr="009577DE">
              <w:rPr>
                <w:sz w:val="16"/>
                <w:szCs w:val="16"/>
                <w:lang w:val="es-ES_tradnl"/>
              </w:rPr>
              <w:t>Porcentaje de la masa salarial total que participa en actividades de perfeccionamiento del personal.</w:t>
            </w:r>
          </w:p>
        </w:tc>
        <w:tc>
          <w:tcPr>
            <w:tcW w:w="805" w:type="pct"/>
            <w:shd w:val="clear" w:color="auto" w:fill="C0C0C0"/>
          </w:tcPr>
          <w:p w:rsidR="00B070BF" w:rsidRPr="009577DE" w:rsidRDefault="00B070BF" w:rsidP="00C33D4A">
            <w:pPr>
              <w:widowControl w:val="0"/>
              <w:ind w:left="89"/>
              <w:rPr>
                <w:sz w:val="16"/>
                <w:szCs w:val="16"/>
                <w:lang w:val="es-ES_tradnl"/>
              </w:rPr>
            </w:pPr>
            <w:r w:rsidRPr="009577DE">
              <w:rPr>
                <w:sz w:val="16"/>
                <w:szCs w:val="16"/>
                <w:lang w:val="es-ES_tradnl"/>
              </w:rPr>
              <w:t>0,44% (enero de 2011, Departamento de Gestión de Recursos Humanos)</w:t>
            </w:r>
          </w:p>
        </w:tc>
        <w:tc>
          <w:tcPr>
            <w:tcW w:w="916" w:type="pct"/>
            <w:shd w:val="clear" w:color="auto" w:fill="auto"/>
            <w:tcMar>
              <w:top w:w="110" w:type="dxa"/>
            </w:tcMar>
          </w:tcPr>
          <w:p w:rsidR="00B070BF" w:rsidRPr="00F2661C" w:rsidRDefault="00B070BF" w:rsidP="00C33D4A">
            <w:pPr>
              <w:widowControl w:val="0"/>
              <w:rPr>
                <w:color w:val="993300"/>
                <w:sz w:val="16"/>
                <w:szCs w:val="16"/>
                <w:lang w:val="es-ES_tradnl"/>
              </w:rPr>
            </w:pPr>
            <w:r w:rsidRPr="00F2661C">
              <w:rPr>
                <w:color w:val="993300"/>
                <w:sz w:val="16"/>
                <w:szCs w:val="16"/>
                <w:lang w:val="es-ES_tradnl"/>
              </w:rPr>
              <w:t xml:space="preserve">0,46% (Departamento de Gestión de Recursos Humanos) </w:t>
            </w:r>
          </w:p>
          <w:p w:rsidR="00B070BF" w:rsidRPr="00F2661C" w:rsidRDefault="00B070BF" w:rsidP="00C33D4A">
            <w:pPr>
              <w:widowControl w:val="0"/>
              <w:rPr>
                <w:color w:val="993300"/>
                <w:sz w:val="16"/>
                <w:szCs w:val="16"/>
                <w:lang w:val="es-ES_tradnl"/>
              </w:rPr>
            </w:pPr>
          </w:p>
        </w:tc>
        <w:tc>
          <w:tcPr>
            <w:tcW w:w="1848" w:type="pct"/>
            <w:shd w:val="clear" w:color="auto" w:fill="FFFFFF"/>
            <w:tcMar>
              <w:top w:w="110" w:type="dxa"/>
            </w:tcMar>
          </w:tcPr>
          <w:p w:rsidR="00B070BF" w:rsidRPr="009577DE" w:rsidRDefault="00B070BF" w:rsidP="00C33D4A">
            <w:pPr>
              <w:widowControl w:val="0"/>
              <w:rPr>
                <w:sz w:val="16"/>
                <w:szCs w:val="16"/>
                <w:lang w:val="es-ES_tradnl"/>
              </w:rPr>
            </w:pPr>
            <w:r w:rsidRPr="009577DE">
              <w:rPr>
                <w:sz w:val="16"/>
                <w:szCs w:val="16"/>
                <w:lang w:val="es-ES_tradnl"/>
              </w:rPr>
              <w:t>2012:  0,43 (Departamento de Gestión de Recursos Humanos)</w:t>
            </w:r>
          </w:p>
          <w:p w:rsidR="00B070BF" w:rsidRPr="009577DE" w:rsidRDefault="00B070BF" w:rsidP="00C33D4A">
            <w:pPr>
              <w:widowControl w:val="0"/>
              <w:rPr>
                <w:sz w:val="16"/>
                <w:szCs w:val="16"/>
                <w:lang w:val="es-ES_tradnl"/>
              </w:rPr>
            </w:pPr>
            <w:r w:rsidRPr="009577DE">
              <w:rPr>
                <w:sz w:val="16"/>
                <w:szCs w:val="16"/>
                <w:lang w:val="es-ES_tradnl"/>
              </w:rPr>
              <w:t>2012:  0,74% (Departamento de Gestión de Recursos Humanos y actividades de formación financiadas en el marco de las TIC, la PRI y el programa de alineación estratégica).  En estas cifras no se tienen en cuenta la formación impartida por formadores internos.</w:t>
            </w:r>
          </w:p>
          <w:p w:rsidR="00B070BF" w:rsidRPr="009577DE" w:rsidRDefault="00B070BF" w:rsidP="00C33D4A">
            <w:pPr>
              <w:widowControl w:val="0"/>
              <w:rPr>
                <w:sz w:val="16"/>
                <w:szCs w:val="16"/>
                <w:lang w:val="es-ES_tradnl"/>
              </w:rPr>
            </w:pPr>
          </w:p>
          <w:p w:rsidR="00B070BF" w:rsidRPr="009577DE" w:rsidRDefault="00B070BF" w:rsidP="00C33D4A">
            <w:pPr>
              <w:widowControl w:val="0"/>
              <w:rPr>
                <w:sz w:val="16"/>
                <w:szCs w:val="16"/>
                <w:lang w:val="es-ES_tradnl"/>
              </w:rPr>
            </w:pPr>
            <w:r w:rsidRPr="009577DE">
              <w:rPr>
                <w:sz w:val="16"/>
                <w:szCs w:val="16"/>
                <w:lang w:val="es-ES_tradnl"/>
              </w:rPr>
              <w:t xml:space="preserve"> </w:t>
            </w:r>
          </w:p>
        </w:tc>
        <w:tc>
          <w:tcPr>
            <w:tcW w:w="557" w:type="pct"/>
            <w:shd w:val="clear" w:color="auto" w:fill="auto"/>
            <w:tcMar>
              <w:top w:w="110" w:type="dxa"/>
            </w:tcMar>
          </w:tcPr>
          <w:p w:rsidR="00B070BF" w:rsidRPr="009577DE" w:rsidRDefault="00B070BF" w:rsidP="00C33D4A">
            <w:pPr>
              <w:widowControl w:val="0"/>
              <w:jc w:val="center"/>
              <w:rPr>
                <w:bCs/>
                <w:sz w:val="16"/>
                <w:szCs w:val="16"/>
                <w:lang w:val="es-ES_tradnl"/>
              </w:rPr>
            </w:pPr>
            <w:r w:rsidRPr="009577DE">
              <w:rPr>
                <w:b/>
                <w:color w:val="008000"/>
                <w:sz w:val="16"/>
                <w:szCs w:val="16"/>
                <w:lang w:val="es-ES_tradnl"/>
              </w:rPr>
              <w:t>Progresa con normalidad</w:t>
            </w:r>
          </w:p>
        </w:tc>
      </w:tr>
      <w:tr w:rsidR="00B070BF" w:rsidRPr="009577DE" w:rsidTr="00C33D4A">
        <w:trPr>
          <w:cantSplit/>
        </w:trPr>
        <w:tc>
          <w:tcPr>
            <w:tcW w:w="874" w:type="pct"/>
            <w:shd w:val="clear" w:color="auto" w:fill="auto"/>
          </w:tcPr>
          <w:p w:rsidR="00B070BF" w:rsidRPr="009577DE" w:rsidRDefault="00B070BF" w:rsidP="00C33D4A">
            <w:pPr>
              <w:widowControl w:val="0"/>
              <w:rPr>
                <w:sz w:val="16"/>
                <w:szCs w:val="16"/>
                <w:lang w:val="es-ES_tradnl"/>
              </w:rPr>
            </w:pPr>
            <w:r w:rsidRPr="009577DE">
              <w:rPr>
                <w:sz w:val="16"/>
                <w:szCs w:val="16"/>
                <w:lang w:val="es-ES_tradnl"/>
              </w:rPr>
              <w:lastRenderedPageBreak/>
              <w:t>Diversidad geográfica - Porcentaje de Estados miembros representados.</w:t>
            </w:r>
          </w:p>
          <w:p w:rsidR="00B070BF" w:rsidRPr="009577DE" w:rsidRDefault="00B070BF" w:rsidP="00C33D4A">
            <w:pPr>
              <w:widowControl w:val="0"/>
              <w:rPr>
                <w:sz w:val="16"/>
                <w:szCs w:val="16"/>
                <w:lang w:val="es-ES_tradnl"/>
              </w:rPr>
            </w:pPr>
          </w:p>
        </w:tc>
        <w:tc>
          <w:tcPr>
            <w:tcW w:w="805" w:type="pct"/>
            <w:shd w:val="clear" w:color="auto" w:fill="C0C0C0"/>
          </w:tcPr>
          <w:p w:rsidR="00B070BF" w:rsidRPr="009577DE" w:rsidRDefault="00B070BF" w:rsidP="00C33D4A">
            <w:pPr>
              <w:widowControl w:val="0"/>
              <w:ind w:left="89"/>
              <w:rPr>
                <w:sz w:val="16"/>
                <w:szCs w:val="16"/>
                <w:lang w:val="es-ES_tradnl"/>
              </w:rPr>
            </w:pPr>
            <w:r w:rsidRPr="009577DE">
              <w:rPr>
                <w:sz w:val="16"/>
                <w:szCs w:val="16"/>
                <w:lang w:val="es-ES_tradnl"/>
              </w:rPr>
              <w:t>56,70%</w:t>
            </w:r>
          </w:p>
        </w:tc>
        <w:tc>
          <w:tcPr>
            <w:tcW w:w="916" w:type="pct"/>
            <w:shd w:val="clear" w:color="auto" w:fill="auto"/>
            <w:tcMar>
              <w:top w:w="110" w:type="dxa"/>
            </w:tcMar>
          </w:tcPr>
          <w:p w:rsidR="00B070BF" w:rsidRPr="00F2661C" w:rsidRDefault="00B070BF" w:rsidP="00C33D4A">
            <w:pPr>
              <w:widowControl w:val="0"/>
              <w:rPr>
                <w:color w:val="993300"/>
                <w:sz w:val="16"/>
                <w:szCs w:val="16"/>
                <w:lang w:val="es-ES_tradnl"/>
              </w:rPr>
            </w:pPr>
            <w:r w:rsidRPr="00F2661C">
              <w:rPr>
                <w:color w:val="993300"/>
                <w:sz w:val="16"/>
                <w:szCs w:val="16"/>
                <w:lang w:val="es-ES_tradnl"/>
              </w:rPr>
              <w:t>57,8%</w:t>
            </w:r>
          </w:p>
        </w:tc>
        <w:tc>
          <w:tcPr>
            <w:tcW w:w="1848" w:type="pct"/>
            <w:shd w:val="clear" w:color="auto" w:fill="FFFFFF"/>
            <w:tcMar>
              <w:top w:w="110" w:type="dxa"/>
            </w:tcMar>
          </w:tcPr>
          <w:p w:rsidR="00B070BF" w:rsidRPr="009577DE" w:rsidRDefault="00B070BF" w:rsidP="00C33D4A">
            <w:pPr>
              <w:widowControl w:val="0"/>
              <w:rPr>
                <w:sz w:val="16"/>
                <w:szCs w:val="16"/>
                <w:lang w:val="es-ES_tradnl"/>
              </w:rPr>
            </w:pPr>
            <w:r w:rsidRPr="009577DE">
              <w:rPr>
                <w:sz w:val="16"/>
                <w:szCs w:val="16"/>
                <w:lang w:val="es-ES_tradnl"/>
              </w:rPr>
              <w:t xml:space="preserve">La diversidad geográfica ha aumentado 1,1 puntos porcentuales. </w:t>
            </w:r>
          </w:p>
          <w:p w:rsidR="00B070BF" w:rsidRPr="009577DE" w:rsidRDefault="00B070BF" w:rsidP="00C33D4A">
            <w:pPr>
              <w:widowControl w:val="0"/>
              <w:rPr>
                <w:sz w:val="16"/>
                <w:szCs w:val="16"/>
                <w:lang w:val="es-ES_tradnl"/>
              </w:rPr>
            </w:pPr>
          </w:p>
          <w:p w:rsidR="00B070BF" w:rsidRPr="009577DE" w:rsidRDefault="00B070BF" w:rsidP="00C33D4A">
            <w:pPr>
              <w:widowControl w:val="0"/>
              <w:rPr>
                <w:sz w:val="16"/>
                <w:szCs w:val="16"/>
                <w:lang w:val="es-ES_tradnl"/>
              </w:rPr>
            </w:pPr>
          </w:p>
        </w:tc>
        <w:tc>
          <w:tcPr>
            <w:tcW w:w="557" w:type="pct"/>
            <w:shd w:val="clear" w:color="auto" w:fill="auto"/>
            <w:tcMar>
              <w:top w:w="110" w:type="dxa"/>
            </w:tcMar>
          </w:tcPr>
          <w:p w:rsidR="00B070BF" w:rsidRPr="009577DE" w:rsidRDefault="00B070BF" w:rsidP="00C33D4A">
            <w:pPr>
              <w:widowControl w:val="0"/>
              <w:jc w:val="center"/>
              <w:rPr>
                <w:bCs/>
                <w:sz w:val="16"/>
                <w:szCs w:val="16"/>
                <w:lang w:val="es-ES_tradnl"/>
              </w:rPr>
            </w:pPr>
            <w:r w:rsidRPr="009577DE">
              <w:rPr>
                <w:b/>
                <w:color w:val="008000"/>
                <w:sz w:val="16"/>
                <w:szCs w:val="16"/>
                <w:lang w:val="es-ES_tradnl"/>
              </w:rPr>
              <w:t>Progresa con normalidad</w:t>
            </w:r>
          </w:p>
        </w:tc>
      </w:tr>
      <w:tr w:rsidR="00B070BF" w:rsidRPr="009577DE" w:rsidTr="00C33D4A">
        <w:trPr>
          <w:cantSplit/>
        </w:trPr>
        <w:tc>
          <w:tcPr>
            <w:tcW w:w="874" w:type="pct"/>
            <w:shd w:val="clear" w:color="auto" w:fill="auto"/>
          </w:tcPr>
          <w:p w:rsidR="00B070BF" w:rsidRPr="009577DE" w:rsidRDefault="00B070BF" w:rsidP="00C33D4A">
            <w:pPr>
              <w:widowControl w:val="0"/>
              <w:rPr>
                <w:sz w:val="16"/>
                <w:szCs w:val="16"/>
                <w:lang w:val="es-ES_tradnl"/>
              </w:rPr>
            </w:pPr>
            <w:r w:rsidRPr="009577DE">
              <w:rPr>
                <w:sz w:val="16"/>
                <w:szCs w:val="16"/>
                <w:lang w:val="es-ES_tradnl"/>
              </w:rPr>
              <w:t>Porcentaje de mujeres que ocupan puestos profesionales y de categorías superiores.</w:t>
            </w:r>
          </w:p>
        </w:tc>
        <w:tc>
          <w:tcPr>
            <w:tcW w:w="805" w:type="pct"/>
            <w:shd w:val="clear" w:color="auto" w:fill="C0C0C0"/>
          </w:tcPr>
          <w:p w:rsidR="00B070BF" w:rsidRPr="009577DE" w:rsidRDefault="00B070BF" w:rsidP="00C33D4A">
            <w:pPr>
              <w:widowControl w:val="0"/>
              <w:ind w:left="89"/>
              <w:rPr>
                <w:sz w:val="16"/>
                <w:szCs w:val="16"/>
                <w:lang w:val="es-ES_tradnl"/>
              </w:rPr>
            </w:pPr>
            <w:r w:rsidRPr="009577DE">
              <w:rPr>
                <w:sz w:val="16"/>
                <w:szCs w:val="16"/>
                <w:lang w:val="es-ES_tradnl"/>
              </w:rPr>
              <w:t xml:space="preserve">P4 – 44,2% </w:t>
            </w:r>
            <w:r w:rsidRPr="009577DE">
              <w:rPr>
                <w:sz w:val="16"/>
                <w:szCs w:val="16"/>
                <w:lang w:val="es-ES_tradnl"/>
              </w:rPr>
              <w:br/>
              <w:t>P5 – 30,9%</w:t>
            </w:r>
            <w:r w:rsidRPr="009577DE">
              <w:rPr>
                <w:sz w:val="16"/>
                <w:szCs w:val="16"/>
                <w:lang w:val="es-ES_tradnl"/>
              </w:rPr>
              <w:br/>
              <w:t>D1 – 12,1%</w:t>
            </w:r>
            <w:r w:rsidRPr="009577DE">
              <w:rPr>
                <w:sz w:val="16"/>
                <w:szCs w:val="16"/>
                <w:lang w:val="es-ES_tradnl"/>
              </w:rPr>
              <w:br/>
              <w:t>D2 – 9,1%</w:t>
            </w:r>
          </w:p>
        </w:tc>
        <w:tc>
          <w:tcPr>
            <w:tcW w:w="916" w:type="pct"/>
            <w:shd w:val="clear" w:color="auto" w:fill="auto"/>
            <w:tcMar>
              <w:top w:w="110" w:type="dxa"/>
            </w:tcMar>
          </w:tcPr>
          <w:p w:rsidR="00B070BF" w:rsidRPr="00F2661C" w:rsidRDefault="00B070BF" w:rsidP="00C33D4A">
            <w:pPr>
              <w:widowControl w:val="0"/>
              <w:rPr>
                <w:color w:val="993300"/>
                <w:sz w:val="16"/>
                <w:szCs w:val="16"/>
                <w:lang w:val="es-ES_tradnl"/>
              </w:rPr>
            </w:pPr>
            <w:r w:rsidRPr="00F2661C">
              <w:rPr>
                <w:color w:val="993300"/>
                <w:sz w:val="16"/>
                <w:szCs w:val="16"/>
                <w:lang w:val="es-ES_tradnl"/>
              </w:rPr>
              <w:t xml:space="preserve">P4 – 43,9% </w:t>
            </w:r>
            <w:r w:rsidRPr="00F2661C">
              <w:rPr>
                <w:color w:val="993300"/>
                <w:sz w:val="16"/>
                <w:szCs w:val="16"/>
                <w:lang w:val="es-ES_tradnl"/>
              </w:rPr>
              <w:br/>
              <w:t>P5 – 31,9%</w:t>
            </w:r>
            <w:r w:rsidRPr="00F2661C">
              <w:rPr>
                <w:color w:val="993300"/>
                <w:sz w:val="16"/>
                <w:szCs w:val="16"/>
                <w:lang w:val="es-ES_tradnl"/>
              </w:rPr>
              <w:br/>
              <w:t>D1 – 14,6%</w:t>
            </w:r>
            <w:r w:rsidRPr="00F2661C">
              <w:rPr>
                <w:color w:val="993300"/>
                <w:sz w:val="16"/>
                <w:szCs w:val="16"/>
                <w:lang w:val="es-ES_tradnl"/>
              </w:rPr>
              <w:br/>
              <w:t>D2 – 25,0%</w:t>
            </w:r>
          </w:p>
        </w:tc>
        <w:tc>
          <w:tcPr>
            <w:tcW w:w="1848" w:type="pct"/>
            <w:shd w:val="clear" w:color="auto" w:fill="FFFFFF"/>
            <w:tcMar>
              <w:top w:w="110" w:type="dxa"/>
            </w:tcMar>
          </w:tcPr>
          <w:p w:rsidR="00B070BF" w:rsidRPr="009577DE" w:rsidRDefault="00B070BF" w:rsidP="00C33D4A">
            <w:pPr>
              <w:widowControl w:val="0"/>
              <w:rPr>
                <w:sz w:val="18"/>
                <w:lang w:val="es-ES_tradnl"/>
              </w:rPr>
            </w:pPr>
            <w:r w:rsidRPr="009577DE">
              <w:rPr>
                <w:sz w:val="16"/>
                <w:szCs w:val="16"/>
                <w:lang w:val="es-ES_tradnl"/>
              </w:rPr>
              <w:t xml:space="preserve">P4 – 44,4% </w:t>
            </w:r>
            <w:r w:rsidRPr="009577DE">
              <w:rPr>
                <w:sz w:val="16"/>
                <w:szCs w:val="16"/>
                <w:lang w:val="es-ES_tradnl"/>
              </w:rPr>
              <w:br/>
              <w:t>P5 – 30,3%</w:t>
            </w:r>
            <w:r w:rsidRPr="009577DE">
              <w:rPr>
                <w:sz w:val="16"/>
                <w:szCs w:val="16"/>
                <w:lang w:val="es-ES_tradnl"/>
              </w:rPr>
              <w:br/>
              <w:t>D1 – 24,4%</w:t>
            </w:r>
            <w:r w:rsidRPr="009577DE">
              <w:rPr>
                <w:sz w:val="16"/>
                <w:szCs w:val="16"/>
                <w:lang w:val="es-ES_tradnl"/>
              </w:rPr>
              <w:br/>
              <w:t>D2 – 23,1%</w:t>
            </w:r>
          </w:p>
          <w:p w:rsidR="00B070BF" w:rsidRPr="009577DE" w:rsidRDefault="00B070BF" w:rsidP="00C33D4A">
            <w:pPr>
              <w:widowControl w:val="0"/>
              <w:rPr>
                <w:sz w:val="16"/>
                <w:szCs w:val="16"/>
                <w:lang w:val="es-ES_tradnl"/>
              </w:rPr>
            </w:pPr>
          </w:p>
        </w:tc>
        <w:tc>
          <w:tcPr>
            <w:tcW w:w="557" w:type="pct"/>
            <w:shd w:val="clear" w:color="auto" w:fill="auto"/>
            <w:tcMar>
              <w:top w:w="110" w:type="dxa"/>
            </w:tcMar>
          </w:tcPr>
          <w:p w:rsidR="00B070BF" w:rsidRPr="009577DE" w:rsidRDefault="00B070BF" w:rsidP="00C33D4A">
            <w:pPr>
              <w:widowControl w:val="0"/>
              <w:jc w:val="center"/>
              <w:rPr>
                <w:b/>
                <w:sz w:val="16"/>
                <w:szCs w:val="16"/>
                <w:lang w:val="es-ES_tradnl"/>
              </w:rPr>
            </w:pPr>
            <w:r w:rsidRPr="009577DE">
              <w:rPr>
                <w:b/>
                <w:color w:val="FF0000"/>
                <w:sz w:val="16"/>
                <w:szCs w:val="16"/>
                <w:lang w:val="es-ES_tradnl"/>
              </w:rPr>
              <w:t>Sin avances significativos</w:t>
            </w:r>
          </w:p>
          <w:p w:rsidR="00B070BF" w:rsidRPr="009577DE" w:rsidRDefault="00B070BF" w:rsidP="00C33D4A">
            <w:pPr>
              <w:widowControl w:val="0"/>
              <w:jc w:val="center"/>
              <w:rPr>
                <w:bCs/>
                <w:sz w:val="16"/>
                <w:szCs w:val="16"/>
                <w:lang w:val="es-ES_tradnl"/>
              </w:rPr>
            </w:pPr>
          </w:p>
          <w:p w:rsidR="00B070BF" w:rsidRPr="009577DE" w:rsidRDefault="00B070BF" w:rsidP="00C33D4A">
            <w:pPr>
              <w:widowControl w:val="0"/>
              <w:jc w:val="center"/>
              <w:rPr>
                <w:bCs/>
                <w:sz w:val="16"/>
                <w:szCs w:val="16"/>
                <w:lang w:val="es-ES_tradnl"/>
              </w:rPr>
            </w:pPr>
          </w:p>
        </w:tc>
      </w:tr>
      <w:tr w:rsidR="00B070BF" w:rsidRPr="009577DE" w:rsidTr="00C33D4A">
        <w:trPr>
          <w:cantSplit/>
        </w:trPr>
        <w:tc>
          <w:tcPr>
            <w:tcW w:w="874" w:type="pct"/>
            <w:shd w:val="clear" w:color="auto" w:fill="auto"/>
          </w:tcPr>
          <w:p w:rsidR="00B070BF" w:rsidRPr="009577DE" w:rsidRDefault="00B070BF" w:rsidP="00C33D4A">
            <w:pPr>
              <w:widowControl w:val="0"/>
              <w:rPr>
                <w:sz w:val="16"/>
                <w:szCs w:val="16"/>
                <w:lang w:val="es-ES_tradnl"/>
              </w:rPr>
            </w:pPr>
            <w:r w:rsidRPr="009577DE">
              <w:rPr>
                <w:sz w:val="16"/>
                <w:szCs w:val="16"/>
                <w:lang w:val="es-ES_tradnl"/>
              </w:rPr>
              <w:t>Disminución del ausentismo.</w:t>
            </w:r>
          </w:p>
        </w:tc>
        <w:tc>
          <w:tcPr>
            <w:tcW w:w="805" w:type="pct"/>
            <w:shd w:val="clear" w:color="auto" w:fill="C0C0C0"/>
          </w:tcPr>
          <w:p w:rsidR="00B070BF" w:rsidRPr="009577DE" w:rsidRDefault="00B070BF" w:rsidP="00C33D4A">
            <w:pPr>
              <w:widowControl w:val="0"/>
              <w:rPr>
                <w:sz w:val="16"/>
                <w:szCs w:val="16"/>
                <w:lang w:val="es-ES_tradnl"/>
              </w:rPr>
            </w:pPr>
            <w:r w:rsidRPr="009577DE">
              <w:rPr>
                <w:sz w:val="16"/>
                <w:szCs w:val="16"/>
                <w:lang w:val="es-ES_tradnl"/>
              </w:rPr>
              <w:t>Promedio de días de ausencia por enfermedad: 9,6.</w:t>
            </w:r>
          </w:p>
        </w:tc>
        <w:tc>
          <w:tcPr>
            <w:tcW w:w="916" w:type="pct"/>
            <w:shd w:val="clear" w:color="auto" w:fill="auto"/>
            <w:tcMar>
              <w:top w:w="110" w:type="dxa"/>
            </w:tcMar>
          </w:tcPr>
          <w:p w:rsidR="00B070BF" w:rsidRPr="00F2661C" w:rsidRDefault="00B070BF" w:rsidP="00C33D4A">
            <w:pPr>
              <w:widowControl w:val="0"/>
              <w:rPr>
                <w:color w:val="993300"/>
                <w:sz w:val="16"/>
                <w:szCs w:val="16"/>
                <w:lang w:val="es-ES_tradnl"/>
              </w:rPr>
            </w:pPr>
            <w:r w:rsidRPr="00F2661C">
              <w:rPr>
                <w:color w:val="993300"/>
                <w:sz w:val="16"/>
                <w:szCs w:val="16"/>
                <w:lang w:val="es-ES_tradnl"/>
              </w:rPr>
              <w:t>11,3</w:t>
            </w:r>
          </w:p>
        </w:tc>
        <w:tc>
          <w:tcPr>
            <w:tcW w:w="1848" w:type="pct"/>
            <w:shd w:val="clear" w:color="auto" w:fill="FFFFFF"/>
            <w:tcMar>
              <w:top w:w="110" w:type="dxa"/>
            </w:tcMar>
          </w:tcPr>
          <w:p w:rsidR="00B070BF" w:rsidRPr="009577DE" w:rsidRDefault="00B070BF" w:rsidP="00C33D4A">
            <w:pPr>
              <w:widowControl w:val="0"/>
              <w:rPr>
                <w:sz w:val="16"/>
                <w:szCs w:val="16"/>
                <w:lang w:val="es-ES_tradnl"/>
              </w:rPr>
            </w:pPr>
            <w:r w:rsidRPr="009577DE">
              <w:rPr>
                <w:sz w:val="16"/>
                <w:szCs w:val="16"/>
                <w:lang w:val="es-ES_tradnl"/>
              </w:rPr>
              <w:t>9,07</w:t>
            </w:r>
          </w:p>
          <w:p w:rsidR="00B070BF" w:rsidRPr="009577DE" w:rsidRDefault="00B070BF" w:rsidP="00C33D4A">
            <w:pPr>
              <w:widowControl w:val="0"/>
              <w:rPr>
                <w:sz w:val="16"/>
                <w:szCs w:val="16"/>
                <w:lang w:val="es-ES_tradnl"/>
              </w:rPr>
            </w:pPr>
          </w:p>
          <w:p w:rsidR="00B070BF" w:rsidRPr="009577DE" w:rsidRDefault="00B070BF" w:rsidP="00C33D4A">
            <w:pPr>
              <w:widowControl w:val="0"/>
              <w:rPr>
                <w:sz w:val="16"/>
                <w:szCs w:val="16"/>
                <w:lang w:val="es-ES_tradnl"/>
              </w:rPr>
            </w:pPr>
          </w:p>
          <w:p w:rsidR="00B070BF" w:rsidRPr="009577DE" w:rsidRDefault="00B070BF" w:rsidP="00C33D4A">
            <w:pPr>
              <w:widowControl w:val="0"/>
              <w:rPr>
                <w:sz w:val="16"/>
                <w:szCs w:val="16"/>
                <w:lang w:val="es-ES_tradnl"/>
              </w:rPr>
            </w:pPr>
          </w:p>
        </w:tc>
        <w:tc>
          <w:tcPr>
            <w:tcW w:w="557" w:type="pct"/>
            <w:shd w:val="clear" w:color="auto" w:fill="auto"/>
            <w:tcMar>
              <w:top w:w="110" w:type="dxa"/>
            </w:tcMar>
          </w:tcPr>
          <w:p w:rsidR="00B070BF" w:rsidRPr="009577DE" w:rsidRDefault="00B070BF" w:rsidP="00C33D4A">
            <w:pPr>
              <w:widowControl w:val="0"/>
              <w:jc w:val="center"/>
              <w:rPr>
                <w:b/>
                <w:sz w:val="16"/>
                <w:szCs w:val="16"/>
                <w:lang w:val="es-ES_tradnl"/>
              </w:rPr>
            </w:pPr>
            <w:r w:rsidRPr="009577DE">
              <w:rPr>
                <w:b/>
                <w:color w:val="FF0000"/>
                <w:sz w:val="16"/>
                <w:szCs w:val="16"/>
                <w:lang w:val="es-ES_tradnl"/>
              </w:rPr>
              <w:t>Sin avances significativos</w:t>
            </w:r>
          </w:p>
          <w:p w:rsidR="00B070BF" w:rsidRPr="009577DE" w:rsidRDefault="00B070BF" w:rsidP="00C33D4A">
            <w:pPr>
              <w:widowControl w:val="0"/>
              <w:jc w:val="center"/>
              <w:rPr>
                <w:b/>
                <w:sz w:val="16"/>
                <w:szCs w:val="16"/>
                <w:lang w:val="es-ES_tradnl"/>
              </w:rPr>
            </w:pPr>
          </w:p>
          <w:p w:rsidR="00B070BF" w:rsidRPr="009577DE" w:rsidRDefault="00B070BF" w:rsidP="00C33D4A">
            <w:pPr>
              <w:widowControl w:val="0"/>
              <w:jc w:val="center"/>
              <w:rPr>
                <w:bCs/>
                <w:sz w:val="16"/>
                <w:szCs w:val="16"/>
                <w:lang w:val="es-ES_tradnl"/>
              </w:rPr>
            </w:pPr>
          </w:p>
        </w:tc>
      </w:tr>
      <w:tr w:rsidR="00B070BF" w:rsidRPr="009577DE" w:rsidTr="00C33D4A">
        <w:trPr>
          <w:cantSplit/>
        </w:trPr>
        <w:tc>
          <w:tcPr>
            <w:tcW w:w="874" w:type="pct"/>
            <w:shd w:val="clear" w:color="auto" w:fill="auto"/>
          </w:tcPr>
          <w:p w:rsidR="00B070BF" w:rsidRPr="009577DE" w:rsidRDefault="00B070BF" w:rsidP="00C33D4A">
            <w:pPr>
              <w:widowControl w:val="0"/>
              <w:rPr>
                <w:sz w:val="16"/>
                <w:szCs w:val="16"/>
                <w:lang w:val="es-ES_tradnl"/>
              </w:rPr>
            </w:pPr>
            <w:r w:rsidRPr="009577DE">
              <w:rPr>
                <w:sz w:val="16"/>
                <w:szCs w:val="16"/>
                <w:lang w:val="es-ES_tradnl"/>
              </w:rPr>
              <w:t>Disminución de las reclamaciones.</w:t>
            </w:r>
          </w:p>
        </w:tc>
        <w:tc>
          <w:tcPr>
            <w:tcW w:w="805" w:type="pct"/>
            <w:shd w:val="clear" w:color="auto" w:fill="C0C0C0"/>
          </w:tcPr>
          <w:p w:rsidR="00B070BF" w:rsidRPr="009577DE" w:rsidRDefault="00B070BF" w:rsidP="00C33D4A">
            <w:pPr>
              <w:widowControl w:val="0"/>
              <w:rPr>
                <w:sz w:val="16"/>
                <w:szCs w:val="16"/>
                <w:lang w:val="es-ES_tradnl"/>
              </w:rPr>
            </w:pPr>
            <w:r w:rsidRPr="009577DE">
              <w:rPr>
                <w:sz w:val="16"/>
                <w:szCs w:val="16"/>
                <w:lang w:val="es-ES_tradnl"/>
              </w:rPr>
              <w:t>27 casos.</w:t>
            </w:r>
          </w:p>
        </w:tc>
        <w:tc>
          <w:tcPr>
            <w:tcW w:w="916" w:type="pct"/>
            <w:shd w:val="clear" w:color="auto" w:fill="auto"/>
            <w:tcMar>
              <w:top w:w="110" w:type="dxa"/>
            </w:tcMar>
          </w:tcPr>
          <w:p w:rsidR="00B070BF" w:rsidRPr="00F2661C" w:rsidRDefault="00B070BF" w:rsidP="00C33D4A">
            <w:pPr>
              <w:widowControl w:val="0"/>
              <w:rPr>
                <w:color w:val="993300"/>
                <w:sz w:val="16"/>
                <w:szCs w:val="16"/>
                <w:lang w:val="es-ES_tradnl"/>
              </w:rPr>
            </w:pPr>
            <w:r w:rsidRPr="00F2661C">
              <w:rPr>
                <w:color w:val="993300"/>
                <w:sz w:val="16"/>
                <w:szCs w:val="16"/>
                <w:lang w:val="es-ES_tradnl"/>
              </w:rPr>
              <w:t>Junta de Apelación de la OMPI: 14</w:t>
            </w:r>
          </w:p>
          <w:p w:rsidR="00B070BF" w:rsidRPr="00F2661C" w:rsidRDefault="00B070BF" w:rsidP="00C33D4A">
            <w:pPr>
              <w:widowControl w:val="0"/>
              <w:rPr>
                <w:color w:val="993300"/>
                <w:sz w:val="16"/>
                <w:szCs w:val="16"/>
                <w:lang w:val="es-ES_tradnl"/>
              </w:rPr>
            </w:pPr>
          </w:p>
          <w:p w:rsidR="00B070BF" w:rsidRPr="00F2661C" w:rsidRDefault="00B070BF" w:rsidP="00C33D4A">
            <w:pPr>
              <w:widowControl w:val="0"/>
              <w:rPr>
                <w:color w:val="993300"/>
                <w:sz w:val="16"/>
                <w:szCs w:val="16"/>
                <w:lang w:val="es-ES_tradnl"/>
              </w:rPr>
            </w:pPr>
            <w:r w:rsidRPr="00F2661C">
              <w:rPr>
                <w:color w:val="993300"/>
                <w:sz w:val="16"/>
                <w:szCs w:val="16"/>
                <w:lang w:val="es-ES_tradnl"/>
              </w:rPr>
              <w:t>Tribunal Administrativo de la Organización Internacional del Trabajo: 12</w:t>
            </w:r>
          </w:p>
        </w:tc>
        <w:tc>
          <w:tcPr>
            <w:tcW w:w="1848" w:type="pct"/>
            <w:shd w:val="clear" w:color="auto" w:fill="FFFFFF"/>
            <w:tcMar>
              <w:top w:w="110" w:type="dxa"/>
            </w:tcMar>
          </w:tcPr>
          <w:p w:rsidR="00B070BF" w:rsidRPr="009577DE" w:rsidRDefault="00B070BF" w:rsidP="00C33D4A">
            <w:pPr>
              <w:widowControl w:val="0"/>
              <w:rPr>
                <w:sz w:val="16"/>
                <w:szCs w:val="16"/>
                <w:lang w:val="es-ES_tradnl"/>
              </w:rPr>
            </w:pPr>
            <w:r w:rsidRPr="009577DE">
              <w:rPr>
                <w:sz w:val="16"/>
                <w:szCs w:val="16"/>
                <w:lang w:val="es-ES_tradnl"/>
              </w:rPr>
              <w:t xml:space="preserve">Junta de Apelación de la OMPI:  32      </w:t>
            </w:r>
          </w:p>
          <w:p w:rsidR="00B070BF" w:rsidRPr="009577DE" w:rsidRDefault="00B070BF" w:rsidP="00C33D4A">
            <w:pPr>
              <w:widowControl w:val="0"/>
              <w:rPr>
                <w:sz w:val="16"/>
                <w:szCs w:val="16"/>
                <w:lang w:val="es-ES_tradnl"/>
              </w:rPr>
            </w:pPr>
          </w:p>
          <w:p w:rsidR="00B070BF" w:rsidRPr="009577DE" w:rsidRDefault="00B070BF" w:rsidP="00C33D4A">
            <w:pPr>
              <w:widowControl w:val="0"/>
              <w:rPr>
                <w:sz w:val="16"/>
                <w:szCs w:val="16"/>
                <w:lang w:val="es-ES_tradnl"/>
              </w:rPr>
            </w:pPr>
          </w:p>
          <w:p w:rsidR="00B070BF" w:rsidRPr="009577DE" w:rsidRDefault="00B070BF" w:rsidP="00C33D4A">
            <w:pPr>
              <w:widowControl w:val="0"/>
              <w:rPr>
                <w:sz w:val="16"/>
                <w:szCs w:val="16"/>
                <w:lang w:val="es-ES_tradnl"/>
              </w:rPr>
            </w:pPr>
            <w:r w:rsidRPr="009577DE">
              <w:rPr>
                <w:sz w:val="16"/>
                <w:szCs w:val="16"/>
                <w:lang w:val="es-ES_tradnl"/>
              </w:rPr>
              <w:t>Tribunal Administrativo de la Organización Internacional del Trabajo:  14</w:t>
            </w:r>
          </w:p>
          <w:p w:rsidR="00B070BF" w:rsidRPr="009577DE" w:rsidRDefault="00B070BF" w:rsidP="00C33D4A">
            <w:pPr>
              <w:widowControl w:val="0"/>
              <w:rPr>
                <w:sz w:val="16"/>
                <w:szCs w:val="16"/>
                <w:lang w:val="es-ES_tradnl"/>
              </w:rPr>
            </w:pPr>
          </w:p>
          <w:p w:rsidR="00B070BF" w:rsidRPr="009577DE" w:rsidRDefault="00B070BF" w:rsidP="00C33D4A">
            <w:pPr>
              <w:widowControl w:val="0"/>
              <w:rPr>
                <w:sz w:val="16"/>
                <w:szCs w:val="16"/>
                <w:lang w:val="es-ES_tradnl"/>
              </w:rPr>
            </w:pPr>
            <w:r w:rsidRPr="009577DE">
              <w:rPr>
                <w:sz w:val="16"/>
                <w:szCs w:val="16"/>
                <w:lang w:val="es-ES_tradnl"/>
              </w:rPr>
              <w:t>El aumento del número de reclamaciones se debió fundamentalmente a la reforma de los contratos en el marco de la Estatuto y Reglamento del Personal revisados y la  mayor consolidación del Sistema de gestión del desempeño y perfeccionamiento del personal (PMSDS).</w:t>
            </w:r>
          </w:p>
          <w:p w:rsidR="00B070BF" w:rsidRPr="009577DE" w:rsidRDefault="00B070BF" w:rsidP="00C33D4A">
            <w:pPr>
              <w:widowControl w:val="0"/>
              <w:rPr>
                <w:sz w:val="16"/>
                <w:szCs w:val="16"/>
                <w:lang w:val="es-ES_tradnl"/>
              </w:rPr>
            </w:pPr>
            <w:r w:rsidRPr="009577DE">
              <w:rPr>
                <w:sz w:val="16"/>
                <w:szCs w:val="16"/>
                <w:lang w:val="es-ES_tradnl"/>
              </w:rPr>
              <w:t>.</w:t>
            </w:r>
          </w:p>
          <w:p w:rsidR="00B070BF" w:rsidRPr="009577DE" w:rsidRDefault="00B070BF" w:rsidP="00C33D4A">
            <w:pPr>
              <w:widowControl w:val="0"/>
              <w:rPr>
                <w:sz w:val="16"/>
                <w:szCs w:val="16"/>
                <w:lang w:val="es-ES_tradnl"/>
              </w:rPr>
            </w:pPr>
            <w:r w:rsidRPr="009577DE">
              <w:rPr>
                <w:sz w:val="16"/>
                <w:szCs w:val="16"/>
                <w:lang w:val="es-ES_tradnl"/>
              </w:rPr>
              <w:t xml:space="preserve"> </w:t>
            </w:r>
          </w:p>
        </w:tc>
        <w:tc>
          <w:tcPr>
            <w:tcW w:w="557" w:type="pct"/>
            <w:shd w:val="clear" w:color="auto" w:fill="auto"/>
            <w:tcMar>
              <w:top w:w="110" w:type="dxa"/>
            </w:tcMar>
          </w:tcPr>
          <w:p w:rsidR="00B070BF" w:rsidRPr="009577DE" w:rsidRDefault="00B070BF" w:rsidP="00C33D4A">
            <w:pPr>
              <w:widowControl w:val="0"/>
              <w:jc w:val="center"/>
              <w:rPr>
                <w:b/>
                <w:sz w:val="16"/>
                <w:szCs w:val="16"/>
                <w:lang w:val="es-ES_tradnl"/>
              </w:rPr>
            </w:pPr>
            <w:r w:rsidRPr="009577DE">
              <w:rPr>
                <w:b/>
                <w:color w:val="FF0000"/>
                <w:sz w:val="16"/>
                <w:szCs w:val="16"/>
                <w:lang w:val="es-ES_tradnl"/>
              </w:rPr>
              <w:t>Sin avances significativos</w:t>
            </w:r>
          </w:p>
          <w:p w:rsidR="00B070BF" w:rsidRPr="009577DE" w:rsidRDefault="00B070BF" w:rsidP="00C33D4A">
            <w:pPr>
              <w:widowControl w:val="0"/>
              <w:jc w:val="center"/>
              <w:rPr>
                <w:bCs/>
                <w:sz w:val="16"/>
                <w:szCs w:val="16"/>
                <w:lang w:val="es-ES_tradnl"/>
              </w:rPr>
            </w:pPr>
          </w:p>
        </w:tc>
      </w:tr>
    </w:tbl>
    <w:p w:rsidR="00B070BF" w:rsidRPr="009577DE" w:rsidRDefault="00B070BF" w:rsidP="00B070BF">
      <w:pPr>
        <w:widowControl w:val="0"/>
        <w:jc w:val="both"/>
        <w:rPr>
          <w:sz w:val="20"/>
          <w:lang w:val="es-ES_tradnl"/>
        </w:rPr>
      </w:pPr>
    </w:p>
    <w:p w:rsidR="00B070BF" w:rsidRPr="009577DE" w:rsidRDefault="00B070BF" w:rsidP="00B070BF">
      <w:pPr>
        <w:widowControl w:val="0"/>
        <w:rPr>
          <w:b/>
          <w:sz w:val="18"/>
          <w:szCs w:val="18"/>
          <w:lang w:val="es-ES_tradnl"/>
        </w:rPr>
      </w:pPr>
    </w:p>
    <w:p w:rsidR="00B070BF" w:rsidRPr="009577DE" w:rsidRDefault="00B070BF" w:rsidP="00B070BF">
      <w:pPr>
        <w:widowControl w:val="0"/>
        <w:rPr>
          <w:sz w:val="20"/>
          <w:lang w:val="es-ES_tradnl"/>
        </w:rPr>
      </w:pPr>
      <w:r w:rsidRPr="009577DE">
        <w:rPr>
          <w:sz w:val="20"/>
          <w:lang w:val="es-ES_tradnl"/>
        </w:rPr>
        <w:t>PRESUPUESTO Y GASTOS REALES</w:t>
      </w:r>
    </w:p>
    <w:p w:rsidR="00B070BF" w:rsidRPr="006964C6" w:rsidRDefault="00B070BF" w:rsidP="00B070BF">
      <w:pPr>
        <w:widowControl w:val="0"/>
        <w:rPr>
          <w:sz w:val="20"/>
          <w:lang w:val="es-ES_tradnl"/>
        </w:rPr>
      </w:pPr>
    </w:p>
    <w:p w:rsidR="00B070BF" w:rsidRPr="006964C6" w:rsidRDefault="00B070BF" w:rsidP="00B070BF">
      <w:pPr>
        <w:widowControl w:val="0"/>
        <w:jc w:val="center"/>
        <w:rPr>
          <w:sz w:val="20"/>
          <w:lang w:val="es-ES_tradnl"/>
        </w:rPr>
      </w:pPr>
      <w:r w:rsidRPr="006964C6">
        <w:rPr>
          <w:sz w:val="20"/>
          <w:lang w:val="es-ES_tradnl"/>
        </w:rPr>
        <w:t>Presupuesto y gastos reales (por resultado)</w:t>
      </w:r>
    </w:p>
    <w:p w:rsidR="00B070BF" w:rsidRPr="009577DE" w:rsidRDefault="00B070BF" w:rsidP="00B070BF">
      <w:pPr>
        <w:widowControl w:val="0"/>
        <w:jc w:val="center"/>
        <w:rPr>
          <w:sz w:val="20"/>
          <w:lang w:val="es-ES_tradnl"/>
        </w:rPr>
      </w:pPr>
      <w:r w:rsidRPr="006964C6">
        <w:rPr>
          <w:i/>
          <w:iCs/>
          <w:sz w:val="20"/>
          <w:lang w:val="es-ES_tradnl"/>
        </w:rPr>
        <w:t>(en miles de francos suizos)</w:t>
      </w:r>
      <w:r w:rsidRPr="006964C6">
        <w:rPr>
          <w:i/>
          <w:iCs/>
          <w:sz w:val="20"/>
          <w:lang w:val="es-ES_tradnl"/>
        </w:rPr>
        <w:br/>
      </w:r>
      <w:r w:rsidRPr="006964C6">
        <w:rPr>
          <w:i/>
          <w:iCs/>
          <w:sz w:val="20"/>
          <w:lang w:val="es-ES_tradnl"/>
        </w:rPr>
        <w:br/>
      </w:r>
      <w:r w:rsidRPr="009577DE">
        <w:rPr>
          <w:noProof/>
          <w:lang w:val="en-US" w:eastAsia="en-US"/>
        </w:rPr>
        <w:drawing>
          <wp:inline distT="0" distB="0" distL="0" distR="0" wp14:anchorId="356DEC69" wp14:editId="55134159">
            <wp:extent cx="5902325" cy="1591310"/>
            <wp:effectExtent l="0" t="0" r="3175" b="8890"/>
            <wp:docPr id="244"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5902325" cy="1591310"/>
                    </a:xfrm>
                    <a:prstGeom prst="rect">
                      <a:avLst/>
                    </a:prstGeom>
                    <a:noFill/>
                    <a:ln>
                      <a:noFill/>
                    </a:ln>
                  </pic:spPr>
                </pic:pic>
              </a:graphicData>
            </a:graphic>
          </wp:inline>
        </w:drawing>
      </w:r>
    </w:p>
    <w:p w:rsidR="00B070BF" w:rsidRPr="006964C6" w:rsidRDefault="00B070BF" w:rsidP="00B070BF">
      <w:pPr>
        <w:widowControl w:val="0"/>
        <w:jc w:val="center"/>
        <w:rPr>
          <w:sz w:val="20"/>
          <w:lang w:val="es-ES_tradnl"/>
        </w:rPr>
      </w:pPr>
    </w:p>
    <w:p w:rsidR="00B070BF" w:rsidRPr="006964C6" w:rsidRDefault="00B070BF" w:rsidP="00B070BF">
      <w:pPr>
        <w:widowControl w:val="0"/>
        <w:jc w:val="center"/>
        <w:rPr>
          <w:sz w:val="20"/>
          <w:lang w:val="es-ES_tradnl"/>
        </w:rPr>
      </w:pPr>
    </w:p>
    <w:p w:rsidR="00B070BF" w:rsidRPr="009577DE" w:rsidRDefault="00B070BF" w:rsidP="00B070BF">
      <w:pPr>
        <w:widowControl w:val="0"/>
        <w:jc w:val="center"/>
        <w:rPr>
          <w:sz w:val="20"/>
          <w:lang w:val="es-ES_tradnl"/>
        </w:rPr>
      </w:pPr>
      <w:r w:rsidRPr="006964C6">
        <w:rPr>
          <w:sz w:val="20"/>
          <w:lang w:val="es-ES_tradnl"/>
        </w:rPr>
        <w:t>Presupuesto y gastos reales (de personal y no relativos al personal)</w:t>
      </w:r>
      <w:r w:rsidRPr="006964C6">
        <w:rPr>
          <w:sz w:val="20"/>
          <w:lang w:val="es-ES_tradnl"/>
        </w:rPr>
        <w:br/>
      </w:r>
      <w:r w:rsidRPr="006964C6">
        <w:rPr>
          <w:i/>
          <w:sz w:val="20"/>
          <w:lang w:val="es-ES_tradnl"/>
        </w:rPr>
        <w:t>(en miles de francos suizos)</w:t>
      </w:r>
      <w:r w:rsidRPr="006964C6">
        <w:rPr>
          <w:sz w:val="20"/>
          <w:lang w:val="es-ES_tradnl"/>
        </w:rPr>
        <w:br/>
      </w:r>
      <w:r w:rsidRPr="006964C6">
        <w:rPr>
          <w:sz w:val="20"/>
          <w:lang w:val="es-ES_tradnl"/>
        </w:rPr>
        <w:br/>
      </w:r>
      <w:r w:rsidRPr="009577DE">
        <w:rPr>
          <w:noProof/>
          <w:lang w:val="en-US" w:eastAsia="en-US"/>
        </w:rPr>
        <w:drawing>
          <wp:inline distT="0" distB="0" distL="0" distR="0" wp14:anchorId="5EBEDEED" wp14:editId="5B7B2401">
            <wp:extent cx="5902325" cy="1235075"/>
            <wp:effectExtent l="0" t="0" r="3175" b="3175"/>
            <wp:docPr id="243" name="Picture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5902325" cy="1235075"/>
                    </a:xfrm>
                    <a:prstGeom prst="rect">
                      <a:avLst/>
                    </a:prstGeom>
                    <a:noFill/>
                    <a:ln>
                      <a:noFill/>
                    </a:ln>
                  </pic:spPr>
                </pic:pic>
              </a:graphicData>
            </a:graphic>
          </wp:inline>
        </w:drawing>
      </w:r>
    </w:p>
    <w:p w:rsidR="00B070BF" w:rsidRPr="009577DE" w:rsidRDefault="00B070BF" w:rsidP="00B070BF">
      <w:pPr>
        <w:widowControl w:val="0"/>
        <w:rPr>
          <w:sz w:val="20"/>
          <w:lang w:val="es-ES_tradnl"/>
        </w:rPr>
      </w:pPr>
    </w:p>
    <w:p w:rsidR="00B070BF" w:rsidRPr="009577DE" w:rsidRDefault="00B070BF" w:rsidP="00B070BF">
      <w:pPr>
        <w:keepNext/>
        <w:keepLines/>
        <w:widowControl w:val="0"/>
        <w:autoSpaceDE w:val="0"/>
        <w:autoSpaceDN w:val="0"/>
        <w:adjustRightInd w:val="0"/>
        <w:rPr>
          <w:sz w:val="16"/>
          <w:szCs w:val="16"/>
          <w:lang w:val="es-ES_tradnl"/>
        </w:rPr>
      </w:pPr>
      <w:r w:rsidRPr="007C3E0F">
        <w:rPr>
          <w:sz w:val="16"/>
          <w:szCs w:val="16"/>
          <w:lang w:val="es-ES_tradnl"/>
        </w:rPr>
        <w:lastRenderedPageBreak/>
        <w:t>NOTAS:</w:t>
      </w:r>
    </w:p>
    <w:p w:rsidR="00B070BF" w:rsidRPr="009577DE" w:rsidRDefault="00B070BF" w:rsidP="00B070BF">
      <w:pPr>
        <w:keepNext/>
        <w:keepLines/>
        <w:widowControl w:val="0"/>
        <w:autoSpaceDE w:val="0"/>
        <w:autoSpaceDN w:val="0"/>
        <w:adjustRightInd w:val="0"/>
        <w:rPr>
          <w:sz w:val="16"/>
          <w:szCs w:val="16"/>
          <w:lang w:val="es-ES_tradnl"/>
        </w:rPr>
      </w:pPr>
    </w:p>
    <w:p w:rsidR="00B070BF" w:rsidRPr="009577DE" w:rsidRDefault="00B070BF" w:rsidP="00B070BF">
      <w:pPr>
        <w:keepNext/>
        <w:keepLines/>
        <w:widowControl w:val="0"/>
        <w:autoSpaceDE w:val="0"/>
        <w:autoSpaceDN w:val="0"/>
        <w:adjustRightInd w:val="0"/>
        <w:rPr>
          <w:sz w:val="16"/>
          <w:szCs w:val="16"/>
          <w:lang w:val="es-ES_tradnl"/>
        </w:rPr>
      </w:pPr>
      <w:r w:rsidRPr="009577DE">
        <w:rPr>
          <w:sz w:val="16"/>
          <w:szCs w:val="16"/>
          <w:lang w:val="es-ES_tradnl"/>
        </w:rPr>
        <w:t>1) El presupuesto después de las transferencias refleja el presupuesto de los programas ajustado después de las transferencias efectuadas en 2012/13 en virtud del artículo 5.5 del Reglamento Financiero.</w:t>
      </w:r>
    </w:p>
    <w:p w:rsidR="00B070BF" w:rsidRPr="009577DE" w:rsidRDefault="00B070BF" w:rsidP="00B070BF">
      <w:pPr>
        <w:widowControl w:val="0"/>
        <w:autoSpaceDE w:val="0"/>
        <w:autoSpaceDN w:val="0"/>
        <w:adjustRightInd w:val="0"/>
        <w:rPr>
          <w:sz w:val="16"/>
          <w:szCs w:val="16"/>
          <w:lang w:val="es-ES_tradnl"/>
        </w:rPr>
      </w:pPr>
    </w:p>
    <w:p w:rsidR="00B070BF" w:rsidRPr="009577DE" w:rsidRDefault="00B070BF" w:rsidP="00B070BF">
      <w:pPr>
        <w:widowControl w:val="0"/>
        <w:autoSpaceDE w:val="0"/>
        <w:autoSpaceDN w:val="0"/>
        <w:adjustRightInd w:val="0"/>
        <w:rPr>
          <w:sz w:val="16"/>
          <w:szCs w:val="16"/>
          <w:lang w:val="es-ES_tradnl"/>
        </w:rPr>
      </w:pPr>
      <w:r w:rsidRPr="009577DE">
        <w:rPr>
          <w:sz w:val="16"/>
          <w:szCs w:val="16"/>
          <w:lang w:val="es-ES_tradnl"/>
        </w:rPr>
        <w:t xml:space="preserve">2) La asignación para el personal del presupuesto de 2012/13 después de las transferencias representa los gastos reales efectuados hasta el 31 de marzo de 2013 y los importes presupuestados para los nueve meses restantes de 2013, sobre la base de costos estándar. </w:t>
      </w:r>
    </w:p>
    <w:p w:rsidR="00B070BF" w:rsidRPr="009577DE" w:rsidRDefault="00B070BF" w:rsidP="00B070BF">
      <w:pPr>
        <w:widowControl w:val="0"/>
        <w:autoSpaceDE w:val="0"/>
        <w:autoSpaceDN w:val="0"/>
        <w:adjustRightInd w:val="0"/>
        <w:rPr>
          <w:sz w:val="16"/>
          <w:szCs w:val="16"/>
          <w:lang w:val="es-ES_tradnl"/>
        </w:rPr>
      </w:pPr>
    </w:p>
    <w:p w:rsidR="00B070BF" w:rsidRPr="009577DE" w:rsidRDefault="00B070BF" w:rsidP="00B070BF">
      <w:pPr>
        <w:widowControl w:val="0"/>
        <w:autoSpaceDE w:val="0"/>
        <w:autoSpaceDN w:val="0"/>
        <w:adjustRightInd w:val="0"/>
        <w:rPr>
          <w:sz w:val="16"/>
          <w:szCs w:val="16"/>
          <w:lang w:val="es-ES_tradnl"/>
        </w:rPr>
      </w:pPr>
      <w:r w:rsidRPr="009577DE">
        <w:rPr>
          <w:sz w:val="16"/>
          <w:szCs w:val="16"/>
          <w:lang w:val="es-ES_tradnl"/>
        </w:rPr>
        <w:t>3) La asignación no relativa al personal del presupuesto de 2012/13 después de las transferencias refleja los ajustes a la baja efectuados para aumentar la eficacia en función de los costos, de conformidad con el compromiso de la Organización de reducir gastos por un importe de 10,2 millones de francos suizos en el bienio 2012/13.</w:t>
      </w:r>
    </w:p>
    <w:p w:rsidR="00B070BF" w:rsidRPr="009577DE" w:rsidRDefault="00B070BF" w:rsidP="00B070BF">
      <w:pPr>
        <w:widowControl w:val="0"/>
        <w:rPr>
          <w:sz w:val="20"/>
          <w:lang w:val="es-ES_tradnl"/>
        </w:rPr>
      </w:pPr>
    </w:p>
    <w:p w:rsidR="00B070BF" w:rsidRPr="009577DE" w:rsidRDefault="00B070BF" w:rsidP="00B070BF">
      <w:pPr>
        <w:widowControl w:val="0"/>
        <w:rPr>
          <w:sz w:val="20"/>
          <w:lang w:val="es-ES_tradnl"/>
        </w:rPr>
      </w:pPr>
    </w:p>
    <w:p w:rsidR="00B070BF" w:rsidRPr="009577DE" w:rsidRDefault="00B070BF" w:rsidP="00B070BF">
      <w:pPr>
        <w:widowControl w:val="0"/>
        <w:rPr>
          <w:sz w:val="20"/>
          <w:u w:val="single"/>
          <w:lang w:val="es-ES_tradnl"/>
        </w:rPr>
      </w:pPr>
      <w:r>
        <w:rPr>
          <w:sz w:val="20"/>
          <w:lang w:val="es-ES_tradnl"/>
        </w:rPr>
        <w:t xml:space="preserve">A.  </w:t>
      </w:r>
      <w:r w:rsidRPr="009577DE">
        <w:rPr>
          <w:sz w:val="20"/>
          <w:u w:val="single"/>
          <w:lang w:val="es-ES_tradnl"/>
        </w:rPr>
        <w:t xml:space="preserve">Presupuesto </w:t>
      </w:r>
      <w:r>
        <w:rPr>
          <w:sz w:val="20"/>
          <w:u w:val="single"/>
          <w:lang w:val="es-ES_tradnl"/>
        </w:rPr>
        <w:t>2012/13</w:t>
      </w:r>
      <w:r w:rsidRPr="009577DE">
        <w:rPr>
          <w:sz w:val="20"/>
          <w:u w:val="single"/>
          <w:lang w:val="es-ES_tradnl"/>
        </w:rPr>
        <w:t xml:space="preserve"> después de las transferencias</w:t>
      </w:r>
    </w:p>
    <w:p w:rsidR="00B070BF" w:rsidRPr="009577DE" w:rsidRDefault="00B070BF" w:rsidP="00B070BF">
      <w:pPr>
        <w:widowControl w:val="0"/>
        <w:rPr>
          <w:sz w:val="20"/>
          <w:lang w:val="es-ES_tradnl"/>
        </w:rPr>
      </w:pPr>
    </w:p>
    <w:p w:rsidR="00B070BF" w:rsidRPr="009577DE" w:rsidRDefault="00B070BF" w:rsidP="00B070BF">
      <w:pPr>
        <w:widowControl w:val="0"/>
        <w:numPr>
          <w:ilvl w:val="0"/>
          <w:numId w:val="37"/>
        </w:numPr>
        <w:jc w:val="both"/>
        <w:rPr>
          <w:sz w:val="20"/>
          <w:lang w:val="es-ES_tradnl"/>
        </w:rPr>
      </w:pPr>
      <w:r w:rsidRPr="009577DE">
        <w:rPr>
          <w:sz w:val="20"/>
          <w:lang w:val="es-ES_tradnl"/>
        </w:rPr>
        <w:t xml:space="preserve">El aumento global en los recursos asignados a este programa afecta principalmente al resultado IX.1 (Servicios de apoyo eficaces, eficientes, de calidad y orientados al cliente) y comprende:  i) gastos adicionales de personal relacionados con la aplicación del Estatuto y Reglamento del Personal, la reforma de los contratos y la PRI;  ii) una mayor orientación al cliente y una mejora de los servicios de apoyo que se prestan al personal directivo y al personal;  iii) el aumento de los costos del acuerdo concertado por la OMPI con la Oficina de las Naciones Unidas en Ginebra para que esta preste servicios médicos;  y iv) la mejora del apoyo relacionado con el equilibrio entre los sexos y la diversidad geográfica en el seno de la Organización.  También se han proporcionado recursos adicionales no relativos al personal a fin de alcanzar el resultado IX.3 (Personal profesional bien dirigido, diversificado, motivado y con las competencias adecuadas) con el propósito de prestar ayuda a las actividades de formación y gestión del desempeño, que se compensan por medio de la reasignación de recursos de personal al resultado IX.1 (Servicios de apoyo eficaces, eficientes, de calidad y orientados al cliente). </w:t>
      </w:r>
    </w:p>
    <w:p w:rsidR="00B070BF" w:rsidRPr="009577DE" w:rsidRDefault="00B070BF" w:rsidP="00B070BF">
      <w:pPr>
        <w:widowControl w:val="0"/>
        <w:rPr>
          <w:lang w:val="es-ES_tradnl"/>
        </w:rPr>
      </w:pPr>
    </w:p>
    <w:p w:rsidR="00B070BF" w:rsidRPr="009577DE" w:rsidRDefault="00B070BF" w:rsidP="00B070BF">
      <w:pPr>
        <w:widowControl w:val="0"/>
        <w:jc w:val="both"/>
        <w:rPr>
          <w:rFonts w:eastAsia="Batang"/>
          <w:sz w:val="20"/>
          <w:lang w:val="es-ES_tradnl" w:eastAsia="ko-KR"/>
        </w:rPr>
      </w:pPr>
      <w:r>
        <w:rPr>
          <w:rFonts w:eastAsia="Batang"/>
          <w:sz w:val="20"/>
          <w:lang w:val="es-ES_tradnl" w:eastAsia="ko-KR"/>
        </w:rPr>
        <w:t xml:space="preserve">B.  </w:t>
      </w:r>
      <w:r w:rsidRPr="009577DE">
        <w:rPr>
          <w:rFonts w:eastAsia="Batang"/>
          <w:sz w:val="20"/>
          <w:u w:val="single"/>
          <w:lang w:val="es-ES_tradnl" w:eastAsia="ko-KR"/>
        </w:rPr>
        <w:t>Utilización del presupuesto 2012</w:t>
      </w:r>
    </w:p>
    <w:p w:rsidR="00B070BF" w:rsidRPr="009577DE" w:rsidRDefault="00B070BF" w:rsidP="00B070BF">
      <w:pPr>
        <w:widowControl w:val="0"/>
        <w:jc w:val="both"/>
        <w:rPr>
          <w:sz w:val="20"/>
          <w:lang w:val="es-ES_tradnl"/>
        </w:rPr>
      </w:pPr>
    </w:p>
    <w:p w:rsidR="00B070BF" w:rsidRPr="009577DE" w:rsidRDefault="00B070BF" w:rsidP="00B070BF">
      <w:pPr>
        <w:widowControl w:val="0"/>
        <w:numPr>
          <w:ilvl w:val="0"/>
          <w:numId w:val="37"/>
        </w:numPr>
        <w:jc w:val="both"/>
        <w:rPr>
          <w:sz w:val="20"/>
          <w:lang w:val="es-ES_tradnl"/>
        </w:rPr>
      </w:pPr>
      <w:r w:rsidRPr="009577DE">
        <w:rPr>
          <w:rFonts w:eastAsia="Batang"/>
          <w:sz w:val="20"/>
          <w:lang w:val="es-ES_tradnl" w:eastAsia="ko-KR"/>
        </w:rPr>
        <w:t xml:space="preserve">La utilización del presupuesto se mantiene entre el 40% y el 60% en el primer año del bienio y progresa con normalidad. </w:t>
      </w:r>
    </w:p>
    <w:p w:rsidR="00B070BF" w:rsidRPr="009577DE" w:rsidRDefault="00B070BF" w:rsidP="00B070BF">
      <w:pPr>
        <w:widowControl w:val="0"/>
        <w:rPr>
          <w:lang w:val="es-ES_tradnl"/>
        </w:rPr>
      </w:pPr>
    </w:p>
    <w:p w:rsidR="00B070BF" w:rsidRPr="009577DE" w:rsidRDefault="00B070BF" w:rsidP="00B070BF">
      <w:pPr>
        <w:widowControl w:val="0"/>
        <w:jc w:val="both"/>
        <w:rPr>
          <w:sz w:val="20"/>
          <w:lang w:val="es-ES_tradnl"/>
        </w:rPr>
      </w:pPr>
    </w:p>
    <w:p w:rsidR="00B070BF" w:rsidRPr="009577DE" w:rsidRDefault="00B070BF" w:rsidP="00B070BF">
      <w:pPr>
        <w:widowControl w:val="0"/>
        <w:spacing w:before="240" w:after="60"/>
        <w:ind w:left="2835" w:hanging="2835"/>
        <w:outlineLvl w:val="1"/>
        <w:rPr>
          <w:b/>
          <w:iCs/>
          <w:caps/>
          <w:szCs w:val="22"/>
          <w:lang w:val="es-ES_tradnl"/>
        </w:rPr>
      </w:pPr>
      <w:r w:rsidRPr="009577DE">
        <w:rPr>
          <w:bCs/>
          <w:iCs/>
          <w:caps/>
          <w:szCs w:val="28"/>
          <w:lang w:val="es-ES_tradnl"/>
        </w:rPr>
        <w:br w:type="page"/>
      </w:r>
      <w:bookmarkStart w:id="60" w:name="_Toc359846810"/>
      <w:bookmarkStart w:id="61" w:name="_Toc359949334"/>
      <w:r w:rsidRPr="009577DE">
        <w:rPr>
          <w:b/>
          <w:iCs/>
          <w:szCs w:val="22"/>
          <w:lang w:val="es-ES_tradnl"/>
        </w:rPr>
        <w:lastRenderedPageBreak/>
        <w:t>PROGRAMA 24</w:t>
      </w:r>
      <w:r w:rsidRPr="009577DE">
        <w:rPr>
          <w:iCs/>
          <w:szCs w:val="22"/>
          <w:lang w:val="es-ES_tradnl"/>
        </w:rPr>
        <w:tab/>
      </w:r>
      <w:r w:rsidRPr="009577DE">
        <w:rPr>
          <w:b/>
          <w:iCs/>
          <w:szCs w:val="22"/>
          <w:lang w:val="es-ES_tradnl"/>
        </w:rPr>
        <w:t>SERVICIOS DE APOYO GENERALES</w:t>
      </w:r>
      <w:bookmarkEnd w:id="60"/>
      <w:bookmarkEnd w:id="61"/>
    </w:p>
    <w:p w:rsidR="00B070BF" w:rsidRPr="009577DE" w:rsidRDefault="00B070BF" w:rsidP="00B070BF">
      <w:pPr>
        <w:widowControl w:val="0"/>
        <w:rPr>
          <w:bCs/>
          <w:sz w:val="20"/>
          <w:lang w:val="es-ES_tradnl"/>
        </w:rPr>
      </w:pPr>
    </w:p>
    <w:p w:rsidR="00B070BF" w:rsidRPr="009577DE" w:rsidRDefault="00B070BF" w:rsidP="00B070BF">
      <w:pPr>
        <w:widowControl w:val="0"/>
        <w:rPr>
          <w:bCs/>
          <w:sz w:val="20"/>
          <w:lang w:val="es-ES_tradnl"/>
        </w:rPr>
      </w:pPr>
    </w:p>
    <w:p w:rsidR="00B070BF" w:rsidRPr="009577DE" w:rsidRDefault="00B070BF" w:rsidP="00B070BF">
      <w:pPr>
        <w:widowControl w:val="0"/>
        <w:tabs>
          <w:tab w:val="left" w:pos="2268"/>
        </w:tabs>
        <w:rPr>
          <w:b/>
          <w:szCs w:val="22"/>
          <w:lang w:val="es-ES_tradnl"/>
        </w:rPr>
      </w:pPr>
      <w:r w:rsidRPr="009577DE">
        <w:rPr>
          <w:b/>
          <w:szCs w:val="22"/>
          <w:lang w:val="es-ES_tradnl"/>
        </w:rPr>
        <w:t>Director del Programa</w:t>
      </w:r>
      <w:r w:rsidRPr="009577DE">
        <w:rPr>
          <w:szCs w:val="22"/>
          <w:lang w:val="es-ES_tradnl"/>
        </w:rPr>
        <w:tab/>
      </w:r>
      <w:r w:rsidRPr="009577DE">
        <w:rPr>
          <w:b/>
          <w:szCs w:val="22"/>
          <w:lang w:val="es-ES_tradnl"/>
        </w:rPr>
        <w:t>Sr. A. Sundaram</w:t>
      </w:r>
    </w:p>
    <w:p w:rsidR="00B070BF" w:rsidRPr="009577DE" w:rsidRDefault="00B070BF" w:rsidP="00B070BF">
      <w:pPr>
        <w:widowControl w:val="0"/>
        <w:rPr>
          <w:sz w:val="20"/>
          <w:lang w:val="es-ES_tradnl"/>
        </w:rPr>
      </w:pPr>
    </w:p>
    <w:p w:rsidR="00B070BF" w:rsidRPr="009577DE" w:rsidRDefault="00B070BF" w:rsidP="00B070BF">
      <w:pPr>
        <w:widowControl w:val="0"/>
        <w:rPr>
          <w:bCs/>
          <w:sz w:val="20"/>
          <w:lang w:val="es-ES_tradnl"/>
        </w:rPr>
      </w:pPr>
    </w:p>
    <w:p w:rsidR="00B070BF" w:rsidRPr="009577DE" w:rsidRDefault="00B070BF" w:rsidP="00B070BF">
      <w:pPr>
        <w:widowControl w:val="0"/>
        <w:spacing w:line="260" w:lineRule="atLeast"/>
        <w:jc w:val="both"/>
        <w:rPr>
          <w:sz w:val="20"/>
          <w:lang w:val="es-ES_tradnl"/>
        </w:rPr>
      </w:pPr>
      <w:r w:rsidRPr="009577DE">
        <w:rPr>
          <w:bCs/>
          <w:sz w:val="20"/>
          <w:lang w:val="es-ES_tradnl"/>
        </w:rPr>
        <w:t>RESEÑA DE LOS AVANCES LOGRADOS EN 2012</w:t>
      </w:r>
    </w:p>
    <w:p w:rsidR="00B070BF" w:rsidRPr="009577DE" w:rsidRDefault="00B070BF" w:rsidP="00B070BF">
      <w:pPr>
        <w:widowControl w:val="0"/>
        <w:autoSpaceDE w:val="0"/>
        <w:autoSpaceDN w:val="0"/>
        <w:adjustRightInd w:val="0"/>
        <w:jc w:val="both"/>
        <w:rPr>
          <w:sz w:val="20"/>
          <w:lang w:val="es-ES_tradnl"/>
        </w:rPr>
      </w:pPr>
    </w:p>
    <w:p w:rsidR="00B070BF" w:rsidRPr="009577DE" w:rsidRDefault="00B070BF" w:rsidP="00B070BF">
      <w:pPr>
        <w:widowControl w:val="0"/>
        <w:numPr>
          <w:ilvl w:val="0"/>
          <w:numId w:val="16"/>
        </w:numPr>
        <w:autoSpaceDE w:val="0"/>
        <w:autoSpaceDN w:val="0"/>
        <w:adjustRightInd w:val="0"/>
        <w:jc w:val="both"/>
        <w:rPr>
          <w:sz w:val="20"/>
          <w:lang w:val="es-ES_tradnl"/>
        </w:rPr>
      </w:pPr>
      <w:r w:rsidRPr="009577DE">
        <w:rPr>
          <w:sz w:val="20"/>
          <w:lang w:val="es-ES_tradnl"/>
        </w:rPr>
        <w:t>En 2012, a despecho de un entorno cambiante, las actividades relativas a las compras y los viajes registraron progresos satisfactorios en términos de la consecución de los resultados previstos, tal y como lo reflejan los datos de rendimiento que figuran bajo estas líneas.  Por lo que respecta a las herramientas utilizadas, los módulos de compras de la planificación de los recursos institucionales (PRI) fueron actualizados durante el año a su versión 9.1 y las solicitudes de viaje ajenas al personal se integraron en el sistema de e-</w:t>
      </w:r>
      <w:proofErr w:type="spellStart"/>
      <w:r w:rsidRPr="009577DE">
        <w:rPr>
          <w:sz w:val="20"/>
          <w:lang w:val="es-ES_tradnl"/>
        </w:rPr>
        <w:t>work</w:t>
      </w:r>
      <w:proofErr w:type="spellEnd"/>
      <w:r w:rsidRPr="009577DE">
        <w:rPr>
          <w:sz w:val="20"/>
          <w:lang w:val="es-ES_tradnl"/>
        </w:rPr>
        <w:t>.  El marco normativo fue asimismo actualizado y mejorado con un nuevo procedimiento de compras para el proyecto de finalización de la nueva sala de conferencias, un código de conducta para la gestión de las relaciones con los proveedores y una nueva política de viajes que incluye la modificación del umbral de acceso a la clase ejecutiva.</w:t>
      </w:r>
    </w:p>
    <w:p w:rsidR="00B070BF" w:rsidRPr="009577DE" w:rsidRDefault="00B070BF" w:rsidP="00B070BF">
      <w:pPr>
        <w:widowControl w:val="0"/>
        <w:autoSpaceDE w:val="0"/>
        <w:autoSpaceDN w:val="0"/>
        <w:adjustRightInd w:val="0"/>
        <w:jc w:val="both"/>
        <w:rPr>
          <w:sz w:val="20"/>
          <w:lang w:val="es-ES_tradnl"/>
        </w:rPr>
      </w:pPr>
    </w:p>
    <w:p w:rsidR="00B070BF" w:rsidRPr="009577DE" w:rsidRDefault="00B070BF" w:rsidP="00B070BF">
      <w:pPr>
        <w:widowControl w:val="0"/>
        <w:numPr>
          <w:ilvl w:val="0"/>
          <w:numId w:val="16"/>
        </w:numPr>
        <w:autoSpaceDE w:val="0"/>
        <w:autoSpaceDN w:val="0"/>
        <w:adjustRightInd w:val="0"/>
        <w:jc w:val="both"/>
        <w:rPr>
          <w:bCs/>
          <w:sz w:val="20"/>
          <w:lang w:val="es-ES_tradnl"/>
        </w:rPr>
      </w:pPr>
      <w:r w:rsidRPr="009577DE">
        <w:rPr>
          <w:bCs/>
          <w:sz w:val="20"/>
          <w:lang w:val="es-ES_tradnl"/>
        </w:rPr>
        <w:t>Durante el año siguieron lográndose economías gracias a las licitaciones realizadas en cooperación con otras organizaciones internacionales.  Un ahorro total de 600.000 francos suizos se realizó en 2012 a raíz de la entrada en vigor del nuevo umbral de acceso a la clase ejecutiva (nueve horas), la reducción de los viáticos aplicables a los vuelos de un día para otro y el aumento de la antelación de la reserva de pasajes, esperándose conseguir ulteriores reducciones de costos mediante la racionalización del proceso de reserva para aprovechar las tarifas aéreas más económicas.  También se lograron ganancias adicionales de eficiencia interna, por ejemplo gracias a la reducción del tiempo de tramitación de visados y de solicitudes de viaje o asistencia a actos para terceros.</w:t>
      </w:r>
    </w:p>
    <w:p w:rsidR="00B070BF" w:rsidRPr="009577DE" w:rsidRDefault="00B070BF" w:rsidP="00B070BF">
      <w:pPr>
        <w:widowControl w:val="0"/>
        <w:autoSpaceDE w:val="0"/>
        <w:autoSpaceDN w:val="0"/>
        <w:adjustRightInd w:val="0"/>
        <w:jc w:val="both"/>
        <w:rPr>
          <w:bCs/>
          <w:sz w:val="20"/>
          <w:lang w:val="es-ES_tradnl"/>
        </w:rPr>
      </w:pPr>
    </w:p>
    <w:p w:rsidR="00B070BF" w:rsidRPr="009577DE" w:rsidRDefault="00B070BF" w:rsidP="00B070BF">
      <w:pPr>
        <w:widowControl w:val="0"/>
        <w:numPr>
          <w:ilvl w:val="0"/>
          <w:numId w:val="16"/>
        </w:numPr>
        <w:jc w:val="both"/>
        <w:rPr>
          <w:sz w:val="20"/>
          <w:lang w:val="es-ES_tradnl"/>
        </w:rPr>
      </w:pPr>
      <w:r w:rsidRPr="009577DE">
        <w:rPr>
          <w:sz w:val="20"/>
          <w:lang w:val="es-ES_tradnl"/>
        </w:rPr>
        <w:t xml:space="preserve">En cuanto a la gestión de las instalaciones, a finales del año 2012 la Organización contaba con un total de 1.616 espacios de trabajo en todos sus edificios (incluyendo tanto los pertenecientes a la OMPI como los arrendados), lo que representa un incremento de 37 espacios de trabajo en comparación con 2011 (1.579 lugares de trabajo).  De ellos, el 84% estaban ocupados a fines de 2012, en comparación con el 87% a fines de 2011.  Este incremento del número de espacios de trabajo no ocupados se debe principalmente a una aplicación más estricta de la política de asignación del espacio de oficinas (publicada en diciembre de 2010) en todos los edificios.  </w:t>
      </w:r>
    </w:p>
    <w:p w:rsidR="00B070BF" w:rsidRPr="009577DE" w:rsidRDefault="00B070BF" w:rsidP="00B070BF">
      <w:pPr>
        <w:widowControl w:val="0"/>
        <w:jc w:val="both"/>
        <w:rPr>
          <w:sz w:val="20"/>
          <w:lang w:val="es-ES_tradnl"/>
        </w:rPr>
      </w:pPr>
    </w:p>
    <w:p w:rsidR="00B070BF" w:rsidRPr="009577DE" w:rsidRDefault="00B070BF" w:rsidP="00B070BF">
      <w:pPr>
        <w:widowControl w:val="0"/>
        <w:numPr>
          <w:ilvl w:val="0"/>
          <w:numId w:val="16"/>
        </w:numPr>
        <w:jc w:val="both"/>
        <w:rPr>
          <w:sz w:val="20"/>
          <w:lang w:val="es-ES_tradnl"/>
        </w:rPr>
      </w:pPr>
      <w:r w:rsidRPr="009577DE">
        <w:rPr>
          <w:sz w:val="20"/>
          <w:lang w:val="es-ES_tradnl"/>
        </w:rPr>
        <w:t>Al objeto de mejorar la seguridad se implantó en todos los edificios (y en el Nuevo edificio desde el primer momento) una política en virtud de la cual ciertos equipos informáticos voluminosos, archivadores y suministros de papel han de ubicarse obligatoriamente en emplazamientos cerrados que puedan ser aislados en caso de incendio u otros incidentes.  En consecuencia, algunos espacios que habrían podido asignarse a espacios de trabajo deben convertirse en espacios específicos dedicados a la T.I. y en espacios de almacenamiento local, con lo que va reduciéndose gradualmente el número total de espacios de trabajo disponibles para el remanente del presente bienio y para el bienio próximo.  Finalmente, algunos espacios de trabajo fueron reservados en una misma planta del edificio del PCT para crear el necesario "espacio provisional" en previsión de las obras de renovación general de las fachadas y del sistema de refrigeración / calefacción que han sido previstas para el bienio 2014/15.</w:t>
      </w:r>
    </w:p>
    <w:p w:rsidR="00B070BF" w:rsidRPr="009577DE" w:rsidRDefault="00B070BF" w:rsidP="00B070BF">
      <w:pPr>
        <w:widowControl w:val="0"/>
        <w:jc w:val="both"/>
        <w:rPr>
          <w:sz w:val="20"/>
          <w:lang w:val="es-ES_tradnl"/>
        </w:rPr>
      </w:pPr>
    </w:p>
    <w:p w:rsidR="00B070BF" w:rsidRPr="009577DE" w:rsidRDefault="00B070BF" w:rsidP="00B070BF">
      <w:pPr>
        <w:widowControl w:val="0"/>
        <w:numPr>
          <w:ilvl w:val="0"/>
          <w:numId w:val="16"/>
        </w:numPr>
        <w:jc w:val="both"/>
        <w:rPr>
          <w:sz w:val="20"/>
          <w:lang w:val="es-ES_tradnl"/>
        </w:rPr>
      </w:pPr>
      <w:r w:rsidRPr="009577DE">
        <w:rPr>
          <w:sz w:val="20"/>
          <w:lang w:val="es-ES_tradnl"/>
        </w:rPr>
        <w:t xml:space="preserve">Como resultado de las antecedentes medidas, la Secretaría pudo continuar gestionando la demanda de espacios de trabajo y así eludir la necesidad de tomar en arriendo espacio suplementario fuera del recinto.  Además, se eliminó cierto volumen de documentos almacenados, material y equipo, lo que ha contribuido a un uso más eficiente y económico de las zonas de almacenamiento interiores y exteriores al recinto.  Ello ha permitido poner fin al contrato de arrendamiento de dos áreas de almacenamiento ubicadas fuera del recinto durante el año 2012, según lo programado.  </w:t>
      </w:r>
    </w:p>
    <w:p w:rsidR="00B070BF" w:rsidRPr="009577DE" w:rsidRDefault="00B070BF" w:rsidP="00B070BF">
      <w:pPr>
        <w:widowControl w:val="0"/>
        <w:jc w:val="both"/>
        <w:rPr>
          <w:sz w:val="20"/>
          <w:lang w:val="es-ES_tradnl"/>
        </w:rPr>
      </w:pPr>
    </w:p>
    <w:p w:rsidR="00B070BF" w:rsidRPr="009577DE" w:rsidRDefault="00B070BF" w:rsidP="00B070BF">
      <w:pPr>
        <w:widowControl w:val="0"/>
        <w:numPr>
          <w:ilvl w:val="0"/>
          <w:numId w:val="16"/>
        </w:numPr>
        <w:jc w:val="both"/>
        <w:rPr>
          <w:sz w:val="20"/>
          <w:lang w:val="es-ES_tradnl"/>
        </w:rPr>
      </w:pPr>
      <w:r w:rsidRPr="009577DE">
        <w:rPr>
          <w:sz w:val="20"/>
          <w:lang w:val="es-ES_tradnl"/>
        </w:rPr>
        <w:t xml:space="preserve">En cuanto a las instalaciones técnicas, se realizó el mantenimiento habitual de las mismas y todas las instalaciones siguieron funcionando de manera adecuada, a excepción del edificio del PCT y el edificio GBII.  En el primer caso se halla en curso un estudio relativo a la sustitución del sistema de refrigeración / calefacción y la renovación de las fachadas (el primer proyecto de renovación importante de los edificios existentes) a cargo de un segundo experto técnico que debe presentar sus conclusiones en la segunda mitad de 2013.  En el segundo caso el sistema de refrigeración sufrió una avería inopinada a mediados de 2011 y se tomó la decisión de sustituirlo por una alternativa más respetuosa </w:t>
      </w:r>
      <w:r w:rsidRPr="009577DE">
        <w:rPr>
          <w:sz w:val="20"/>
          <w:lang w:val="es-ES_tradnl"/>
        </w:rPr>
        <w:lastRenderedPageBreak/>
        <w:t>con el medio ambiente.  En consecuencia, una extensión del sistema de refrigeración a base de agua del Lago de Ginebra (ya utilizada en el nuevo edificio y actualmente en vías de instalación para la futura nueva sala de conferencias) será instalada en los edificios GBI y GBII, que se encuentran físicamente conectados planta por planta.  La nueva instalación de refrigeración de los edificios GBI y GBII quedará terminada en la primera mitad de 2013.</w:t>
      </w:r>
    </w:p>
    <w:p w:rsidR="00B070BF" w:rsidRPr="009577DE" w:rsidRDefault="00B070BF" w:rsidP="00B070BF">
      <w:pPr>
        <w:widowControl w:val="0"/>
        <w:jc w:val="both"/>
        <w:rPr>
          <w:sz w:val="20"/>
          <w:lang w:val="es-ES_tradnl"/>
        </w:rPr>
      </w:pPr>
    </w:p>
    <w:p w:rsidR="00B070BF" w:rsidRPr="009577DE" w:rsidRDefault="00B070BF" w:rsidP="00B070BF">
      <w:pPr>
        <w:widowControl w:val="0"/>
        <w:numPr>
          <w:ilvl w:val="0"/>
          <w:numId w:val="16"/>
        </w:numPr>
        <w:jc w:val="both"/>
        <w:rPr>
          <w:sz w:val="20"/>
          <w:lang w:val="es-ES_tradnl"/>
        </w:rPr>
      </w:pPr>
      <w:r w:rsidRPr="009577DE">
        <w:rPr>
          <w:sz w:val="20"/>
          <w:lang w:val="es-ES_tradnl"/>
        </w:rPr>
        <w:t>En 2012 habían quedado casi terminadas las medidas destinadas a reducir el consumo eléctrico en el edificio GBI, a falta tan sólo de algunos trabajos a concluir en 2013.  Se ha previsto que estas medidas, que abarcan la sustitución de las instalaciones y los equipos originales por nuevas soluciones tecnológicas, den lugar a una reducción general de los costos de consumo, así como a una mejora de la huella de carbono.  Durante el bienio se compilarán datos en torno a dichas reducciones.  Otras medidas forman parte integrante de una Carta negociada en 2012 y firmada a comienzos de 2013 con el proveedor de energía local y prevén reducciones del consumo de electricidad y de agua a lo largo de varios años, mientras que el proveedor local aportará formación técnica para el personal encargado y asistencia en orden a la verificación del cumplimiento de los reglamentos municipales recientemente promulgados (los cuales preconizan un consumo eficiente).</w:t>
      </w:r>
    </w:p>
    <w:p w:rsidR="00B070BF" w:rsidRPr="009577DE" w:rsidRDefault="00B070BF" w:rsidP="00B070BF">
      <w:pPr>
        <w:widowControl w:val="0"/>
        <w:jc w:val="both"/>
        <w:rPr>
          <w:sz w:val="20"/>
          <w:lang w:val="es-ES_tradnl"/>
        </w:rPr>
      </w:pPr>
    </w:p>
    <w:p w:rsidR="00B070BF" w:rsidRPr="009577DE" w:rsidRDefault="00B070BF" w:rsidP="00B070BF">
      <w:pPr>
        <w:widowControl w:val="0"/>
        <w:numPr>
          <w:ilvl w:val="0"/>
          <w:numId w:val="16"/>
        </w:numPr>
        <w:jc w:val="both"/>
        <w:rPr>
          <w:sz w:val="20"/>
          <w:lang w:val="es-ES_tradnl"/>
        </w:rPr>
      </w:pPr>
      <w:r w:rsidRPr="009577DE">
        <w:rPr>
          <w:sz w:val="20"/>
          <w:lang w:val="es-ES_tradnl"/>
        </w:rPr>
        <w:t>Con respecto a la gestión de activos, la Junta de Fiscalización de Bienes prosiguió su revisión para instaurar procedimientos de inventario más sencillos y congruentes,  concretamente en lo que respecta al seguimiento y a la retirada de artículos y a una mejor interrelación con los aspectos financieros de la gestión de activos.  A raíz de la extensa revisión llevada a cabo en 2011 y siguiendo una recomendación de la Junta, se establecieron en 2012 nuevos procedimientos tendentes en particular a elevar el umbral del seguimiento de artículos de 100 a 1.000 francos suizos y el umbral de la capitalización de artículos de 1.000 a 5.000 francos suizos (análogamente a otras Organizaciones de las NN.UU.), racionalizando así los procesos de bajo valor añadido.  Se implementó plenamente la interfaz con los aspectos financieros de la gestión de activos, arrumbando la anterior práctica de la doble introducción de datos con obvia conciliación periódica.  También en 2012, la Junta aprobó el reciclaje de varios artículos de mobiliario y equipo informático particularmente vetustos, así como de tres viejos coches oficiales (con consiguiente reducción de la flota de automóviles de la Organización).</w:t>
      </w:r>
    </w:p>
    <w:p w:rsidR="00B070BF" w:rsidRPr="009577DE" w:rsidRDefault="00B070BF" w:rsidP="00B070BF">
      <w:pPr>
        <w:widowControl w:val="0"/>
        <w:jc w:val="both"/>
        <w:rPr>
          <w:sz w:val="20"/>
          <w:lang w:val="es-ES_tradnl"/>
        </w:rPr>
      </w:pPr>
    </w:p>
    <w:p w:rsidR="00B070BF" w:rsidRPr="009577DE" w:rsidRDefault="00B070BF" w:rsidP="00B070BF">
      <w:pPr>
        <w:widowControl w:val="0"/>
        <w:numPr>
          <w:ilvl w:val="0"/>
          <w:numId w:val="16"/>
        </w:numPr>
        <w:jc w:val="both"/>
        <w:rPr>
          <w:sz w:val="20"/>
          <w:lang w:val="es-ES_tradnl"/>
        </w:rPr>
      </w:pPr>
      <w:r w:rsidRPr="009577DE">
        <w:rPr>
          <w:sz w:val="20"/>
          <w:lang w:val="es-ES_tradnl"/>
        </w:rPr>
        <w:t>En el marco del Proyecto de Accesibilidad de la OMPI, que era parte integrante del PAE, un arquitecto especializado realizó en 2012 una auditoría completa de accesibilidad física en todos los edificios existentes del campus de la OMPI.  La auditoría arrojó una serie detallada de recomendaciones que serán revisadas en 2013 con el fin de establecer una lista jerarquizada de posibles mejoras junto con un calendario y las correspondientes estimaciones de costo.  En la primera mitad de 2013 se llevará a cabo una auditoría similar con respecto a la futura nueva sala de conferencias y a las diversas partes del edificio de la Sede que están siendo modificadas con motivo de las obras de construcción.</w:t>
      </w:r>
    </w:p>
    <w:p w:rsidR="00B070BF" w:rsidRPr="009577DE" w:rsidRDefault="00B070BF" w:rsidP="00B070BF">
      <w:pPr>
        <w:widowControl w:val="0"/>
        <w:jc w:val="both"/>
        <w:rPr>
          <w:sz w:val="20"/>
          <w:lang w:val="es-ES_tradnl"/>
        </w:rPr>
      </w:pPr>
    </w:p>
    <w:p w:rsidR="00B070BF" w:rsidRPr="009577DE" w:rsidRDefault="00B070BF" w:rsidP="00B070BF">
      <w:pPr>
        <w:widowControl w:val="0"/>
        <w:numPr>
          <w:ilvl w:val="0"/>
          <w:numId w:val="16"/>
        </w:numPr>
        <w:jc w:val="both"/>
        <w:rPr>
          <w:sz w:val="20"/>
          <w:lang w:val="es-ES_tradnl"/>
        </w:rPr>
      </w:pPr>
      <w:r w:rsidRPr="009577DE">
        <w:rPr>
          <w:sz w:val="20"/>
          <w:lang w:val="es-ES_tradnl"/>
        </w:rPr>
        <w:t xml:space="preserve">En el marco de la responsabilidad medioambiental de la OMPI (otra iniciativa del PAE) se emprendieron en 2012 una serie de actividades tendentes al fomento de la concientización medioambiental del personal y/o a la adopción de medidas concretas y prácticas.  Dichas medidas hacían referencia a:  temas relacionados con los locales (p. ej. la modernización de las instalaciones técnicas con incorporación de soluciones más ecológicas, la modernización de la instalación eléctrica para reducir el consumo de electricidad, la conclusión del acuerdo con el proveedor de electricidad local, la renovación para el nuevo edificio de la tarifa eléctrica que presenta el máximo porcentaje de contribución a la producción de electricidad renovable del Cantón de Ginebra, la introducción de criterios medioambientales en ciertas licitaciones (p. ej. servicios de cafetería, máquinas expendedoras, artículos de cafetería biodegradables, productos de limpieza, mejora del reciclaje), el uso de medios alternativos para los desplazamientos entre el hogar y el lugar de trabajo (días o meses de movilidad a base de transporte público y alquiler gratuito de bicicletas eléctricas y reparación de bicicletas).  Además, la OMPI tomó parte en diversas iniciativas en el contexto interinstitucional de las NN.UU., sobre todo por medio del Programa de las Naciones Unidas para el medio ambiente (PNUMA) y la iniciativa "Por unas Naciones Unidas sostenibles" ("SUN"), la participación en la compilación anual de datos para la Calculadora de gases del efecto invernadero o la asistencia a la reunión anual de la red interinstitucional de administradores de instalaciones. </w:t>
      </w:r>
    </w:p>
    <w:p w:rsidR="00B070BF" w:rsidRPr="009577DE" w:rsidRDefault="00B070BF" w:rsidP="00B070BF">
      <w:pPr>
        <w:widowControl w:val="0"/>
        <w:autoSpaceDE w:val="0"/>
        <w:autoSpaceDN w:val="0"/>
        <w:adjustRightInd w:val="0"/>
        <w:jc w:val="both"/>
        <w:rPr>
          <w:bCs/>
          <w:sz w:val="20"/>
          <w:lang w:val="es-ES_tradnl"/>
        </w:rPr>
      </w:pPr>
    </w:p>
    <w:p w:rsidR="00B070BF" w:rsidRPr="009577DE" w:rsidRDefault="00B070BF" w:rsidP="00B070BF">
      <w:pPr>
        <w:widowControl w:val="0"/>
        <w:numPr>
          <w:ilvl w:val="0"/>
          <w:numId w:val="16"/>
        </w:numPr>
        <w:jc w:val="both"/>
        <w:rPr>
          <w:bCs/>
          <w:sz w:val="20"/>
          <w:lang w:val="es-ES_tradnl"/>
        </w:rPr>
      </w:pPr>
      <w:r w:rsidRPr="009577DE">
        <w:rPr>
          <w:sz w:val="20"/>
          <w:lang w:val="es-ES_tradnl"/>
        </w:rPr>
        <w:t>En consonancia con la estrategia de la OMPI que apunta a reducir progresivamente la flota de vehículos de la Organización y sustituir los vehículos existentes por alternativas respetuosas con el medio ambiente, tres de los 11 vehículos de la OMPI fueron vendidos en 2012.  Además, existe la intención de adquirir en 2013 al menos un nuevo coche híbrido y eventualmente un pequeño auto eléctrico para reducir las emisiones de carbono.  Además, el programa ha asumido la responsabilidad gestora por el uso de todos los vehículos oficiales en el conjunto de la Organización.</w:t>
      </w:r>
      <w:r w:rsidRPr="009577DE">
        <w:rPr>
          <w:bCs/>
          <w:sz w:val="20"/>
          <w:lang w:val="es-ES_tradnl"/>
        </w:rPr>
        <w:t xml:space="preserve">  </w:t>
      </w:r>
    </w:p>
    <w:p w:rsidR="00B070BF" w:rsidRPr="009577DE" w:rsidRDefault="00B070BF" w:rsidP="00B070BF">
      <w:pPr>
        <w:widowControl w:val="0"/>
        <w:autoSpaceDE w:val="0"/>
        <w:autoSpaceDN w:val="0"/>
        <w:adjustRightInd w:val="0"/>
        <w:rPr>
          <w:bCs/>
          <w:sz w:val="20"/>
          <w:lang w:val="es-ES_tradnl"/>
        </w:rPr>
      </w:pPr>
    </w:p>
    <w:p w:rsidR="00B070BF" w:rsidRPr="009577DE" w:rsidRDefault="00B070BF" w:rsidP="00B070BF">
      <w:pPr>
        <w:widowControl w:val="0"/>
        <w:jc w:val="both"/>
        <w:rPr>
          <w:bCs/>
          <w:sz w:val="20"/>
          <w:lang w:val="es-ES_tradnl"/>
        </w:rPr>
      </w:pPr>
    </w:p>
    <w:p w:rsidR="00B070BF" w:rsidRPr="009577DE" w:rsidRDefault="00B070BF" w:rsidP="00B070BF">
      <w:pPr>
        <w:widowControl w:val="0"/>
        <w:jc w:val="both"/>
        <w:rPr>
          <w:sz w:val="20"/>
          <w:lang w:val="es-ES_tradnl"/>
        </w:rPr>
      </w:pPr>
      <w:r w:rsidRPr="008B2545">
        <w:rPr>
          <w:sz w:val="20"/>
          <w:lang w:val="es-ES_tradnl"/>
        </w:rPr>
        <w:t>DATOS SOBRE EL RENDIMIENTO</w:t>
      </w:r>
    </w:p>
    <w:p w:rsidR="00B070BF" w:rsidRPr="009577DE" w:rsidRDefault="00B070BF" w:rsidP="00B070BF">
      <w:pPr>
        <w:widowControl w:val="0"/>
        <w:jc w:val="both"/>
        <w:rPr>
          <w:sz w:val="20"/>
          <w:lang w:val="es-ES_tradnl"/>
        </w:rPr>
      </w:pPr>
    </w:p>
    <w:tbl>
      <w:tblPr>
        <w:tblW w:w="5000" w:type="pct"/>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630"/>
        <w:gridCol w:w="1498"/>
        <w:gridCol w:w="1710"/>
        <w:gridCol w:w="3494"/>
        <w:gridCol w:w="1239"/>
      </w:tblGrid>
      <w:tr w:rsidR="00B070BF" w:rsidRPr="009577DE" w:rsidTr="00C33D4A">
        <w:trPr>
          <w:cantSplit/>
        </w:trPr>
        <w:tc>
          <w:tcPr>
            <w:tcW w:w="5000" w:type="pct"/>
            <w:gridSpan w:val="5"/>
            <w:tcBorders>
              <w:top w:val="single" w:sz="4" w:space="0" w:color="auto"/>
              <w:bottom w:val="single" w:sz="4" w:space="0" w:color="auto"/>
            </w:tcBorders>
            <w:shd w:val="clear" w:color="auto" w:fill="CCFFFF"/>
            <w:vAlign w:val="center"/>
          </w:tcPr>
          <w:p w:rsidR="00B070BF" w:rsidRPr="009577DE" w:rsidRDefault="00B070BF" w:rsidP="00C33D4A">
            <w:pPr>
              <w:widowControl w:val="0"/>
              <w:spacing w:before="120" w:after="120"/>
              <w:ind w:left="1735" w:hanging="1735"/>
              <w:rPr>
                <w:b/>
                <w:bCs/>
                <w:sz w:val="16"/>
                <w:szCs w:val="16"/>
                <w:lang w:val="es-ES_tradnl"/>
              </w:rPr>
            </w:pPr>
            <w:r w:rsidRPr="009577DE">
              <w:rPr>
                <w:b/>
                <w:bCs/>
                <w:sz w:val="16"/>
                <w:szCs w:val="16"/>
                <w:lang w:val="es-ES_tradnl"/>
              </w:rPr>
              <w:t>Resultado previsto:</w:t>
            </w:r>
            <w:r w:rsidRPr="009577DE">
              <w:rPr>
                <w:b/>
                <w:bCs/>
                <w:sz w:val="16"/>
                <w:szCs w:val="16"/>
                <w:lang w:val="es-ES_tradnl"/>
              </w:rPr>
              <w:tab/>
            </w:r>
            <w:r w:rsidRPr="009577DE">
              <w:rPr>
                <w:bCs/>
                <w:sz w:val="16"/>
                <w:szCs w:val="16"/>
                <w:lang w:val="es-ES_tradnl"/>
              </w:rPr>
              <w:t>Servicios de apoyo eficaces, eficientes, de calidad y orientados al cliente, tanto a los clientes internos como a las partes interesadas externas (recursos humanos, T.I., servicios de conferencias y lingüísticos, compras, viajes, impresión y publicación, gestión de locales)</w:t>
            </w:r>
          </w:p>
        </w:tc>
      </w:tr>
      <w:tr w:rsidR="00B070BF" w:rsidRPr="009577DE" w:rsidTr="00C33D4A">
        <w:trPr>
          <w:cantSplit/>
        </w:trPr>
        <w:tc>
          <w:tcPr>
            <w:tcW w:w="874" w:type="pct"/>
            <w:tcBorders>
              <w:top w:val="single" w:sz="4" w:space="0" w:color="auto"/>
            </w:tcBorders>
            <w:shd w:val="clear" w:color="auto" w:fill="auto"/>
            <w:vAlign w:val="center"/>
          </w:tcPr>
          <w:p w:rsidR="00B070BF" w:rsidRPr="009577DE" w:rsidRDefault="00B070BF" w:rsidP="00C33D4A">
            <w:pPr>
              <w:widowControl w:val="0"/>
              <w:spacing w:after="120"/>
              <w:rPr>
                <w:sz w:val="16"/>
                <w:szCs w:val="16"/>
                <w:lang w:val="es-ES_tradnl"/>
              </w:rPr>
            </w:pPr>
            <w:r w:rsidRPr="009577DE">
              <w:rPr>
                <w:b/>
                <w:bCs/>
                <w:sz w:val="16"/>
                <w:szCs w:val="16"/>
                <w:lang w:val="es-ES_tradnl"/>
              </w:rPr>
              <w:t>Indicadores de rendimiento</w:t>
            </w:r>
          </w:p>
        </w:tc>
        <w:tc>
          <w:tcPr>
            <w:tcW w:w="805" w:type="pct"/>
            <w:tcBorders>
              <w:top w:val="single" w:sz="4" w:space="0" w:color="auto"/>
            </w:tcBorders>
            <w:shd w:val="clear" w:color="auto" w:fill="C0C0C0"/>
          </w:tcPr>
          <w:p w:rsidR="00B070BF" w:rsidRPr="009577DE" w:rsidRDefault="00B070BF" w:rsidP="00C33D4A">
            <w:pPr>
              <w:widowControl w:val="0"/>
              <w:spacing w:after="120"/>
              <w:rPr>
                <w:b/>
                <w:bCs/>
                <w:sz w:val="16"/>
                <w:szCs w:val="16"/>
                <w:lang w:val="es-ES_tradnl"/>
              </w:rPr>
            </w:pPr>
            <w:r w:rsidRPr="009577DE">
              <w:rPr>
                <w:b/>
                <w:bCs/>
                <w:sz w:val="16"/>
                <w:szCs w:val="16"/>
                <w:lang w:val="es-ES_tradnl"/>
              </w:rPr>
              <w:t>Referencia (</w:t>
            </w:r>
            <w:proofErr w:type="spellStart"/>
            <w:r w:rsidRPr="009577DE">
              <w:rPr>
                <w:b/>
                <w:bCs/>
                <w:sz w:val="16"/>
                <w:szCs w:val="16"/>
                <w:lang w:val="es-ES_tradnl"/>
              </w:rPr>
              <w:t>Presup</w:t>
            </w:r>
            <w:proofErr w:type="spellEnd"/>
            <w:r w:rsidRPr="009577DE">
              <w:rPr>
                <w:b/>
                <w:bCs/>
                <w:sz w:val="16"/>
                <w:szCs w:val="16"/>
                <w:lang w:val="es-ES_tradnl"/>
              </w:rPr>
              <w:t xml:space="preserve">. por </w:t>
            </w:r>
            <w:proofErr w:type="spellStart"/>
            <w:r w:rsidRPr="009577DE">
              <w:rPr>
                <w:b/>
                <w:bCs/>
                <w:sz w:val="16"/>
                <w:szCs w:val="16"/>
                <w:lang w:val="es-ES_tradnl"/>
              </w:rPr>
              <w:t>prog</w:t>
            </w:r>
            <w:proofErr w:type="spellEnd"/>
            <w:r w:rsidRPr="009577DE">
              <w:rPr>
                <w:b/>
                <w:bCs/>
                <w:sz w:val="16"/>
                <w:szCs w:val="16"/>
                <w:lang w:val="es-ES_tradnl"/>
              </w:rPr>
              <w:t>. 2012/13)</w:t>
            </w:r>
          </w:p>
        </w:tc>
        <w:tc>
          <w:tcPr>
            <w:tcW w:w="916" w:type="pct"/>
            <w:tcBorders>
              <w:top w:val="single" w:sz="4" w:space="0" w:color="auto"/>
            </w:tcBorders>
            <w:shd w:val="clear" w:color="auto" w:fill="auto"/>
            <w:tcMar>
              <w:top w:w="110" w:type="dxa"/>
            </w:tcMar>
            <w:vAlign w:val="center"/>
          </w:tcPr>
          <w:p w:rsidR="00B070BF" w:rsidRPr="009577DE" w:rsidRDefault="00B070BF" w:rsidP="00C33D4A">
            <w:pPr>
              <w:widowControl w:val="0"/>
              <w:spacing w:after="120"/>
              <w:rPr>
                <w:b/>
                <w:sz w:val="16"/>
                <w:szCs w:val="16"/>
                <w:lang w:val="es-ES_tradnl"/>
              </w:rPr>
            </w:pPr>
            <w:r w:rsidRPr="00BF138D">
              <w:rPr>
                <w:b/>
                <w:color w:val="993300"/>
                <w:sz w:val="16"/>
                <w:szCs w:val="16"/>
                <w:lang w:val="es-ES_tradnl"/>
              </w:rPr>
              <w:t>Referencia actualizada a finales de 2011</w:t>
            </w:r>
            <w:r w:rsidRPr="009577DE">
              <w:rPr>
                <w:b/>
                <w:sz w:val="16"/>
                <w:szCs w:val="16"/>
                <w:lang w:val="es-ES_tradnl"/>
              </w:rPr>
              <w:t xml:space="preserve"> </w:t>
            </w:r>
          </w:p>
        </w:tc>
        <w:tc>
          <w:tcPr>
            <w:tcW w:w="1848" w:type="pct"/>
            <w:tcBorders>
              <w:top w:val="single" w:sz="4" w:space="0" w:color="auto"/>
            </w:tcBorders>
            <w:shd w:val="clear" w:color="auto" w:fill="FFFFFF"/>
            <w:tcMar>
              <w:top w:w="110" w:type="dxa"/>
            </w:tcMar>
            <w:vAlign w:val="center"/>
          </w:tcPr>
          <w:p w:rsidR="00B070BF" w:rsidRPr="009577DE" w:rsidRDefault="00B070BF" w:rsidP="00C33D4A">
            <w:pPr>
              <w:widowControl w:val="0"/>
              <w:spacing w:after="120"/>
              <w:rPr>
                <w:sz w:val="16"/>
                <w:szCs w:val="16"/>
                <w:lang w:val="es-ES_tradnl"/>
              </w:rPr>
            </w:pPr>
            <w:r w:rsidRPr="009577DE">
              <w:rPr>
                <w:b/>
                <w:bCs/>
                <w:sz w:val="16"/>
                <w:szCs w:val="16"/>
                <w:lang w:val="es-ES_tradnl"/>
              </w:rPr>
              <w:t>Datos sobre el rendimiento</w:t>
            </w:r>
          </w:p>
        </w:tc>
        <w:tc>
          <w:tcPr>
            <w:tcW w:w="557" w:type="pct"/>
            <w:tcBorders>
              <w:top w:val="single" w:sz="4" w:space="0" w:color="auto"/>
            </w:tcBorders>
            <w:shd w:val="clear" w:color="auto" w:fill="auto"/>
            <w:tcMar>
              <w:top w:w="110" w:type="dxa"/>
            </w:tcMar>
            <w:vAlign w:val="center"/>
          </w:tcPr>
          <w:p w:rsidR="00B070BF" w:rsidRPr="009577DE" w:rsidRDefault="00B070BF" w:rsidP="00C33D4A">
            <w:pPr>
              <w:widowControl w:val="0"/>
              <w:spacing w:after="120"/>
              <w:jc w:val="center"/>
              <w:rPr>
                <w:b/>
                <w:bCs/>
                <w:sz w:val="16"/>
                <w:szCs w:val="16"/>
                <w:lang w:val="es-ES_tradnl"/>
              </w:rPr>
            </w:pPr>
            <w:r w:rsidRPr="009577DE">
              <w:rPr>
                <w:b/>
                <w:bCs/>
                <w:sz w:val="16"/>
                <w:szCs w:val="16"/>
                <w:lang w:val="es-ES_tradnl"/>
              </w:rPr>
              <w:t>Clave de colores</w:t>
            </w:r>
          </w:p>
        </w:tc>
      </w:tr>
      <w:tr w:rsidR="00B070BF" w:rsidRPr="009577DE" w:rsidTr="00C33D4A">
        <w:trPr>
          <w:cantSplit/>
        </w:trPr>
        <w:tc>
          <w:tcPr>
            <w:tcW w:w="874" w:type="pct"/>
            <w:shd w:val="clear" w:color="auto" w:fill="auto"/>
          </w:tcPr>
          <w:p w:rsidR="00B070BF" w:rsidRPr="009577DE" w:rsidRDefault="00B070BF" w:rsidP="00C33D4A">
            <w:pPr>
              <w:widowControl w:val="0"/>
              <w:rPr>
                <w:sz w:val="16"/>
                <w:szCs w:val="16"/>
                <w:lang w:val="es-ES_tradnl"/>
              </w:rPr>
            </w:pPr>
            <w:r w:rsidRPr="009577DE">
              <w:rPr>
                <w:sz w:val="16"/>
                <w:szCs w:val="16"/>
                <w:lang w:val="es-ES_tradnl"/>
              </w:rPr>
              <w:t>Disminución de los costos de adquisición de productos y servicios por la OMPI (derivada de invitaciones a presentar ofertas, negociaciones o prácticas de globalización de las Naciones Unidas).</w:t>
            </w:r>
          </w:p>
          <w:p w:rsidR="00B070BF" w:rsidRPr="009577DE" w:rsidRDefault="00B070BF" w:rsidP="00C33D4A">
            <w:pPr>
              <w:widowControl w:val="0"/>
              <w:rPr>
                <w:sz w:val="16"/>
                <w:szCs w:val="16"/>
                <w:lang w:val="es-ES_tradnl"/>
              </w:rPr>
            </w:pPr>
          </w:p>
        </w:tc>
        <w:tc>
          <w:tcPr>
            <w:tcW w:w="805" w:type="pct"/>
            <w:shd w:val="clear" w:color="auto" w:fill="C0C0C0"/>
          </w:tcPr>
          <w:p w:rsidR="00B070BF" w:rsidRPr="009577DE" w:rsidRDefault="00B070BF" w:rsidP="00C33D4A">
            <w:pPr>
              <w:widowControl w:val="0"/>
              <w:rPr>
                <w:sz w:val="16"/>
                <w:szCs w:val="16"/>
                <w:lang w:val="es-ES_tradnl"/>
              </w:rPr>
            </w:pPr>
            <w:r w:rsidRPr="009577DE">
              <w:rPr>
                <w:sz w:val="16"/>
                <w:szCs w:val="16"/>
                <w:lang w:val="es-ES_tradnl"/>
              </w:rPr>
              <w:t>500.000 francos suizos (valor previsto en el presupuesto por programas de 2010/11)</w:t>
            </w:r>
            <w:r w:rsidRPr="009577DE">
              <w:rPr>
                <w:sz w:val="16"/>
                <w:szCs w:val="16"/>
                <w:lang w:val="es-ES_tradnl"/>
              </w:rPr>
              <w:br/>
            </w:r>
            <w:r w:rsidRPr="009577DE">
              <w:rPr>
                <w:sz w:val="16"/>
                <w:szCs w:val="16"/>
                <w:lang w:val="es-ES_tradnl"/>
              </w:rPr>
              <w:br/>
            </w:r>
            <w:r w:rsidRPr="009577DE">
              <w:rPr>
                <w:sz w:val="16"/>
                <w:szCs w:val="16"/>
                <w:lang w:val="es-ES_tradnl"/>
              </w:rPr>
              <w:br/>
            </w:r>
            <w:r w:rsidRPr="009577DE">
              <w:rPr>
                <w:sz w:val="16"/>
                <w:szCs w:val="16"/>
                <w:lang w:val="es-ES_tradnl"/>
              </w:rPr>
              <w:br/>
            </w:r>
          </w:p>
        </w:tc>
        <w:tc>
          <w:tcPr>
            <w:tcW w:w="916" w:type="pct"/>
            <w:shd w:val="clear" w:color="auto" w:fill="auto"/>
            <w:tcMar>
              <w:top w:w="110" w:type="dxa"/>
            </w:tcMar>
          </w:tcPr>
          <w:p w:rsidR="00B070BF" w:rsidRPr="00F2661C" w:rsidRDefault="00B070BF" w:rsidP="00C33D4A">
            <w:pPr>
              <w:widowControl w:val="0"/>
              <w:rPr>
                <w:color w:val="993300"/>
                <w:sz w:val="16"/>
                <w:szCs w:val="16"/>
                <w:lang w:val="es-ES_tradnl"/>
              </w:rPr>
            </w:pPr>
          </w:p>
          <w:p w:rsidR="00B070BF" w:rsidRPr="00F2661C" w:rsidRDefault="00B070BF" w:rsidP="00C33D4A">
            <w:pPr>
              <w:widowControl w:val="0"/>
              <w:rPr>
                <w:color w:val="993300"/>
                <w:sz w:val="16"/>
                <w:szCs w:val="16"/>
                <w:lang w:val="es-ES_tradnl" w:bidi="th-TH"/>
              </w:rPr>
            </w:pPr>
            <w:r w:rsidRPr="00F2661C">
              <w:rPr>
                <w:color w:val="993300"/>
                <w:sz w:val="16"/>
                <w:szCs w:val="16"/>
                <w:lang w:val="es-ES_tradnl"/>
              </w:rPr>
              <w:br/>
            </w:r>
          </w:p>
        </w:tc>
        <w:tc>
          <w:tcPr>
            <w:tcW w:w="1848" w:type="pct"/>
            <w:shd w:val="clear" w:color="auto" w:fill="FFFFFF"/>
            <w:tcMar>
              <w:top w:w="110" w:type="dxa"/>
            </w:tcMar>
          </w:tcPr>
          <w:p w:rsidR="00B070BF" w:rsidRPr="009577DE" w:rsidRDefault="00B070BF" w:rsidP="00C33D4A">
            <w:pPr>
              <w:widowControl w:val="0"/>
              <w:rPr>
                <w:sz w:val="16"/>
                <w:szCs w:val="16"/>
                <w:lang w:val="es-ES_tradnl" w:bidi="th-TH"/>
              </w:rPr>
            </w:pPr>
            <w:r w:rsidRPr="009577DE">
              <w:rPr>
                <w:sz w:val="16"/>
                <w:szCs w:val="16"/>
                <w:lang w:val="es-ES_tradnl" w:bidi="th-TH"/>
              </w:rPr>
              <w:t>1.074.000 francos suizos, según la estimación de la evitación de costos publicada en el Grupo de Actividades Comunes de Compra de las Naciones Unidas (CPAG).</w:t>
            </w:r>
          </w:p>
          <w:p w:rsidR="00B070BF" w:rsidRPr="009577DE" w:rsidRDefault="00B070BF" w:rsidP="00C33D4A">
            <w:pPr>
              <w:widowControl w:val="0"/>
              <w:rPr>
                <w:sz w:val="16"/>
                <w:szCs w:val="16"/>
                <w:lang w:val="es-ES_tradnl" w:bidi="th-TH"/>
              </w:rPr>
            </w:pPr>
          </w:p>
          <w:p w:rsidR="00B070BF" w:rsidRPr="009577DE" w:rsidRDefault="00B070BF" w:rsidP="00C33D4A">
            <w:pPr>
              <w:widowControl w:val="0"/>
              <w:rPr>
                <w:sz w:val="16"/>
                <w:szCs w:val="16"/>
                <w:lang w:val="es-ES_tradnl" w:bidi="th-TH"/>
              </w:rPr>
            </w:pPr>
          </w:p>
          <w:p w:rsidR="00B070BF" w:rsidRPr="009577DE" w:rsidRDefault="00B070BF" w:rsidP="00C33D4A">
            <w:pPr>
              <w:widowControl w:val="0"/>
              <w:rPr>
                <w:sz w:val="16"/>
                <w:szCs w:val="16"/>
                <w:lang w:val="es-ES_tradnl" w:bidi="th-TH"/>
              </w:rPr>
            </w:pPr>
          </w:p>
          <w:p w:rsidR="00B070BF" w:rsidRPr="009577DE" w:rsidRDefault="00B070BF" w:rsidP="00C33D4A">
            <w:pPr>
              <w:widowControl w:val="0"/>
              <w:rPr>
                <w:sz w:val="16"/>
                <w:szCs w:val="16"/>
                <w:lang w:val="es-ES_tradnl"/>
              </w:rPr>
            </w:pPr>
          </w:p>
        </w:tc>
        <w:tc>
          <w:tcPr>
            <w:tcW w:w="557" w:type="pct"/>
            <w:shd w:val="clear" w:color="auto" w:fill="auto"/>
            <w:tcMar>
              <w:top w:w="110" w:type="dxa"/>
            </w:tcMar>
          </w:tcPr>
          <w:p w:rsidR="00B070BF" w:rsidRPr="009577DE" w:rsidRDefault="00B070BF" w:rsidP="00C33D4A">
            <w:pPr>
              <w:widowControl w:val="0"/>
              <w:jc w:val="center"/>
              <w:rPr>
                <w:b/>
                <w:sz w:val="16"/>
                <w:szCs w:val="16"/>
                <w:lang w:val="es-ES_tradnl"/>
              </w:rPr>
            </w:pPr>
            <w:r w:rsidRPr="009577DE">
              <w:rPr>
                <w:b/>
                <w:color w:val="008000"/>
                <w:sz w:val="16"/>
                <w:szCs w:val="16"/>
                <w:lang w:val="es-ES_tradnl"/>
              </w:rPr>
              <w:t>Progresa con normalidad</w:t>
            </w:r>
          </w:p>
          <w:p w:rsidR="00B070BF" w:rsidRPr="009577DE" w:rsidRDefault="00B070BF" w:rsidP="00C33D4A">
            <w:pPr>
              <w:widowControl w:val="0"/>
              <w:jc w:val="center"/>
              <w:rPr>
                <w:bCs/>
                <w:sz w:val="16"/>
                <w:szCs w:val="16"/>
                <w:lang w:val="es-ES_tradnl"/>
              </w:rPr>
            </w:pPr>
          </w:p>
          <w:p w:rsidR="00B070BF" w:rsidRPr="009577DE" w:rsidRDefault="00B070BF" w:rsidP="00C33D4A">
            <w:pPr>
              <w:widowControl w:val="0"/>
              <w:jc w:val="center"/>
              <w:rPr>
                <w:bCs/>
                <w:sz w:val="16"/>
                <w:szCs w:val="16"/>
                <w:lang w:val="es-ES_tradnl"/>
              </w:rPr>
            </w:pPr>
          </w:p>
        </w:tc>
      </w:tr>
      <w:tr w:rsidR="00B070BF" w:rsidRPr="009577DE" w:rsidTr="00C33D4A">
        <w:trPr>
          <w:cantSplit/>
        </w:trPr>
        <w:tc>
          <w:tcPr>
            <w:tcW w:w="874" w:type="pct"/>
            <w:shd w:val="clear" w:color="auto" w:fill="auto"/>
          </w:tcPr>
          <w:p w:rsidR="00B070BF" w:rsidRPr="009577DE" w:rsidRDefault="00B070BF" w:rsidP="00C33D4A">
            <w:pPr>
              <w:widowControl w:val="0"/>
              <w:rPr>
                <w:sz w:val="16"/>
                <w:szCs w:val="16"/>
                <w:lang w:val="es-ES_tradnl"/>
              </w:rPr>
            </w:pPr>
            <w:r w:rsidRPr="009577DE">
              <w:rPr>
                <w:sz w:val="16"/>
                <w:szCs w:val="16"/>
                <w:lang w:val="es-ES_tradnl"/>
              </w:rPr>
              <w:t>Porcentaje de usuarios internos satisfechos con los servicios de adquisiciones.</w:t>
            </w:r>
          </w:p>
        </w:tc>
        <w:tc>
          <w:tcPr>
            <w:tcW w:w="805" w:type="pct"/>
            <w:shd w:val="clear" w:color="auto" w:fill="B3B3B3"/>
          </w:tcPr>
          <w:p w:rsidR="00B070BF" w:rsidRPr="009577DE" w:rsidRDefault="00B070BF" w:rsidP="00C33D4A">
            <w:pPr>
              <w:widowControl w:val="0"/>
              <w:rPr>
                <w:sz w:val="16"/>
                <w:szCs w:val="16"/>
                <w:lang w:val="es-ES_tradnl"/>
              </w:rPr>
            </w:pPr>
            <w:r w:rsidRPr="009577DE">
              <w:rPr>
                <w:sz w:val="16"/>
                <w:szCs w:val="16"/>
                <w:lang w:val="es-ES_tradnl"/>
              </w:rPr>
              <w:t>A determinar a fines de 2011.</w:t>
            </w:r>
          </w:p>
        </w:tc>
        <w:tc>
          <w:tcPr>
            <w:tcW w:w="916" w:type="pct"/>
            <w:shd w:val="clear" w:color="auto" w:fill="auto"/>
            <w:tcMar>
              <w:top w:w="110" w:type="dxa"/>
            </w:tcMar>
          </w:tcPr>
          <w:p w:rsidR="00B070BF" w:rsidRPr="00F2661C" w:rsidRDefault="00B070BF" w:rsidP="00C33D4A">
            <w:pPr>
              <w:widowControl w:val="0"/>
              <w:rPr>
                <w:color w:val="993300"/>
                <w:sz w:val="16"/>
                <w:szCs w:val="16"/>
                <w:lang w:val="es-ES_tradnl" w:bidi="th-TH"/>
              </w:rPr>
            </w:pPr>
            <w:r w:rsidRPr="00F2661C">
              <w:rPr>
                <w:color w:val="993300"/>
                <w:sz w:val="16"/>
                <w:szCs w:val="16"/>
                <w:lang w:val="es-ES_tradnl" w:bidi="th-TH"/>
              </w:rPr>
              <w:t>75%</w:t>
            </w:r>
          </w:p>
        </w:tc>
        <w:tc>
          <w:tcPr>
            <w:tcW w:w="1848" w:type="pct"/>
            <w:shd w:val="clear" w:color="auto" w:fill="FFFFFF"/>
            <w:tcMar>
              <w:top w:w="110" w:type="dxa"/>
            </w:tcMar>
          </w:tcPr>
          <w:p w:rsidR="00B070BF" w:rsidRPr="009577DE" w:rsidRDefault="00B070BF" w:rsidP="00C33D4A">
            <w:pPr>
              <w:widowControl w:val="0"/>
              <w:rPr>
                <w:sz w:val="16"/>
                <w:szCs w:val="16"/>
                <w:lang w:val="es-ES_tradnl" w:bidi="th-TH"/>
              </w:rPr>
            </w:pPr>
            <w:r w:rsidRPr="009577DE">
              <w:rPr>
                <w:sz w:val="16"/>
                <w:szCs w:val="16"/>
                <w:lang w:val="es-ES_tradnl" w:bidi="th-TH"/>
              </w:rPr>
              <w:t>73%</w:t>
            </w:r>
          </w:p>
        </w:tc>
        <w:tc>
          <w:tcPr>
            <w:tcW w:w="557" w:type="pct"/>
            <w:shd w:val="clear" w:color="auto" w:fill="auto"/>
            <w:tcMar>
              <w:top w:w="110" w:type="dxa"/>
            </w:tcMar>
            <w:vAlign w:val="center"/>
          </w:tcPr>
          <w:p w:rsidR="00B070BF" w:rsidRPr="009577DE" w:rsidRDefault="00B070BF" w:rsidP="00C33D4A">
            <w:pPr>
              <w:widowControl w:val="0"/>
              <w:jc w:val="center"/>
              <w:rPr>
                <w:b/>
                <w:bCs/>
                <w:sz w:val="16"/>
                <w:szCs w:val="16"/>
                <w:lang w:val="es-ES_tradnl"/>
              </w:rPr>
            </w:pPr>
            <w:r w:rsidRPr="009577DE">
              <w:rPr>
                <w:b/>
                <w:bCs/>
                <w:color w:val="008000"/>
                <w:sz w:val="16"/>
                <w:szCs w:val="16"/>
                <w:lang w:val="es-ES_tradnl"/>
              </w:rPr>
              <w:t>Progresa con normalidad</w:t>
            </w:r>
          </w:p>
          <w:p w:rsidR="00B070BF" w:rsidRPr="009577DE" w:rsidRDefault="00B070BF" w:rsidP="00C33D4A">
            <w:pPr>
              <w:widowControl w:val="0"/>
              <w:jc w:val="center"/>
              <w:rPr>
                <w:bCs/>
                <w:sz w:val="16"/>
                <w:szCs w:val="16"/>
                <w:lang w:val="es-ES_tradnl"/>
              </w:rPr>
            </w:pPr>
          </w:p>
          <w:p w:rsidR="00B070BF" w:rsidRPr="009577DE" w:rsidRDefault="00B070BF" w:rsidP="00C33D4A">
            <w:pPr>
              <w:widowControl w:val="0"/>
              <w:spacing w:after="120"/>
              <w:jc w:val="center"/>
              <w:rPr>
                <w:bCs/>
                <w:sz w:val="16"/>
                <w:szCs w:val="16"/>
                <w:lang w:val="es-ES_tradnl"/>
              </w:rPr>
            </w:pPr>
          </w:p>
        </w:tc>
      </w:tr>
      <w:tr w:rsidR="00B070BF" w:rsidRPr="009577DE" w:rsidTr="00C33D4A">
        <w:trPr>
          <w:cantSplit/>
        </w:trPr>
        <w:tc>
          <w:tcPr>
            <w:tcW w:w="874" w:type="pct"/>
            <w:shd w:val="clear" w:color="auto" w:fill="auto"/>
          </w:tcPr>
          <w:p w:rsidR="00B070BF" w:rsidRPr="009577DE" w:rsidRDefault="00B070BF" w:rsidP="00C33D4A">
            <w:pPr>
              <w:widowControl w:val="0"/>
              <w:rPr>
                <w:sz w:val="16"/>
                <w:szCs w:val="16"/>
                <w:lang w:val="es-ES_tradnl"/>
              </w:rPr>
            </w:pPr>
            <w:r w:rsidRPr="009577DE">
              <w:rPr>
                <w:sz w:val="16"/>
                <w:szCs w:val="16"/>
                <w:lang w:val="es-ES_tradnl"/>
              </w:rPr>
              <w:t>Porcentaje de gastos efectuados con arreglo a las prácticas vigentes en NN.UU.</w:t>
            </w:r>
          </w:p>
        </w:tc>
        <w:tc>
          <w:tcPr>
            <w:tcW w:w="805" w:type="pct"/>
            <w:shd w:val="clear" w:color="auto" w:fill="B3B3B3"/>
          </w:tcPr>
          <w:p w:rsidR="00B070BF" w:rsidRPr="009577DE" w:rsidRDefault="00B070BF" w:rsidP="00C33D4A">
            <w:pPr>
              <w:widowControl w:val="0"/>
              <w:rPr>
                <w:sz w:val="16"/>
                <w:szCs w:val="16"/>
                <w:lang w:val="es-ES_tradnl"/>
              </w:rPr>
            </w:pPr>
            <w:r w:rsidRPr="009577DE">
              <w:rPr>
                <w:sz w:val="16"/>
                <w:szCs w:val="16"/>
                <w:lang w:val="es-ES_tradnl"/>
              </w:rPr>
              <w:t>A determinar a fines de 2011.</w:t>
            </w:r>
          </w:p>
        </w:tc>
        <w:tc>
          <w:tcPr>
            <w:tcW w:w="916" w:type="pct"/>
            <w:shd w:val="clear" w:color="auto" w:fill="auto"/>
            <w:tcMar>
              <w:top w:w="110" w:type="dxa"/>
            </w:tcMar>
          </w:tcPr>
          <w:p w:rsidR="00B070BF" w:rsidRPr="00F2661C" w:rsidRDefault="00B070BF" w:rsidP="00C33D4A">
            <w:pPr>
              <w:widowControl w:val="0"/>
              <w:rPr>
                <w:color w:val="993300"/>
                <w:sz w:val="16"/>
                <w:szCs w:val="16"/>
                <w:lang w:val="es-ES_tradnl" w:bidi="th-TH"/>
              </w:rPr>
            </w:pPr>
            <w:r w:rsidRPr="00F2661C">
              <w:rPr>
                <w:color w:val="993300"/>
                <w:sz w:val="16"/>
                <w:szCs w:val="16"/>
                <w:lang w:val="es-ES_tradnl" w:bidi="th-TH"/>
              </w:rPr>
              <w:t>10%</w:t>
            </w:r>
          </w:p>
        </w:tc>
        <w:tc>
          <w:tcPr>
            <w:tcW w:w="1848" w:type="pct"/>
            <w:shd w:val="clear" w:color="auto" w:fill="FFFFFF"/>
            <w:tcMar>
              <w:top w:w="110" w:type="dxa"/>
            </w:tcMar>
          </w:tcPr>
          <w:p w:rsidR="00B070BF" w:rsidRPr="009577DE" w:rsidRDefault="00B070BF" w:rsidP="00C33D4A">
            <w:pPr>
              <w:widowControl w:val="0"/>
              <w:rPr>
                <w:sz w:val="16"/>
                <w:szCs w:val="16"/>
                <w:lang w:val="es-ES_tradnl" w:bidi="th-TH"/>
              </w:rPr>
            </w:pPr>
            <w:r w:rsidRPr="009577DE">
              <w:rPr>
                <w:sz w:val="16"/>
                <w:szCs w:val="16"/>
                <w:lang w:val="es-ES_tradnl" w:bidi="th-TH"/>
              </w:rPr>
              <w:t>3%</w:t>
            </w:r>
          </w:p>
          <w:p w:rsidR="00B070BF" w:rsidRPr="009577DE" w:rsidRDefault="00B070BF" w:rsidP="00C33D4A">
            <w:pPr>
              <w:widowControl w:val="0"/>
              <w:rPr>
                <w:sz w:val="16"/>
                <w:szCs w:val="16"/>
                <w:lang w:val="es-ES_tradnl"/>
              </w:rPr>
            </w:pPr>
          </w:p>
        </w:tc>
        <w:tc>
          <w:tcPr>
            <w:tcW w:w="557" w:type="pct"/>
            <w:shd w:val="clear" w:color="auto" w:fill="auto"/>
          </w:tcPr>
          <w:p w:rsidR="00B070BF" w:rsidRPr="009577DE" w:rsidRDefault="00B070BF" w:rsidP="00C33D4A">
            <w:pPr>
              <w:widowControl w:val="0"/>
              <w:jc w:val="center"/>
              <w:rPr>
                <w:bCs/>
                <w:sz w:val="16"/>
                <w:szCs w:val="16"/>
                <w:lang w:val="es-ES_tradnl"/>
              </w:rPr>
            </w:pPr>
            <w:r w:rsidRPr="009577DE">
              <w:rPr>
                <w:bCs/>
                <w:sz w:val="16"/>
                <w:szCs w:val="16"/>
                <w:lang w:val="es-ES_tradnl"/>
              </w:rPr>
              <w:t xml:space="preserve"> </w:t>
            </w:r>
            <w:r w:rsidRPr="009577DE">
              <w:rPr>
                <w:b/>
                <w:color w:val="FF0000"/>
                <w:sz w:val="16"/>
                <w:szCs w:val="16"/>
                <w:lang w:val="es-ES_tradnl"/>
              </w:rPr>
              <w:t>Sin avances significativos</w:t>
            </w:r>
          </w:p>
          <w:p w:rsidR="00B070BF" w:rsidRPr="009577DE" w:rsidRDefault="00B070BF" w:rsidP="00C33D4A">
            <w:pPr>
              <w:widowControl w:val="0"/>
              <w:rPr>
                <w:bCs/>
                <w:sz w:val="16"/>
                <w:szCs w:val="16"/>
                <w:lang w:val="es-ES_tradnl"/>
              </w:rPr>
            </w:pPr>
          </w:p>
        </w:tc>
      </w:tr>
      <w:tr w:rsidR="00B070BF" w:rsidRPr="009577DE" w:rsidTr="00C33D4A">
        <w:trPr>
          <w:cantSplit/>
        </w:trPr>
        <w:tc>
          <w:tcPr>
            <w:tcW w:w="874" w:type="pct"/>
            <w:shd w:val="clear" w:color="auto" w:fill="auto"/>
          </w:tcPr>
          <w:p w:rsidR="00B070BF" w:rsidRPr="009577DE" w:rsidRDefault="00B070BF" w:rsidP="00C33D4A">
            <w:pPr>
              <w:widowControl w:val="0"/>
              <w:rPr>
                <w:sz w:val="16"/>
                <w:szCs w:val="16"/>
                <w:lang w:val="es-ES_tradnl"/>
              </w:rPr>
            </w:pPr>
            <w:r w:rsidRPr="009577DE">
              <w:rPr>
                <w:sz w:val="16"/>
                <w:szCs w:val="16"/>
                <w:lang w:val="es-ES_tradnl"/>
              </w:rPr>
              <w:t>Tiempo de tramitación de las autorizaciones electrónicas de viaje (e-TA) y peticiones electrónicas de actividades (e-ER) (condicionado al cumplimiento del plazo previsto).</w:t>
            </w:r>
          </w:p>
        </w:tc>
        <w:tc>
          <w:tcPr>
            <w:tcW w:w="805" w:type="pct"/>
            <w:shd w:val="clear" w:color="auto" w:fill="C0C0C0"/>
          </w:tcPr>
          <w:p w:rsidR="00B070BF" w:rsidRPr="009577DE" w:rsidRDefault="00B070BF" w:rsidP="00C33D4A">
            <w:pPr>
              <w:widowControl w:val="0"/>
              <w:rPr>
                <w:sz w:val="16"/>
                <w:szCs w:val="16"/>
                <w:lang w:val="es-ES_tradnl"/>
              </w:rPr>
            </w:pPr>
            <w:r w:rsidRPr="009577DE">
              <w:rPr>
                <w:sz w:val="16"/>
                <w:szCs w:val="16"/>
                <w:lang w:val="es-ES_tradnl"/>
              </w:rPr>
              <w:t>e-TA - 1 día e-ER = 2 horas</w:t>
            </w:r>
          </w:p>
        </w:tc>
        <w:tc>
          <w:tcPr>
            <w:tcW w:w="916" w:type="pct"/>
            <w:shd w:val="clear" w:color="auto" w:fill="auto"/>
            <w:tcMar>
              <w:top w:w="110" w:type="dxa"/>
            </w:tcMar>
          </w:tcPr>
          <w:p w:rsidR="00B070BF" w:rsidRPr="00F2661C" w:rsidRDefault="00B070BF" w:rsidP="00C33D4A">
            <w:pPr>
              <w:widowControl w:val="0"/>
              <w:rPr>
                <w:color w:val="993300"/>
                <w:sz w:val="16"/>
                <w:szCs w:val="16"/>
                <w:lang w:val="es-ES_tradnl" w:bidi="th-TH"/>
              </w:rPr>
            </w:pPr>
          </w:p>
        </w:tc>
        <w:tc>
          <w:tcPr>
            <w:tcW w:w="1848" w:type="pct"/>
            <w:shd w:val="clear" w:color="auto" w:fill="FFFFFF"/>
            <w:tcMar>
              <w:top w:w="110" w:type="dxa"/>
            </w:tcMar>
          </w:tcPr>
          <w:p w:rsidR="00B070BF" w:rsidRPr="009577DE" w:rsidRDefault="00B070BF" w:rsidP="00C33D4A">
            <w:pPr>
              <w:widowControl w:val="0"/>
              <w:rPr>
                <w:sz w:val="16"/>
                <w:szCs w:val="16"/>
                <w:lang w:val="es-ES_tradnl" w:bidi="th-TH"/>
              </w:rPr>
            </w:pPr>
            <w:r w:rsidRPr="009577DE">
              <w:rPr>
                <w:sz w:val="16"/>
                <w:szCs w:val="16"/>
                <w:lang w:val="es-ES_tradnl" w:bidi="th-TH"/>
              </w:rPr>
              <w:t>Menos de un día</w:t>
            </w:r>
          </w:p>
          <w:p w:rsidR="00B070BF" w:rsidRPr="009577DE" w:rsidRDefault="00B070BF" w:rsidP="00C33D4A">
            <w:pPr>
              <w:widowControl w:val="0"/>
              <w:rPr>
                <w:sz w:val="16"/>
                <w:szCs w:val="16"/>
                <w:lang w:val="es-ES_tradnl" w:bidi="th-TH"/>
              </w:rPr>
            </w:pPr>
            <w:r w:rsidRPr="009577DE">
              <w:rPr>
                <w:sz w:val="16"/>
                <w:szCs w:val="16"/>
                <w:lang w:val="es-ES_tradnl" w:bidi="th-TH"/>
              </w:rPr>
              <w:t>2 horas</w:t>
            </w:r>
          </w:p>
          <w:p w:rsidR="00B070BF" w:rsidRPr="009577DE" w:rsidRDefault="00B070BF" w:rsidP="00C33D4A">
            <w:pPr>
              <w:widowControl w:val="0"/>
              <w:rPr>
                <w:sz w:val="16"/>
                <w:szCs w:val="16"/>
                <w:lang w:val="es-ES_tradnl" w:bidi="th-TH"/>
              </w:rPr>
            </w:pPr>
          </w:p>
          <w:p w:rsidR="00B070BF" w:rsidRPr="009577DE" w:rsidRDefault="00B070BF" w:rsidP="00C33D4A">
            <w:pPr>
              <w:widowControl w:val="0"/>
              <w:rPr>
                <w:sz w:val="16"/>
                <w:szCs w:val="16"/>
                <w:lang w:val="es-ES_tradnl" w:bidi="th-TH"/>
              </w:rPr>
            </w:pPr>
          </w:p>
          <w:p w:rsidR="00B070BF" w:rsidRPr="009577DE" w:rsidRDefault="00B070BF" w:rsidP="00C33D4A">
            <w:pPr>
              <w:widowControl w:val="0"/>
              <w:rPr>
                <w:sz w:val="16"/>
                <w:szCs w:val="16"/>
                <w:lang w:val="es-ES_tradnl" w:bidi="th-TH"/>
              </w:rPr>
            </w:pPr>
          </w:p>
          <w:p w:rsidR="00B070BF" w:rsidRPr="009577DE" w:rsidRDefault="00B070BF" w:rsidP="00C33D4A">
            <w:pPr>
              <w:widowControl w:val="0"/>
              <w:rPr>
                <w:sz w:val="16"/>
                <w:szCs w:val="16"/>
                <w:lang w:val="es-ES_tradnl" w:bidi="th-TH"/>
              </w:rPr>
            </w:pPr>
          </w:p>
          <w:p w:rsidR="00B070BF" w:rsidRPr="009577DE" w:rsidRDefault="00B070BF" w:rsidP="00C33D4A">
            <w:pPr>
              <w:widowControl w:val="0"/>
              <w:rPr>
                <w:sz w:val="16"/>
                <w:szCs w:val="16"/>
                <w:lang w:val="es-ES_tradnl"/>
              </w:rPr>
            </w:pPr>
          </w:p>
        </w:tc>
        <w:tc>
          <w:tcPr>
            <w:tcW w:w="557" w:type="pct"/>
            <w:shd w:val="clear" w:color="auto" w:fill="auto"/>
            <w:tcMar>
              <w:top w:w="110" w:type="dxa"/>
            </w:tcMar>
          </w:tcPr>
          <w:p w:rsidR="00B070BF" w:rsidRPr="009577DE" w:rsidRDefault="00B070BF" w:rsidP="00C33D4A">
            <w:pPr>
              <w:widowControl w:val="0"/>
              <w:jc w:val="center"/>
              <w:rPr>
                <w:b/>
                <w:sz w:val="16"/>
                <w:szCs w:val="16"/>
                <w:lang w:val="es-ES_tradnl"/>
              </w:rPr>
            </w:pPr>
            <w:r w:rsidRPr="009577DE">
              <w:rPr>
                <w:b/>
                <w:color w:val="008000"/>
                <w:sz w:val="16"/>
                <w:szCs w:val="16"/>
                <w:lang w:val="es-ES_tradnl"/>
              </w:rPr>
              <w:t>Progresa con normalidad</w:t>
            </w:r>
          </w:p>
          <w:p w:rsidR="00B070BF" w:rsidRPr="009577DE" w:rsidRDefault="00B070BF" w:rsidP="00C33D4A">
            <w:pPr>
              <w:widowControl w:val="0"/>
              <w:jc w:val="center"/>
              <w:rPr>
                <w:bCs/>
                <w:sz w:val="16"/>
                <w:szCs w:val="16"/>
                <w:lang w:val="es-ES_tradnl"/>
              </w:rPr>
            </w:pPr>
          </w:p>
          <w:p w:rsidR="00B070BF" w:rsidRPr="009577DE" w:rsidRDefault="00B070BF" w:rsidP="00C33D4A">
            <w:pPr>
              <w:widowControl w:val="0"/>
              <w:jc w:val="center"/>
              <w:rPr>
                <w:bCs/>
                <w:sz w:val="16"/>
                <w:szCs w:val="16"/>
                <w:lang w:val="es-ES_tradnl"/>
              </w:rPr>
            </w:pPr>
          </w:p>
        </w:tc>
      </w:tr>
      <w:tr w:rsidR="00B070BF" w:rsidRPr="009577DE" w:rsidTr="00C33D4A">
        <w:trPr>
          <w:cantSplit/>
        </w:trPr>
        <w:tc>
          <w:tcPr>
            <w:tcW w:w="874" w:type="pct"/>
            <w:shd w:val="clear" w:color="auto" w:fill="auto"/>
          </w:tcPr>
          <w:p w:rsidR="00B070BF" w:rsidRPr="009577DE" w:rsidRDefault="00B070BF" w:rsidP="00C33D4A">
            <w:pPr>
              <w:widowControl w:val="0"/>
              <w:rPr>
                <w:sz w:val="16"/>
                <w:szCs w:val="16"/>
                <w:lang w:val="es-ES_tradnl"/>
              </w:rPr>
            </w:pPr>
            <w:r w:rsidRPr="009577DE">
              <w:rPr>
                <w:sz w:val="16"/>
                <w:szCs w:val="16"/>
                <w:lang w:val="es-ES_tradnl"/>
              </w:rPr>
              <w:t>Tiempo de tramitación de visados para terceros.</w:t>
            </w:r>
          </w:p>
        </w:tc>
        <w:tc>
          <w:tcPr>
            <w:tcW w:w="805" w:type="pct"/>
            <w:shd w:val="clear" w:color="auto" w:fill="B3B3B3"/>
          </w:tcPr>
          <w:p w:rsidR="00B070BF" w:rsidRPr="009577DE" w:rsidRDefault="00B070BF" w:rsidP="00C33D4A">
            <w:pPr>
              <w:widowControl w:val="0"/>
              <w:rPr>
                <w:sz w:val="16"/>
                <w:szCs w:val="16"/>
                <w:lang w:val="es-ES_tradnl"/>
              </w:rPr>
            </w:pPr>
            <w:r w:rsidRPr="009577DE">
              <w:rPr>
                <w:sz w:val="16"/>
                <w:szCs w:val="16"/>
                <w:lang w:val="es-ES_tradnl"/>
              </w:rPr>
              <w:t>4 a 5 días</w:t>
            </w:r>
          </w:p>
        </w:tc>
        <w:tc>
          <w:tcPr>
            <w:tcW w:w="916" w:type="pct"/>
            <w:shd w:val="clear" w:color="auto" w:fill="auto"/>
            <w:tcMar>
              <w:top w:w="110" w:type="dxa"/>
            </w:tcMar>
          </w:tcPr>
          <w:p w:rsidR="00B070BF" w:rsidRPr="009577DE" w:rsidRDefault="00B070BF" w:rsidP="00C33D4A">
            <w:pPr>
              <w:widowControl w:val="0"/>
              <w:rPr>
                <w:sz w:val="16"/>
                <w:szCs w:val="16"/>
                <w:lang w:val="es-ES_tradnl" w:bidi="th-TH"/>
              </w:rPr>
            </w:pPr>
          </w:p>
        </w:tc>
        <w:tc>
          <w:tcPr>
            <w:tcW w:w="1848" w:type="pct"/>
            <w:shd w:val="clear" w:color="auto" w:fill="FFFFFF"/>
            <w:tcMar>
              <w:top w:w="110" w:type="dxa"/>
            </w:tcMar>
          </w:tcPr>
          <w:p w:rsidR="00B070BF" w:rsidRPr="009577DE" w:rsidRDefault="00B070BF" w:rsidP="00C33D4A">
            <w:pPr>
              <w:widowControl w:val="0"/>
              <w:rPr>
                <w:sz w:val="16"/>
                <w:szCs w:val="16"/>
                <w:lang w:val="es-ES_tradnl" w:bidi="th-TH"/>
              </w:rPr>
            </w:pPr>
            <w:r w:rsidRPr="009577DE">
              <w:rPr>
                <w:sz w:val="16"/>
                <w:szCs w:val="16"/>
                <w:lang w:val="es-ES_tradnl" w:bidi="th-TH"/>
              </w:rPr>
              <w:t>De 2 a 3 días.</w:t>
            </w:r>
          </w:p>
        </w:tc>
        <w:tc>
          <w:tcPr>
            <w:tcW w:w="557" w:type="pct"/>
            <w:shd w:val="clear" w:color="auto" w:fill="auto"/>
            <w:tcMar>
              <w:top w:w="110" w:type="dxa"/>
            </w:tcMar>
            <w:vAlign w:val="center"/>
          </w:tcPr>
          <w:p w:rsidR="00B070BF" w:rsidRPr="009577DE" w:rsidRDefault="00B070BF" w:rsidP="00C33D4A">
            <w:pPr>
              <w:widowControl w:val="0"/>
              <w:jc w:val="center"/>
              <w:rPr>
                <w:b/>
                <w:sz w:val="16"/>
                <w:szCs w:val="16"/>
                <w:lang w:val="es-ES_tradnl"/>
              </w:rPr>
            </w:pPr>
            <w:r w:rsidRPr="009577DE">
              <w:rPr>
                <w:b/>
                <w:color w:val="008000"/>
                <w:sz w:val="16"/>
                <w:szCs w:val="16"/>
                <w:lang w:val="es-ES_tradnl"/>
              </w:rPr>
              <w:t>Progresa con normalidad</w:t>
            </w:r>
          </w:p>
          <w:p w:rsidR="00B070BF" w:rsidRPr="009577DE" w:rsidRDefault="00B070BF" w:rsidP="00C33D4A">
            <w:pPr>
              <w:widowControl w:val="0"/>
              <w:spacing w:after="120"/>
              <w:rPr>
                <w:bCs/>
                <w:sz w:val="16"/>
                <w:szCs w:val="16"/>
                <w:lang w:val="es-ES_tradnl"/>
              </w:rPr>
            </w:pPr>
          </w:p>
        </w:tc>
      </w:tr>
      <w:tr w:rsidR="00B070BF" w:rsidRPr="009577DE" w:rsidTr="00C33D4A">
        <w:trPr>
          <w:cantSplit/>
        </w:trPr>
        <w:tc>
          <w:tcPr>
            <w:tcW w:w="874" w:type="pct"/>
            <w:shd w:val="clear" w:color="auto" w:fill="auto"/>
          </w:tcPr>
          <w:p w:rsidR="00B070BF" w:rsidRPr="009577DE" w:rsidRDefault="00B070BF" w:rsidP="00C33D4A">
            <w:pPr>
              <w:widowControl w:val="0"/>
              <w:rPr>
                <w:sz w:val="16"/>
                <w:szCs w:val="16"/>
                <w:lang w:val="es-ES_tradnl"/>
              </w:rPr>
            </w:pPr>
            <w:r w:rsidRPr="009577DE">
              <w:rPr>
                <w:sz w:val="16"/>
                <w:szCs w:val="16"/>
                <w:lang w:val="es-ES_tradnl"/>
              </w:rPr>
              <w:t>Reducción de los costos de viaje gracias a las conferencias electrónicas y las videoconferencias.</w:t>
            </w:r>
          </w:p>
          <w:p w:rsidR="00B070BF" w:rsidRPr="009577DE" w:rsidRDefault="00B070BF" w:rsidP="00C33D4A">
            <w:pPr>
              <w:widowControl w:val="0"/>
              <w:rPr>
                <w:sz w:val="16"/>
                <w:szCs w:val="16"/>
                <w:lang w:val="es-ES_tradnl"/>
              </w:rPr>
            </w:pPr>
          </w:p>
        </w:tc>
        <w:tc>
          <w:tcPr>
            <w:tcW w:w="805" w:type="pct"/>
            <w:shd w:val="clear" w:color="auto" w:fill="B3B3B3"/>
          </w:tcPr>
          <w:p w:rsidR="00B070BF" w:rsidRPr="009577DE" w:rsidRDefault="00B070BF" w:rsidP="00C33D4A">
            <w:pPr>
              <w:widowControl w:val="0"/>
              <w:rPr>
                <w:sz w:val="16"/>
                <w:szCs w:val="16"/>
                <w:lang w:val="es-ES_tradnl"/>
              </w:rPr>
            </w:pPr>
            <w:r w:rsidRPr="009577DE">
              <w:rPr>
                <w:sz w:val="16"/>
                <w:szCs w:val="16"/>
                <w:lang w:val="es-ES_tradnl"/>
              </w:rPr>
              <w:t>Por determinar.</w:t>
            </w:r>
          </w:p>
        </w:tc>
        <w:tc>
          <w:tcPr>
            <w:tcW w:w="916" w:type="pct"/>
            <w:shd w:val="clear" w:color="auto" w:fill="auto"/>
            <w:tcMar>
              <w:top w:w="110" w:type="dxa"/>
            </w:tcMar>
          </w:tcPr>
          <w:p w:rsidR="00B070BF" w:rsidRPr="009577DE" w:rsidRDefault="00B070BF" w:rsidP="00C33D4A">
            <w:pPr>
              <w:widowControl w:val="0"/>
              <w:rPr>
                <w:sz w:val="16"/>
                <w:szCs w:val="16"/>
                <w:lang w:val="es-ES_tradnl"/>
              </w:rPr>
            </w:pPr>
          </w:p>
        </w:tc>
        <w:tc>
          <w:tcPr>
            <w:tcW w:w="1848" w:type="pct"/>
            <w:shd w:val="clear" w:color="auto" w:fill="FFFFFF"/>
            <w:tcMar>
              <w:top w:w="110" w:type="dxa"/>
            </w:tcMar>
          </w:tcPr>
          <w:p w:rsidR="00B070BF" w:rsidRPr="009577DE" w:rsidRDefault="00B070BF" w:rsidP="00C33D4A">
            <w:pPr>
              <w:widowControl w:val="0"/>
              <w:rPr>
                <w:sz w:val="16"/>
                <w:szCs w:val="16"/>
                <w:lang w:val="es-ES_tradnl" w:bidi="th-TH"/>
              </w:rPr>
            </w:pPr>
          </w:p>
        </w:tc>
        <w:tc>
          <w:tcPr>
            <w:tcW w:w="557" w:type="pct"/>
            <w:shd w:val="clear" w:color="auto" w:fill="auto"/>
            <w:tcMar>
              <w:top w:w="110" w:type="dxa"/>
            </w:tcMar>
            <w:vAlign w:val="center"/>
          </w:tcPr>
          <w:p w:rsidR="00B070BF" w:rsidRPr="009577DE" w:rsidRDefault="00B070BF" w:rsidP="00C33D4A">
            <w:pPr>
              <w:widowControl w:val="0"/>
              <w:jc w:val="center"/>
              <w:rPr>
                <w:b/>
                <w:sz w:val="16"/>
                <w:szCs w:val="16"/>
                <w:lang w:val="es-ES_tradnl"/>
              </w:rPr>
            </w:pPr>
            <w:r w:rsidRPr="009577DE">
              <w:rPr>
                <w:b/>
                <w:sz w:val="16"/>
                <w:szCs w:val="16"/>
                <w:lang w:val="es-ES_tradnl"/>
              </w:rPr>
              <w:t>No disponible para 2012</w:t>
            </w:r>
          </w:p>
          <w:p w:rsidR="00B070BF" w:rsidRPr="009577DE" w:rsidRDefault="00B070BF" w:rsidP="00C33D4A">
            <w:pPr>
              <w:widowControl w:val="0"/>
              <w:jc w:val="center"/>
              <w:rPr>
                <w:b/>
                <w:sz w:val="16"/>
                <w:szCs w:val="16"/>
                <w:lang w:val="es-ES_tradnl"/>
              </w:rPr>
            </w:pPr>
          </w:p>
          <w:p w:rsidR="00B070BF" w:rsidRPr="009577DE" w:rsidRDefault="00B070BF" w:rsidP="00C33D4A">
            <w:pPr>
              <w:widowControl w:val="0"/>
              <w:jc w:val="center"/>
              <w:rPr>
                <w:b/>
                <w:sz w:val="16"/>
                <w:szCs w:val="16"/>
                <w:lang w:val="es-ES_tradnl"/>
              </w:rPr>
            </w:pPr>
          </w:p>
          <w:p w:rsidR="00B070BF" w:rsidRPr="009577DE" w:rsidRDefault="00B070BF" w:rsidP="00C33D4A">
            <w:pPr>
              <w:widowControl w:val="0"/>
              <w:jc w:val="center"/>
              <w:rPr>
                <w:b/>
                <w:sz w:val="16"/>
                <w:szCs w:val="16"/>
                <w:lang w:val="es-ES_tradnl"/>
              </w:rPr>
            </w:pPr>
          </w:p>
          <w:p w:rsidR="00B070BF" w:rsidRPr="009577DE" w:rsidRDefault="00B070BF" w:rsidP="00C33D4A">
            <w:pPr>
              <w:widowControl w:val="0"/>
              <w:jc w:val="center"/>
              <w:rPr>
                <w:b/>
                <w:sz w:val="16"/>
                <w:szCs w:val="16"/>
                <w:lang w:val="es-ES_tradnl"/>
              </w:rPr>
            </w:pPr>
          </w:p>
        </w:tc>
      </w:tr>
      <w:tr w:rsidR="00B070BF" w:rsidRPr="009577DE" w:rsidTr="00C33D4A">
        <w:trPr>
          <w:cantSplit/>
        </w:trPr>
        <w:tc>
          <w:tcPr>
            <w:tcW w:w="874" w:type="pct"/>
            <w:shd w:val="clear" w:color="auto" w:fill="auto"/>
          </w:tcPr>
          <w:p w:rsidR="00B070BF" w:rsidRPr="009577DE" w:rsidRDefault="00B070BF" w:rsidP="00C33D4A">
            <w:pPr>
              <w:widowControl w:val="0"/>
              <w:rPr>
                <w:sz w:val="16"/>
                <w:szCs w:val="16"/>
                <w:lang w:val="es-ES_tradnl"/>
              </w:rPr>
            </w:pPr>
            <w:r w:rsidRPr="009577DE">
              <w:rPr>
                <w:sz w:val="16"/>
                <w:szCs w:val="16"/>
                <w:lang w:val="es-ES_tradnl"/>
              </w:rPr>
              <w:t xml:space="preserve">Alquiler de espacios de trabajo adicionales e instalaciones conexas (sobre la base del mismo número de empleados de nómina registrado a fines de 2011). </w:t>
            </w:r>
          </w:p>
          <w:p w:rsidR="00B070BF" w:rsidRPr="009577DE" w:rsidRDefault="00B070BF" w:rsidP="00C33D4A">
            <w:pPr>
              <w:widowControl w:val="0"/>
              <w:rPr>
                <w:sz w:val="16"/>
                <w:szCs w:val="16"/>
                <w:lang w:val="es-ES_tradnl"/>
              </w:rPr>
            </w:pPr>
          </w:p>
        </w:tc>
        <w:tc>
          <w:tcPr>
            <w:tcW w:w="805" w:type="pct"/>
            <w:shd w:val="clear" w:color="auto" w:fill="B3B3B3"/>
          </w:tcPr>
          <w:p w:rsidR="00B070BF" w:rsidRPr="009577DE" w:rsidRDefault="00B070BF" w:rsidP="00C33D4A">
            <w:pPr>
              <w:widowControl w:val="0"/>
              <w:rPr>
                <w:sz w:val="16"/>
                <w:szCs w:val="16"/>
                <w:lang w:val="es-ES_tradnl"/>
              </w:rPr>
            </w:pPr>
            <w:r w:rsidRPr="009577DE">
              <w:rPr>
                <w:sz w:val="16"/>
                <w:szCs w:val="16"/>
                <w:lang w:val="es-ES_tradnl"/>
              </w:rPr>
              <w:t>80 espacios de trabajo</w:t>
            </w:r>
          </w:p>
        </w:tc>
        <w:tc>
          <w:tcPr>
            <w:tcW w:w="916" w:type="pct"/>
            <w:shd w:val="clear" w:color="auto" w:fill="auto"/>
            <w:tcMar>
              <w:top w:w="110" w:type="dxa"/>
            </w:tcMar>
          </w:tcPr>
          <w:p w:rsidR="00B070BF" w:rsidRPr="00F2661C" w:rsidRDefault="00B070BF" w:rsidP="00C33D4A">
            <w:pPr>
              <w:widowControl w:val="0"/>
              <w:rPr>
                <w:color w:val="993300"/>
                <w:sz w:val="16"/>
                <w:szCs w:val="16"/>
                <w:lang w:val="es-ES_tradnl"/>
              </w:rPr>
            </w:pPr>
            <w:r w:rsidRPr="00F2661C">
              <w:rPr>
                <w:color w:val="993300"/>
                <w:sz w:val="16"/>
                <w:szCs w:val="16"/>
                <w:lang w:val="es-ES_tradnl"/>
              </w:rPr>
              <w:t>80 espacios de trabajo</w:t>
            </w:r>
          </w:p>
        </w:tc>
        <w:tc>
          <w:tcPr>
            <w:tcW w:w="1848" w:type="pct"/>
            <w:shd w:val="clear" w:color="auto" w:fill="FFFFFF"/>
            <w:tcMar>
              <w:top w:w="110" w:type="dxa"/>
            </w:tcMar>
          </w:tcPr>
          <w:p w:rsidR="00B070BF" w:rsidRPr="009577DE" w:rsidRDefault="00B070BF" w:rsidP="00C33D4A">
            <w:pPr>
              <w:widowControl w:val="0"/>
              <w:rPr>
                <w:sz w:val="16"/>
                <w:szCs w:val="16"/>
                <w:lang w:val="es-ES_tradnl"/>
              </w:rPr>
            </w:pPr>
            <w:r w:rsidRPr="009577DE">
              <w:rPr>
                <w:sz w:val="16"/>
                <w:szCs w:val="16"/>
                <w:lang w:val="es-ES_tradnl"/>
              </w:rPr>
              <w:t xml:space="preserve">80 lugares de trabajo (no se necesitaron espacios adicionales además de los alquilados actualmente). </w:t>
            </w:r>
          </w:p>
        </w:tc>
        <w:tc>
          <w:tcPr>
            <w:tcW w:w="557" w:type="pct"/>
            <w:shd w:val="clear" w:color="auto" w:fill="auto"/>
          </w:tcPr>
          <w:p w:rsidR="00B070BF" w:rsidRPr="009577DE" w:rsidRDefault="00B070BF" w:rsidP="00C33D4A">
            <w:pPr>
              <w:widowControl w:val="0"/>
              <w:jc w:val="center"/>
              <w:rPr>
                <w:b/>
                <w:sz w:val="16"/>
                <w:szCs w:val="16"/>
                <w:lang w:val="es-ES_tradnl"/>
              </w:rPr>
            </w:pPr>
            <w:r w:rsidRPr="009577DE">
              <w:rPr>
                <w:b/>
                <w:color w:val="008000"/>
                <w:sz w:val="16"/>
                <w:szCs w:val="16"/>
                <w:lang w:val="es-ES_tradnl"/>
              </w:rPr>
              <w:t>Progresa con normalidad</w:t>
            </w:r>
          </w:p>
          <w:p w:rsidR="00B070BF" w:rsidRPr="009577DE" w:rsidRDefault="00B070BF" w:rsidP="00C33D4A">
            <w:pPr>
              <w:widowControl w:val="0"/>
              <w:rPr>
                <w:bCs/>
                <w:sz w:val="16"/>
                <w:szCs w:val="16"/>
                <w:lang w:val="es-ES_tradnl"/>
              </w:rPr>
            </w:pPr>
          </w:p>
        </w:tc>
      </w:tr>
      <w:tr w:rsidR="00B070BF" w:rsidRPr="009577DE" w:rsidTr="00C33D4A">
        <w:trPr>
          <w:cantSplit/>
        </w:trPr>
        <w:tc>
          <w:tcPr>
            <w:tcW w:w="874" w:type="pct"/>
            <w:tcBorders>
              <w:bottom w:val="single" w:sz="4" w:space="0" w:color="auto"/>
            </w:tcBorders>
            <w:shd w:val="clear" w:color="auto" w:fill="auto"/>
          </w:tcPr>
          <w:p w:rsidR="00B070BF" w:rsidRPr="009577DE" w:rsidRDefault="00B070BF" w:rsidP="00C33D4A">
            <w:pPr>
              <w:widowControl w:val="0"/>
              <w:rPr>
                <w:sz w:val="16"/>
                <w:szCs w:val="16"/>
                <w:lang w:val="es-ES_tradnl"/>
              </w:rPr>
            </w:pPr>
            <w:r w:rsidRPr="009577DE">
              <w:rPr>
                <w:sz w:val="16"/>
                <w:szCs w:val="16"/>
                <w:lang w:val="es-ES_tradnl"/>
              </w:rPr>
              <w:lastRenderedPageBreak/>
              <w:t>Número de instalaciones técnicas principales (eléctricas, sanitarias, calefacción y refrigeración) que sido objeto de mejoras conforme a las normas aplicables (por definir).</w:t>
            </w:r>
          </w:p>
          <w:p w:rsidR="00B070BF" w:rsidRPr="009577DE" w:rsidRDefault="00B070BF" w:rsidP="00C33D4A">
            <w:pPr>
              <w:widowControl w:val="0"/>
              <w:rPr>
                <w:sz w:val="16"/>
                <w:szCs w:val="16"/>
                <w:lang w:val="es-ES_tradnl"/>
              </w:rPr>
            </w:pPr>
          </w:p>
        </w:tc>
        <w:tc>
          <w:tcPr>
            <w:tcW w:w="805" w:type="pct"/>
            <w:tcBorders>
              <w:bottom w:val="single" w:sz="4" w:space="0" w:color="auto"/>
            </w:tcBorders>
            <w:shd w:val="clear" w:color="auto" w:fill="B3B3B3"/>
          </w:tcPr>
          <w:p w:rsidR="00B070BF" w:rsidRPr="009577DE" w:rsidRDefault="00B070BF" w:rsidP="00C33D4A">
            <w:pPr>
              <w:widowControl w:val="0"/>
              <w:rPr>
                <w:sz w:val="16"/>
                <w:szCs w:val="16"/>
                <w:lang w:val="es-ES_tradnl"/>
              </w:rPr>
            </w:pPr>
            <w:proofErr w:type="spellStart"/>
            <w:r>
              <w:rPr>
                <w:sz w:val="16"/>
                <w:szCs w:val="16"/>
                <w:lang w:val="es-ES_tradnl"/>
              </w:rPr>
              <w:t>n.d</w:t>
            </w:r>
            <w:proofErr w:type="spellEnd"/>
            <w:r>
              <w:rPr>
                <w:sz w:val="16"/>
                <w:szCs w:val="16"/>
                <w:lang w:val="es-ES_tradnl"/>
              </w:rPr>
              <w:t>.</w:t>
            </w:r>
          </w:p>
        </w:tc>
        <w:tc>
          <w:tcPr>
            <w:tcW w:w="916" w:type="pct"/>
            <w:tcBorders>
              <w:bottom w:val="single" w:sz="4" w:space="0" w:color="auto"/>
            </w:tcBorders>
            <w:shd w:val="clear" w:color="auto" w:fill="auto"/>
            <w:tcMar>
              <w:top w:w="110" w:type="dxa"/>
            </w:tcMar>
          </w:tcPr>
          <w:p w:rsidR="00B070BF" w:rsidRPr="00F2661C" w:rsidRDefault="00B070BF" w:rsidP="00C33D4A">
            <w:pPr>
              <w:widowControl w:val="0"/>
              <w:rPr>
                <w:color w:val="993300"/>
                <w:sz w:val="16"/>
                <w:szCs w:val="16"/>
                <w:lang w:val="es-ES_tradnl"/>
              </w:rPr>
            </w:pPr>
            <w:r w:rsidRPr="00F2661C">
              <w:rPr>
                <w:color w:val="993300"/>
                <w:sz w:val="16"/>
                <w:szCs w:val="16"/>
                <w:lang w:val="es-ES_tradnl"/>
              </w:rPr>
              <w:t xml:space="preserve">Modernización o sustitución de una instalación de refrigeración por lo menos en un edificio con objeto de cumplir la norma establecida en virtud de los requisitos de la instalación que utiliza el agua del Lago </w:t>
            </w:r>
            <w:proofErr w:type="spellStart"/>
            <w:r w:rsidRPr="00F2661C">
              <w:rPr>
                <w:color w:val="993300"/>
                <w:sz w:val="16"/>
                <w:szCs w:val="16"/>
                <w:lang w:val="es-ES_tradnl"/>
              </w:rPr>
              <w:t>Lemán</w:t>
            </w:r>
            <w:proofErr w:type="spellEnd"/>
            <w:r w:rsidRPr="00F2661C">
              <w:rPr>
                <w:color w:val="993300"/>
                <w:sz w:val="16"/>
                <w:szCs w:val="16"/>
                <w:lang w:val="es-ES_tradnl"/>
              </w:rPr>
              <w:t xml:space="preserve">.  Se han de definir normas adicionales para otras instalaciones. </w:t>
            </w:r>
          </w:p>
          <w:p w:rsidR="00B070BF" w:rsidRPr="00F2661C" w:rsidRDefault="00B070BF" w:rsidP="00C33D4A">
            <w:pPr>
              <w:widowControl w:val="0"/>
              <w:rPr>
                <w:color w:val="993300"/>
                <w:sz w:val="16"/>
                <w:szCs w:val="16"/>
                <w:lang w:val="es-ES_tradnl"/>
              </w:rPr>
            </w:pPr>
          </w:p>
          <w:p w:rsidR="00B070BF" w:rsidRPr="00F2661C" w:rsidRDefault="00B070BF" w:rsidP="00C33D4A">
            <w:pPr>
              <w:widowControl w:val="0"/>
              <w:rPr>
                <w:color w:val="993300"/>
                <w:sz w:val="16"/>
                <w:szCs w:val="16"/>
                <w:lang w:val="es-ES_tradnl"/>
              </w:rPr>
            </w:pPr>
          </w:p>
        </w:tc>
        <w:tc>
          <w:tcPr>
            <w:tcW w:w="1848" w:type="pct"/>
            <w:tcBorders>
              <w:bottom w:val="single" w:sz="4" w:space="0" w:color="auto"/>
            </w:tcBorders>
            <w:shd w:val="clear" w:color="auto" w:fill="FFFFFF"/>
            <w:tcMar>
              <w:top w:w="110" w:type="dxa"/>
            </w:tcMar>
          </w:tcPr>
          <w:p w:rsidR="00B070BF" w:rsidRPr="009577DE" w:rsidRDefault="00B070BF" w:rsidP="00C33D4A">
            <w:pPr>
              <w:widowControl w:val="0"/>
              <w:rPr>
                <w:sz w:val="16"/>
                <w:szCs w:val="16"/>
                <w:lang w:val="es-ES_tradnl"/>
              </w:rPr>
            </w:pPr>
            <w:r w:rsidRPr="009577DE">
              <w:rPr>
                <w:sz w:val="16"/>
                <w:szCs w:val="16"/>
                <w:lang w:val="es-ES_tradnl"/>
              </w:rPr>
              <w:t xml:space="preserve">La decisión de modernizar la instalación de refrigeración del edificio GBII mediante el sistema de refrigeración con agua del Lago </w:t>
            </w:r>
            <w:proofErr w:type="spellStart"/>
            <w:r w:rsidRPr="009577DE">
              <w:rPr>
                <w:sz w:val="16"/>
                <w:szCs w:val="16"/>
                <w:lang w:val="es-ES_tradnl"/>
              </w:rPr>
              <w:t>Lemán</w:t>
            </w:r>
            <w:proofErr w:type="spellEnd"/>
            <w:r w:rsidRPr="009577DE">
              <w:rPr>
                <w:sz w:val="16"/>
                <w:szCs w:val="16"/>
                <w:lang w:val="es-ES_tradnl"/>
              </w:rPr>
              <w:t xml:space="preserve"> (en lugar de sustituir la instalación después de que esta se averiara).  Dada la proximidad del GBI, se decidió acometer la modernización de su instalación al mismo tiempo para beneficiarse del ahorro en los costos (un único proceso de licitación y de intervención).  La instalación deberá estar finalizada y conectada al sistema de refrigeración con agua del Lago </w:t>
            </w:r>
            <w:proofErr w:type="spellStart"/>
            <w:r w:rsidRPr="009577DE">
              <w:rPr>
                <w:sz w:val="16"/>
                <w:szCs w:val="16"/>
                <w:lang w:val="es-ES_tradnl"/>
              </w:rPr>
              <w:t>Lemán</w:t>
            </w:r>
            <w:proofErr w:type="spellEnd"/>
            <w:r w:rsidRPr="009577DE">
              <w:rPr>
                <w:sz w:val="16"/>
                <w:szCs w:val="16"/>
                <w:lang w:val="es-ES_tradnl"/>
              </w:rPr>
              <w:t xml:space="preserve"> antes del verano de 2013.</w:t>
            </w:r>
          </w:p>
          <w:p w:rsidR="00B070BF" w:rsidRPr="009577DE" w:rsidRDefault="00B070BF" w:rsidP="00C33D4A">
            <w:pPr>
              <w:widowControl w:val="0"/>
              <w:rPr>
                <w:sz w:val="16"/>
                <w:szCs w:val="16"/>
                <w:lang w:val="es-ES_tradnl"/>
              </w:rPr>
            </w:pPr>
          </w:p>
          <w:p w:rsidR="00B070BF" w:rsidRPr="009577DE" w:rsidRDefault="00B070BF" w:rsidP="00C33D4A">
            <w:pPr>
              <w:widowControl w:val="0"/>
              <w:rPr>
                <w:sz w:val="16"/>
                <w:szCs w:val="16"/>
                <w:lang w:val="es-ES_tradnl"/>
              </w:rPr>
            </w:pPr>
            <w:r w:rsidRPr="009577DE">
              <w:rPr>
                <w:sz w:val="16"/>
                <w:szCs w:val="16"/>
                <w:lang w:val="es-ES_tradnl"/>
              </w:rPr>
              <w:t>Se inició la modernización de las  instalaciones eléctricas del edificio más antiguo (GBI) con objeto de cumplir la legislación local que había sido promulgada recientemente, con el beneficio añadido de establecer un marco técnico para la reducción del consumo de electricidad.  Alrededor del 50% del trabajo se llevó a cabo en 2012 y el trabajo restante se terminará en 2013.</w:t>
            </w:r>
          </w:p>
          <w:p w:rsidR="00B070BF" w:rsidRPr="009577DE" w:rsidRDefault="00B070BF" w:rsidP="00C33D4A">
            <w:pPr>
              <w:widowControl w:val="0"/>
              <w:rPr>
                <w:sz w:val="16"/>
                <w:szCs w:val="16"/>
                <w:lang w:val="es-ES_tradnl"/>
              </w:rPr>
            </w:pPr>
          </w:p>
          <w:p w:rsidR="00B070BF" w:rsidRPr="009577DE" w:rsidRDefault="00B070BF" w:rsidP="00C33D4A">
            <w:pPr>
              <w:widowControl w:val="0"/>
              <w:rPr>
                <w:sz w:val="16"/>
                <w:szCs w:val="16"/>
                <w:lang w:val="es-ES_tradnl"/>
              </w:rPr>
            </w:pPr>
            <w:r w:rsidRPr="009577DE">
              <w:rPr>
                <w:sz w:val="16"/>
                <w:szCs w:val="16"/>
                <w:lang w:val="es-ES_tradnl"/>
              </w:rPr>
              <w:t>La labor de determinación de las otras normas prosiguió en 2012 con la finalidad de componer una lista de definiciones antes de que finalice el bienio.</w:t>
            </w:r>
          </w:p>
          <w:p w:rsidR="00B070BF" w:rsidRPr="009577DE" w:rsidRDefault="00B070BF" w:rsidP="00C33D4A">
            <w:pPr>
              <w:widowControl w:val="0"/>
              <w:rPr>
                <w:sz w:val="16"/>
                <w:szCs w:val="16"/>
                <w:lang w:val="es-ES_tradnl"/>
              </w:rPr>
            </w:pPr>
          </w:p>
        </w:tc>
        <w:tc>
          <w:tcPr>
            <w:tcW w:w="557" w:type="pct"/>
            <w:tcBorders>
              <w:bottom w:val="single" w:sz="4" w:space="0" w:color="auto"/>
            </w:tcBorders>
            <w:shd w:val="clear" w:color="auto" w:fill="auto"/>
          </w:tcPr>
          <w:p w:rsidR="00B070BF" w:rsidRPr="009577DE" w:rsidRDefault="00B070BF" w:rsidP="00C33D4A">
            <w:pPr>
              <w:widowControl w:val="0"/>
              <w:jc w:val="center"/>
              <w:rPr>
                <w:b/>
                <w:sz w:val="16"/>
                <w:szCs w:val="16"/>
                <w:lang w:val="es-ES_tradnl"/>
              </w:rPr>
            </w:pPr>
            <w:r w:rsidRPr="009577DE">
              <w:rPr>
                <w:b/>
                <w:color w:val="008000"/>
                <w:sz w:val="16"/>
                <w:szCs w:val="16"/>
                <w:lang w:val="es-ES_tradnl"/>
              </w:rPr>
              <w:t>Progresa con normalidad</w:t>
            </w:r>
          </w:p>
          <w:p w:rsidR="00B070BF" w:rsidRPr="009577DE" w:rsidRDefault="00B070BF" w:rsidP="00C33D4A">
            <w:pPr>
              <w:widowControl w:val="0"/>
              <w:jc w:val="center"/>
              <w:rPr>
                <w:bCs/>
                <w:sz w:val="16"/>
                <w:szCs w:val="16"/>
                <w:lang w:val="es-ES_tradnl"/>
              </w:rPr>
            </w:pPr>
          </w:p>
          <w:p w:rsidR="00B070BF" w:rsidRPr="009577DE" w:rsidRDefault="00B070BF" w:rsidP="00C33D4A">
            <w:pPr>
              <w:widowControl w:val="0"/>
              <w:jc w:val="center"/>
              <w:rPr>
                <w:bCs/>
                <w:sz w:val="16"/>
                <w:szCs w:val="16"/>
                <w:lang w:val="es-ES_tradnl"/>
              </w:rPr>
            </w:pPr>
          </w:p>
        </w:tc>
      </w:tr>
      <w:tr w:rsidR="00B070BF" w:rsidRPr="009577DE" w:rsidTr="00C33D4A">
        <w:trPr>
          <w:cantSplit/>
        </w:trPr>
        <w:tc>
          <w:tcPr>
            <w:tcW w:w="5000" w:type="pct"/>
            <w:gridSpan w:val="5"/>
            <w:tcBorders>
              <w:top w:val="single" w:sz="4" w:space="0" w:color="auto"/>
              <w:bottom w:val="single" w:sz="4" w:space="0" w:color="auto"/>
            </w:tcBorders>
            <w:shd w:val="clear" w:color="auto" w:fill="CCFFFF"/>
            <w:vAlign w:val="center"/>
          </w:tcPr>
          <w:p w:rsidR="00B070BF" w:rsidRPr="009577DE" w:rsidRDefault="00B070BF" w:rsidP="00C33D4A">
            <w:pPr>
              <w:widowControl w:val="0"/>
              <w:tabs>
                <w:tab w:val="left" w:pos="1452"/>
              </w:tabs>
              <w:spacing w:before="120" w:after="120"/>
              <w:ind w:left="1452" w:hanging="1452"/>
              <w:rPr>
                <w:b/>
                <w:bCs/>
                <w:sz w:val="16"/>
                <w:szCs w:val="16"/>
                <w:lang w:val="es-ES_tradnl"/>
              </w:rPr>
            </w:pPr>
            <w:r w:rsidRPr="009577DE">
              <w:rPr>
                <w:b/>
                <w:bCs/>
                <w:sz w:val="16"/>
                <w:szCs w:val="16"/>
                <w:lang w:val="es-ES_tradnl"/>
              </w:rPr>
              <w:t>Resultado previsto:</w:t>
            </w:r>
            <w:r w:rsidRPr="009577DE">
              <w:rPr>
                <w:b/>
                <w:bCs/>
                <w:sz w:val="16"/>
                <w:szCs w:val="16"/>
                <w:lang w:val="es-ES_tradnl"/>
              </w:rPr>
              <w:tab/>
            </w:r>
            <w:r w:rsidRPr="009577DE">
              <w:rPr>
                <w:bCs/>
                <w:sz w:val="16"/>
                <w:szCs w:val="16"/>
                <w:lang w:val="es-ES_tradnl"/>
              </w:rPr>
              <w:t xml:space="preserve"> Reducción de las repercusiones de las actividades de la OMPI sobre el medio ambiente.</w:t>
            </w:r>
          </w:p>
        </w:tc>
      </w:tr>
      <w:tr w:rsidR="00B070BF" w:rsidRPr="009577DE" w:rsidTr="00C33D4A">
        <w:trPr>
          <w:cantSplit/>
        </w:trPr>
        <w:tc>
          <w:tcPr>
            <w:tcW w:w="874" w:type="pct"/>
            <w:tcBorders>
              <w:top w:val="single" w:sz="4" w:space="0" w:color="auto"/>
            </w:tcBorders>
            <w:shd w:val="clear" w:color="auto" w:fill="auto"/>
            <w:vAlign w:val="center"/>
          </w:tcPr>
          <w:p w:rsidR="00B070BF" w:rsidRPr="009577DE" w:rsidRDefault="00B070BF" w:rsidP="00C33D4A">
            <w:pPr>
              <w:widowControl w:val="0"/>
              <w:spacing w:after="120"/>
              <w:rPr>
                <w:sz w:val="16"/>
                <w:szCs w:val="16"/>
                <w:lang w:val="es-ES_tradnl"/>
              </w:rPr>
            </w:pPr>
            <w:r w:rsidRPr="009577DE">
              <w:rPr>
                <w:b/>
                <w:bCs/>
                <w:sz w:val="16"/>
                <w:szCs w:val="16"/>
                <w:lang w:val="es-ES_tradnl"/>
              </w:rPr>
              <w:t>Indicadores de rendimiento</w:t>
            </w:r>
          </w:p>
        </w:tc>
        <w:tc>
          <w:tcPr>
            <w:tcW w:w="805" w:type="pct"/>
            <w:tcBorders>
              <w:top w:val="single" w:sz="4" w:space="0" w:color="auto"/>
            </w:tcBorders>
            <w:shd w:val="clear" w:color="auto" w:fill="C0C0C0"/>
          </w:tcPr>
          <w:p w:rsidR="00B070BF" w:rsidRPr="009577DE" w:rsidRDefault="00B070BF" w:rsidP="00C33D4A">
            <w:pPr>
              <w:widowControl w:val="0"/>
              <w:spacing w:after="120"/>
              <w:rPr>
                <w:b/>
                <w:bCs/>
                <w:sz w:val="16"/>
                <w:szCs w:val="16"/>
                <w:lang w:val="es-ES_tradnl"/>
              </w:rPr>
            </w:pPr>
            <w:r w:rsidRPr="009577DE">
              <w:rPr>
                <w:b/>
                <w:bCs/>
                <w:sz w:val="16"/>
                <w:szCs w:val="16"/>
                <w:lang w:val="es-ES_tradnl"/>
              </w:rPr>
              <w:t>Referencia (</w:t>
            </w:r>
            <w:proofErr w:type="spellStart"/>
            <w:r w:rsidRPr="009577DE">
              <w:rPr>
                <w:b/>
                <w:bCs/>
                <w:sz w:val="16"/>
                <w:szCs w:val="16"/>
                <w:lang w:val="es-ES_tradnl"/>
              </w:rPr>
              <w:t>Presup</w:t>
            </w:r>
            <w:proofErr w:type="spellEnd"/>
            <w:r w:rsidRPr="009577DE">
              <w:rPr>
                <w:b/>
                <w:bCs/>
                <w:sz w:val="16"/>
                <w:szCs w:val="16"/>
                <w:lang w:val="es-ES_tradnl"/>
              </w:rPr>
              <w:t xml:space="preserve">. por </w:t>
            </w:r>
            <w:proofErr w:type="spellStart"/>
            <w:r w:rsidRPr="009577DE">
              <w:rPr>
                <w:b/>
                <w:bCs/>
                <w:sz w:val="16"/>
                <w:szCs w:val="16"/>
                <w:lang w:val="es-ES_tradnl"/>
              </w:rPr>
              <w:t>prog</w:t>
            </w:r>
            <w:proofErr w:type="spellEnd"/>
            <w:r w:rsidRPr="009577DE">
              <w:rPr>
                <w:b/>
                <w:bCs/>
                <w:sz w:val="16"/>
                <w:szCs w:val="16"/>
                <w:lang w:val="es-ES_tradnl"/>
              </w:rPr>
              <w:t>. 2012/13)</w:t>
            </w:r>
          </w:p>
        </w:tc>
        <w:tc>
          <w:tcPr>
            <w:tcW w:w="916" w:type="pct"/>
            <w:tcBorders>
              <w:top w:val="single" w:sz="4" w:space="0" w:color="auto"/>
            </w:tcBorders>
            <w:shd w:val="clear" w:color="auto" w:fill="auto"/>
            <w:tcMar>
              <w:top w:w="110" w:type="dxa"/>
            </w:tcMar>
            <w:vAlign w:val="center"/>
          </w:tcPr>
          <w:p w:rsidR="00B070BF" w:rsidRPr="009577DE" w:rsidRDefault="00B070BF" w:rsidP="00C33D4A">
            <w:pPr>
              <w:widowControl w:val="0"/>
              <w:spacing w:after="120"/>
              <w:rPr>
                <w:b/>
                <w:sz w:val="16"/>
                <w:szCs w:val="16"/>
                <w:lang w:val="es-ES_tradnl"/>
              </w:rPr>
            </w:pPr>
            <w:r w:rsidRPr="00BF138D">
              <w:rPr>
                <w:b/>
                <w:color w:val="993300"/>
                <w:sz w:val="16"/>
                <w:szCs w:val="16"/>
                <w:lang w:val="es-ES_tradnl"/>
              </w:rPr>
              <w:t>Referencia actualizada a finales de 2011</w:t>
            </w:r>
            <w:r w:rsidRPr="009577DE">
              <w:rPr>
                <w:b/>
                <w:sz w:val="16"/>
                <w:szCs w:val="16"/>
                <w:lang w:val="es-ES_tradnl"/>
              </w:rPr>
              <w:t xml:space="preserve"> </w:t>
            </w:r>
          </w:p>
        </w:tc>
        <w:tc>
          <w:tcPr>
            <w:tcW w:w="1848" w:type="pct"/>
            <w:tcBorders>
              <w:top w:val="single" w:sz="4" w:space="0" w:color="auto"/>
            </w:tcBorders>
            <w:shd w:val="clear" w:color="auto" w:fill="FFFFFF"/>
            <w:tcMar>
              <w:top w:w="110" w:type="dxa"/>
            </w:tcMar>
            <w:vAlign w:val="center"/>
          </w:tcPr>
          <w:p w:rsidR="00B070BF" w:rsidRPr="009577DE" w:rsidRDefault="00B070BF" w:rsidP="00C33D4A">
            <w:pPr>
              <w:widowControl w:val="0"/>
              <w:spacing w:after="120"/>
              <w:rPr>
                <w:sz w:val="16"/>
                <w:szCs w:val="16"/>
                <w:lang w:val="es-ES_tradnl"/>
              </w:rPr>
            </w:pPr>
            <w:r w:rsidRPr="009577DE">
              <w:rPr>
                <w:b/>
                <w:bCs/>
                <w:sz w:val="16"/>
                <w:szCs w:val="16"/>
                <w:lang w:val="es-ES_tradnl"/>
              </w:rPr>
              <w:t>Datos sobre el rendimiento</w:t>
            </w:r>
          </w:p>
        </w:tc>
        <w:tc>
          <w:tcPr>
            <w:tcW w:w="557" w:type="pct"/>
            <w:tcBorders>
              <w:top w:val="single" w:sz="4" w:space="0" w:color="auto"/>
            </w:tcBorders>
            <w:shd w:val="clear" w:color="auto" w:fill="auto"/>
            <w:tcMar>
              <w:top w:w="110" w:type="dxa"/>
            </w:tcMar>
            <w:vAlign w:val="center"/>
          </w:tcPr>
          <w:p w:rsidR="00B070BF" w:rsidRPr="009577DE" w:rsidRDefault="00B070BF" w:rsidP="00C33D4A">
            <w:pPr>
              <w:widowControl w:val="0"/>
              <w:spacing w:after="120"/>
              <w:jc w:val="center"/>
              <w:rPr>
                <w:b/>
                <w:bCs/>
                <w:sz w:val="16"/>
                <w:szCs w:val="16"/>
                <w:lang w:val="es-ES_tradnl"/>
              </w:rPr>
            </w:pPr>
            <w:r w:rsidRPr="009577DE">
              <w:rPr>
                <w:b/>
                <w:bCs/>
                <w:sz w:val="16"/>
                <w:szCs w:val="16"/>
                <w:lang w:val="es-ES_tradnl"/>
              </w:rPr>
              <w:t>Clave de colores</w:t>
            </w:r>
          </w:p>
        </w:tc>
      </w:tr>
      <w:tr w:rsidR="00B070BF" w:rsidRPr="009577DE" w:rsidTr="00C33D4A">
        <w:trPr>
          <w:cantSplit/>
        </w:trPr>
        <w:tc>
          <w:tcPr>
            <w:tcW w:w="874" w:type="pct"/>
            <w:shd w:val="clear" w:color="auto" w:fill="auto"/>
          </w:tcPr>
          <w:p w:rsidR="00B070BF" w:rsidRPr="009577DE" w:rsidRDefault="00B070BF" w:rsidP="00C33D4A">
            <w:pPr>
              <w:widowControl w:val="0"/>
              <w:rPr>
                <w:sz w:val="16"/>
                <w:szCs w:val="16"/>
                <w:lang w:val="es-ES_tradnl"/>
              </w:rPr>
            </w:pPr>
            <w:r w:rsidRPr="009577DE">
              <w:rPr>
                <w:sz w:val="16"/>
                <w:szCs w:val="16"/>
                <w:lang w:val="es-ES_tradnl"/>
              </w:rPr>
              <w:t xml:space="preserve">Número de programas dotados de indicadores, referencias de base y objetivos relativos a la mejora ambiental.  </w:t>
            </w:r>
          </w:p>
        </w:tc>
        <w:tc>
          <w:tcPr>
            <w:tcW w:w="805" w:type="pct"/>
            <w:shd w:val="clear" w:color="auto" w:fill="C0C0C0"/>
          </w:tcPr>
          <w:p w:rsidR="00B070BF" w:rsidRPr="009577DE" w:rsidRDefault="00B070BF" w:rsidP="00C33D4A">
            <w:pPr>
              <w:widowControl w:val="0"/>
              <w:rPr>
                <w:sz w:val="16"/>
                <w:szCs w:val="16"/>
                <w:lang w:val="es-ES_tradnl"/>
              </w:rPr>
            </w:pPr>
            <w:r w:rsidRPr="009577DE">
              <w:rPr>
                <w:sz w:val="16"/>
                <w:szCs w:val="16"/>
                <w:lang w:val="es-ES_tradnl"/>
              </w:rPr>
              <w:t>A determinar a fines de 2011.</w:t>
            </w:r>
          </w:p>
        </w:tc>
        <w:tc>
          <w:tcPr>
            <w:tcW w:w="916" w:type="pct"/>
            <w:shd w:val="clear" w:color="auto" w:fill="auto"/>
            <w:tcMar>
              <w:top w:w="110" w:type="dxa"/>
            </w:tcMar>
          </w:tcPr>
          <w:p w:rsidR="00B070BF" w:rsidRPr="009577DE" w:rsidRDefault="00B070BF" w:rsidP="00C33D4A">
            <w:pPr>
              <w:widowControl w:val="0"/>
              <w:rPr>
                <w:sz w:val="16"/>
                <w:szCs w:val="16"/>
                <w:lang w:val="es-ES_tradnl"/>
              </w:rPr>
            </w:pPr>
            <w:r w:rsidRPr="00F2661C">
              <w:rPr>
                <w:color w:val="993300"/>
                <w:sz w:val="16"/>
                <w:szCs w:val="16"/>
                <w:lang w:val="es-ES_tradnl"/>
              </w:rPr>
              <w:t>Cuatro programas en 2011.</w:t>
            </w:r>
          </w:p>
        </w:tc>
        <w:tc>
          <w:tcPr>
            <w:tcW w:w="1848" w:type="pct"/>
            <w:shd w:val="clear" w:color="auto" w:fill="FFFFFF"/>
            <w:tcMar>
              <w:top w:w="110" w:type="dxa"/>
            </w:tcMar>
          </w:tcPr>
          <w:p w:rsidR="00B070BF" w:rsidRPr="009577DE" w:rsidRDefault="00B070BF" w:rsidP="00C33D4A">
            <w:pPr>
              <w:widowControl w:val="0"/>
              <w:rPr>
                <w:sz w:val="16"/>
                <w:szCs w:val="16"/>
                <w:lang w:val="es-ES_tradnl" w:bidi="th-TH"/>
              </w:rPr>
            </w:pPr>
            <w:r w:rsidRPr="009577DE">
              <w:rPr>
                <w:sz w:val="16"/>
                <w:szCs w:val="16"/>
                <w:lang w:val="es-ES_tradnl" w:bidi="th-TH"/>
              </w:rPr>
              <w:t>En cuatro programas de 2012 se reflejó la responsabilidad ambiental:</w:t>
            </w:r>
          </w:p>
          <w:p w:rsidR="00B070BF" w:rsidRPr="009577DE" w:rsidRDefault="00B070BF" w:rsidP="00C33D4A">
            <w:pPr>
              <w:widowControl w:val="0"/>
              <w:rPr>
                <w:sz w:val="16"/>
                <w:szCs w:val="16"/>
                <w:u w:val="single"/>
                <w:lang w:val="es-ES_tradnl" w:bidi="th-TH"/>
              </w:rPr>
            </w:pPr>
          </w:p>
          <w:p w:rsidR="00B070BF" w:rsidRPr="009577DE" w:rsidRDefault="00B070BF" w:rsidP="00C33D4A">
            <w:pPr>
              <w:widowControl w:val="0"/>
              <w:rPr>
                <w:sz w:val="16"/>
                <w:szCs w:val="16"/>
                <w:lang w:val="es-ES_tradnl" w:bidi="th-TH"/>
              </w:rPr>
            </w:pPr>
            <w:r w:rsidRPr="009577DE">
              <w:rPr>
                <w:sz w:val="16"/>
                <w:szCs w:val="16"/>
                <w:u w:val="single"/>
                <w:lang w:val="es-ES_tradnl" w:bidi="th-TH"/>
              </w:rPr>
              <w:t>Programa 24:</w:t>
            </w:r>
            <w:r w:rsidRPr="009577DE">
              <w:rPr>
                <w:sz w:val="16"/>
                <w:szCs w:val="16"/>
                <w:lang w:val="es-ES_tradnl" w:bidi="th-TH"/>
              </w:rPr>
              <w:t xml:space="preserve">  Se conectaron dos edificios al sistema de agua del lago </w:t>
            </w:r>
            <w:proofErr w:type="spellStart"/>
            <w:r w:rsidRPr="009577DE">
              <w:rPr>
                <w:sz w:val="16"/>
                <w:szCs w:val="16"/>
                <w:lang w:val="es-ES_tradnl" w:bidi="th-TH"/>
              </w:rPr>
              <w:t>Lemán</w:t>
            </w:r>
            <w:proofErr w:type="spellEnd"/>
            <w:r w:rsidRPr="009577DE">
              <w:rPr>
                <w:sz w:val="16"/>
                <w:szCs w:val="16"/>
                <w:lang w:val="es-ES_tradnl" w:bidi="th-TH"/>
              </w:rPr>
              <w:t xml:space="preserve"> en 2013 tras la decisión adoptada en 2012;  se siguió con la selección para el nuevo edificio de la tarifa eléctrica que ofrezca la mayor contribución a la inversión en energías renovables;  inclusión de criterios ambientales en los requisitos de las licitaciones.</w:t>
            </w:r>
          </w:p>
          <w:p w:rsidR="00B070BF" w:rsidRPr="009577DE" w:rsidRDefault="00B070BF" w:rsidP="00C33D4A">
            <w:pPr>
              <w:widowControl w:val="0"/>
              <w:rPr>
                <w:sz w:val="16"/>
                <w:szCs w:val="16"/>
                <w:lang w:val="es-ES_tradnl" w:bidi="th-TH"/>
              </w:rPr>
            </w:pPr>
          </w:p>
          <w:p w:rsidR="00B070BF" w:rsidRPr="009577DE" w:rsidRDefault="00B070BF" w:rsidP="00C33D4A">
            <w:pPr>
              <w:widowControl w:val="0"/>
              <w:rPr>
                <w:sz w:val="16"/>
                <w:szCs w:val="16"/>
                <w:u w:val="single"/>
                <w:lang w:val="es-ES_tradnl" w:bidi="th-TH"/>
              </w:rPr>
            </w:pPr>
            <w:r w:rsidRPr="009577DE">
              <w:rPr>
                <w:sz w:val="16"/>
                <w:szCs w:val="16"/>
                <w:u w:val="single"/>
                <w:lang w:val="es-ES_tradnl" w:bidi="th-TH"/>
              </w:rPr>
              <w:t>Programa 29:</w:t>
            </w:r>
            <w:r w:rsidRPr="009577DE">
              <w:rPr>
                <w:sz w:val="16"/>
                <w:szCs w:val="16"/>
                <w:lang w:val="es-ES_tradnl" w:bidi="th-TH"/>
              </w:rPr>
              <w:t xml:space="preserve">  Se incluyó el sistema de agua del lago </w:t>
            </w:r>
            <w:proofErr w:type="spellStart"/>
            <w:r w:rsidRPr="009577DE">
              <w:rPr>
                <w:sz w:val="16"/>
                <w:szCs w:val="16"/>
                <w:lang w:val="es-ES_tradnl" w:bidi="th-TH"/>
              </w:rPr>
              <w:t>Lemán</w:t>
            </w:r>
            <w:proofErr w:type="spellEnd"/>
            <w:r w:rsidRPr="009577DE">
              <w:rPr>
                <w:sz w:val="16"/>
                <w:szCs w:val="16"/>
                <w:lang w:val="es-ES_tradnl" w:bidi="th-TH"/>
              </w:rPr>
              <w:t xml:space="preserve"> en la fase de construcción de la nueva sala de conferencias y en otras zonas modernizadas del edificio AB.</w:t>
            </w:r>
          </w:p>
          <w:p w:rsidR="00B070BF" w:rsidRPr="009577DE" w:rsidRDefault="00B070BF" w:rsidP="00C33D4A">
            <w:pPr>
              <w:widowControl w:val="0"/>
              <w:rPr>
                <w:sz w:val="16"/>
                <w:szCs w:val="16"/>
                <w:lang w:val="es-ES_tradnl" w:bidi="th-TH"/>
              </w:rPr>
            </w:pPr>
          </w:p>
          <w:p w:rsidR="00B070BF" w:rsidRPr="009577DE" w:rsidRDefault="00B070BF" w:rsidP="00C33D4A">
            <w:pPr>
              <w:widowControl w:val="0"/>
              <w:rPr>
                <w:sz w:val="16"/>
                <w:szCs w:val="16"/>
                <w:lang w:val="es-ES_tradnl" w:bidi="th-TH"/>
              </w:rPr>
            </w:pPr>
            <w:r w:rsidRPr="009577DE">
              <w:rPr>
                <w:sz w:val="16"/>
                <w:szCs w:val="16"/>
                <w:u w:val="single"/>
                <w:lang w:val="es-ES_tradnl" w:bidi="th-TH"/>
              </w:rPr>
              <w:t>Programa 28:</w:t>
            </w:r>
            <w:r w:rsidRPr="009577DE">
              <w:rPr>
                <w:sz w:val="16"/>
                <w:szCs w:val="16"/>
                <w:lang w:val="es-ES_tradnl" w:bidi="th-TH"/>
              </w:rPr>
              <w:t xml:space="preserve">  En 2012 se prescindió de tres vehículos de modelos antiguos de la flota oficial de la OMPI y de otro en 2013, lo que permitirá reducir la emisión de gases de efecto invernadero a partir de 2013.</w:t>
            </w:r>
          </w:p>
          <w:p w:rsidR="00B070BF" w:rsidRPr="009577DE" w:rsidRDefault="00B070BF" w:rsidP="00C33D4A">
            <w:pPr>
              <w:widowControl w:val="0"/>
              <w:rPr>
                <w:sz w:val="16"/>
                <w:szCs w:val="16"/>
                <w:lang w:val="es-ES_tradnl" w:bidi="th-TH"/>
              </w:rPr>
            </w:pPr>
          </w:p>
          <w:p w:rsidR="00B070BF" w:rsidRPr="009577DE" w:rsidRDefault="00B070BF" w:rsidP="00C33D4A">
            <w:pPr>
              <w:widowControl w:val="0"/>
              <w:rPr>
                <w:sz w:val="16"/>
                <w:szCs w:val="16"/>
                <w:lang w:val="es-ES_tradnl"/>
              </w:rPr>
            </w:pPr>
            <w:r w:rsidRPr="009577DE">
              <w:rPr>
                <w:sz w:val="16"/>
                <w:szCs w:val="16"/>
                <w:u w:val="single"/>
                <w:lang w:val="es-ES_tradnl" w:bidi="th-TH"/>
              </w:rPr>
              <w:t>Programa 19:</w:t>
            </w:r>
            <w:r w:rsidRPr="009577DE">
              <w:rPr>
                <w:sz w:val="16"/>
                <w:szCs w:val="16"/>
                <w:lang w:val="es-ES_tradnl" w:bidi="th-TH"/>
              </w:rPr>
              <w:t xml:space="preserve">  Publicación de varios artículos sobre cuestiones ambientales en la Revista de la OMPI. </w:t>
            </w:r>
          </w:p>
        </w:tc>
        <w:tc>
          <w:tcPr>
            <w:tcW w:w="557" w:type="pct"/>
            <w:shd w:val="clear" w:color="auto" w:fill="auto"/>
            <w:tcMar>
              <w:top w:w="110" w:type="dxa"/>
            </w:tcMar>
          </w:tcPr>
          <w:p w:rsidR="00B070BF" w:rsidRPr="009577DE" w:rsidRDefault="00B070BF" w:rsidP="00C33D4A">
            <w:pPr>
              <w:widowControl w:val="0"/>
              <w:jc w:val="center"/>
              <w:rPr>
                <w:bCs/>
                <w:sz w:val="16"/>
                <w:szCs w:val="16"/>
                <w:lang w:val="es-ES_tradnl"/>
              </w:rPr>
            </w:pPr>
          </w:p>
          <w:p w:rsidR="00B070BF" w:rsidRPr="009577DE" w:rsidRDefault="00B070BF" w:rsidP="00C33D4A">
            <w:pPr>
              <w:widowControl w:val="0"/>
              <w:jc w:val="center"/>
              <w:rPr>
                <w:b/>
                <w:bCs/>
                <w:sz w:val="16"/>
                <w:szCs w:val="16"/>
                <w:lang w:val="es-ES_tradnl"/>
              </w:rPr>
            </w:pPr>
            <w:r w:rsidRPr="009577DE">
              <w:rPr>
                <w:b/>
                <w:bCs/>
                <w:color w:val="FF0000"/>
                <w:sz w:val="16"/>
                <w:szCs w:val="16"/>
                <w:lang w:val="es-ES_tradnl"/>
              </w:rPr>
              <w:t>Sin avances significativos</w:t>
            </w:r>
          </w:p>
          <w:p w:rsidR="00B070BF" w:rsidRPr="009577DE" w:rsidRDefault="00B070BF" w:rsidP="00C33D4A">
            <w:pPr>
              <w:widowControl w:val="0"/>
              <w:jc w:val="center"/>
              <w:rPr>
                <w:bCs/>
                <w:sz w:val="16"/>
                <w:szCs w:val="16"/>
                <w:lang w:val="es-ES_tradnl"/>
              </w:rPr>
            </w:pPr>
          </w:p>
          <w:p w:rsidR="00B070BF" w:rsidRPr="009577DE" w:rsidRDefault="00B070BF" w:rsidP="00C33D4A">
            <w:pPr>
              <w:widowControl w:val="0"/>
              <w:jc w:val="center"/>
              <w:rPr>
                <w:bCs/>
                <w:sz w:val="16"/>
                <w:szCs w:val="16"/>
                <w:lang w:val="es-ES_tradnl"/>
              </w:rPr>
            </w:pPr>
          </w:p>
        </w:tc>
      </w:tr>
      <w:tr w:rsidR="00B070BF" w:rsidRPr="009577DE" w:rsidTr="00C33D4A">
        <w:trPr>
          <w:cantSplit/>
        </w:trPr>
        <w:tc>
          <w:tcPr>
            <w:tcW w:w="874" w:type="pct"/>
            <w:tcBorders>
              <w:bottom w:val="single" w:sz="4" w:space="0" w:color="auto"/>
            </w:tcBorders>
            <w:shd w:val="clear" w:color="auto" w:fill="auto"/>
          </w:tcPr>
          <w:p w:rsidR="00B070BF" w:rsidRPr="009577DE" w:rsidRDefault="00B070BF" w:rsidP="00C33D4A">
            <w:pPr>
              <w:widowControl w:val="0"/>
              <w:rPr>
                <w:sz w:val="16"/>
                <w:szCs w:val="16"/>
                <w:lang w:val="es-ES_tradnl"/>
              </w:rPr>
            </w:pPr>
            <w:r w:rsidRPr="009577DE">
              <w:rPr>
                <w:sz w:val="16"/>
                <w:szCs w:val="16"/>
                <w:lang w:val="es-ES_tradnl"/>
              </w:rPr>
              <w:t>Porcentaje de reducción de las emisiones de carbono respecto del consumo de energía</w:t>
            </w:r>
          </w:p>
        </w:tc>
        <w:tc>
          <w:tcPr>
            <w:tcW w:w="805" w:type="pct"/>
            <w:tcBorders>
              <w:bottom w:val="single" w:sz="4" w:space="0" w:color="auto"/>
            </w:tcBorders>
            <w:shd w:val="clear" w:color="auto" w:fill="C0C0C0"/>
          </w:tcPr>
          <w:p w:rsidR="00B070BF" w:rsidRPr="009577DE" w:rsidRDefault="00B070BF" w:rsidP="00C33D4A">
            <w:pPr>
              <w:widowControl w:val="0"/>
              <w:rPr>
                <w:sz w:val="16"/>
                <w:szCs w:val="16"/>
                <w:lang w:val="es-ES_tradnl"/>
              </w:rPr>
            </w:pPr>
            <w:r w:rsidRPr="009577DE">
              <w:rPr>
                <w:sz w:val="16"/>
                <w:szCs w:val="16"/>
                <w:lang w:val="es-ES_tradnl"/>
              </w:rPr>
              <w:t>A determinar a fines de 2011.</w:t>
            </w:r>
          </w:p>
        </w:tc>
        <w:tc>
          <w:tcPr>
            <w:tcW w:w="916" w:type="pct"/>
            <w:tcBorders>
              <w:bottom w:val="single" w:sz="4" w:space="0" w:color="auto"/>
            </w:tcBorders>
            <w:shd w:val="clear" w:color="auto" w:fill="auto"/>
            <w:tcMar>
              <w:top w:w="110" w:type="dxa"/>
            </w:tcMar>
          </w:tcPr>
          <w:p w:rsidR="00B070BF" w:rsidRPr="00F2661C" w:rsidRDefault="00B070BF" w:rsidP="00C33D4A">
            <w:pPr>
              <w:widowControl w:val="0"/>
              <w:rPr>
                <w:color w:val="993300"/>
                <w:sz w:val="16"/>
                <w:szCs w:val="16"/>
                <w:lang w:val="es-ES_tradnl"/>
              </w:rPr>
            </w:pPr>
            <w:r w:rsidRPr="00F2661C">
              <w:rPr>
                <w:color w:val="993300"/>
                <w:sz w:val="16"/>
                <w:szCs w:val="16"/>
                <w:lang w:val="es-ES_tradnl"/>
              </w:rPr>
              <w:t xml:space="preserve">Una reducción del 2% de la emisión de gases de efecto invernadero o su compensación por medio de la inversión en la producción local sostenible de energía. </w:t>
            </w:r>
          </w:p>
          <w:p w:rsidR="00B070BF" w:rsidRPr="00F2661C" w:rsidRDefault="00B070BF" w:rsidP="00C33D4A">
            <w:pPr>
              <w:widowControl w:val="0"/>
              <w:rPr>
                <w:color w:val="993300"/>
                <w:sz w:val="16"/>
                <w:szCs w:val="16"/>
                <w:lang w:val="es-ES_tradnl"/>
              </w:rPr>
            </w:pPr>
          </w:p>
          <w:p w:rsidR="00B070BF" w:rsidRPr="009577DE" w:rsidRDefault="00B070BF" w:rsidP="00C33D4A">
            <w:pPr>
              <w:widowControl w:val="0"/>
              <w:rPr>
                <w:sz w:val="16"/>
                <w:szCs w:val="16"/>
                <w:lang w:val="es-ES_tradnl"/>
              </w:rPr>
            </w:pPr>
          </w:p>
        </w:tc>
        <w:tc>
          <w:tcPr>
            <w:tcW w:w="1848" w:type="pct"/>
            <w:tcBorders>
              <w:bottom w:val="single" w:sz="4" w:space="0" w:color="auto"/>
            </w:tcBorders>
            <w:shd w:val="clear" w:color="auto" w:fill="FFFFFF"/>
            <w:tcMar>
              <w:top w:w="110" w:type="dxa"/>
            </w:tcMar>
          </w:tcPr>
          <w:p w:rsidR="00B070BF" w:rsidRPr="009577DE" w:rsidRDefault="00B070BF" w:rsidP="00C33D4A">
            <w:pPr>
              <w:widowControl w:val="0"/>
              <w:rPr>
                <w:sz w:val="16"/>
                <w:szCs w:val="16"/>
                <w:lang w:val="es-ES_tradnl" w:bidi="th-TH"/>
              </w:rPr>
            </w:pPr>
            <w:r w:rsidRPr="009577DE">
              <w:rPr>
                <w:sz w:val="16"/>
                <w:szCs w:val="16"/>
                <w:lang w:val="es-ES_tradnl" w:bidi="th-TH"/>
              </w:rPr>
              <w:t>Compensación mediante la producción local sostenible de energía al seleccionarse (para el nuevo edificio) la tarifa que ofrezca la mayor contribución a la inversión en energías renovables.</w:t>
            </w:r>
          </w:p>
          <w:p w:rsidR="00B070BF" w:rsidRPr="009577DE" w:rsidRDefault="00B070BF" w:rsidP="00C33D4A">
            <w:pPr>
              <w:widowControl w:val="0"/>
              <w:rPr>
                <w:sz w:val="16"/>
                <w:szCs w:val="16"/>
                <w:lang w:val="es-ES_tradnl" w:bidi="th-TH"/>
              </w:rPr>
            </w:pPr>
          </w:p>
          <w:p w:rsidR="00B070BF" w:rsidRPr="009577DE" w:rsidRDefault="00B070BF" w:rsidP="00C33D4A">
            <w:pPr>
              <w:widowControl w:val="0"/>
              <w:rPr>
                <w:sz w:val="16"/>
                <w:szCs w:val="16"/>
                <w:lang w:val="es-ES_tradnl" w:bidi="th-TH"/>
              </w:rPr>
            </w:pPr>
            <w:r w:rsidRPr="009577DE">
              <w:rPr>
                <w:sz w:val="16"/>
                <w:szCs w:val="16"/>
                <w:lang w:val="es-ES_tradnl" w:bidi="th-TH"/>
              </w:rPr>
              <w:t xml:space="preserve"> </w:t>
            </w:r>
          </w:p>
          <w:p w:rsidR="00B070BF" w:rsidRPr="009577DE" w:rsidRDefault="00B070BF" w:rsidP="00C33D4A">
            <w:pPr>
              <w:widowControl w:val="0"/>
              <w:rPr>
                <w:sz w:val="16"/>
                <w:szCs w:val="16"/>
                <w:lang w:val="es-ES_tradnl"/>
              </w:rPr>
            </w:pPr>
            <w:r w:rsidRPr="009577DE">
              <w:rPr>
                <w:sz w:val="16"/>
                <w:szCs w:val="16"/>
                <w:lang w:val="es-ES_tradnl"/>
              </w:rPr>
              <w:t>A fin de lograr que disminuya la emisión de gases de efecto invernadero, en 2012 se vendieron 3 coches de un total de 11.  El consumo de combustible disminuyó en 1.500 francos suizos entre 2011 y 2012.</w:t>
            </w:r>
          </w:p>
          <w:p w:rsidR="00B070BF" w:rsidRPr="009577DE" w:rsidRDefault="00B070BF" w:rsidP="00C33D4A">
            <w:pPr>
              <w:widowControl w:val="0"/>
              <w:rPr>
                <w:sz w:val="16"/>
                <w:szCs w:val="16"/>
                <w:lang w:val="es-ES_tradnl"/>
              </w:rPr>
            </w:pPr>
          </w:p>
        </w:tc>
        <w:tc>
          <w:tcPr>
            <w:tcW w:w="557" w:type="pct"/>
            <w:tcBorders>
              <w:bottom w:val="single" w:sz="4" w:space="0" w:color="auto"/>
            </w:tcBorders>
            <w:shd w:val="clear" w:color="auto" w:fill="auto"/>
            <w:tcMar>
              <w:top w:w="110" w:type="dxa"/>
            </w:tcMar>
          </w:tcPr>
          <w:p w:rsidR="00B070BF" w:rsidRPr="009577DE" w:rsidRDefault="00B070BF" w:rsidP="00C33D4A">
            <w:pPr>
              <w:widowControl w:val="0"/>
              <w:jc w:val="center"/>
              <w:rPr>
                <w:b/>
                <w:bCs/>
                <w:sz w:val="16"/>
                <w:szCs w:val="16"/>
                <w:lang w:val="es-ES_tradnl"/>
              </w:rPr>
            </w:pPr>
            <w:r w:rsidRPr="009577DE">
              <w:rPr>
                <w:b/>
                <w:bCs/>
                <w:color w:val="008000"/>
                <w:sz w:val="16"/>
                <w:szCs w:val="16"/>
                <w:lang w:val="es-ES_tradnl"/>
              </w:rPr>
              <w:t>Progresa con normalidad</w:t>
            </w:r>
          </w:p>
          <w:p w:rsidR="00B070BF" w:rsidRPr="009577DE" w:rsidRDefault="00B070BF" w:rsidP="00C33D4A">
            <w:pPr>
              <w:widowControl w:val="0"/>
              <w:jc w:val="center"/>
              <w:rPr>
                <w:bCs/>
                <w:sz w:val="16"/>
                <w:szCs w:val="16"/>
                <w:lang w:val="es-ES_tradnl"/>
              </w:rPr>
            </w:pPr>
          </w:p>
          <w:p w:rsidR="00B070BF" w:rsidRPr="009577DE" w:rsidRDefault="00B070BF" w:rsidP="00C33D4A">
            <w:pPr>
              <w:widowControl w:val="0"/>
              <w:jc w:val="center"/>
              <w:rPr>
                <w:bCs/>
                <w:sz w:val="16"/>
                <w:szCs w:val="16"/>
                <w:lang w:val="es-ES_tradnl"/>
              </w:rPr>
            </w:pPr>
          </w:p>
        </w:tc>
      </w:tr>
      <w:tr w:rsidR="00B070BF" w:rsidRPr="009577DE" w:rsidTr="00C33D4A">
        <w:trPr>
          <w:cantSplit/>
        </w:trPr>
        <w:tc>
          <w:tcPr>
            <w:tcW w:w="5000" w:type="pct"/>
            <w:gridSpan w:val="5"/>
            <w:tcBorders>
              <w:top w:val="single" w:sz="4" w:space="0" w:color="auto"/>
              <w:bottom w:val="single" w:sz="4" w:space="0" w:color="auto"/>
            </w:tcBorders>
            <w:shd w:val="clear" w:color="auto" w:fill="CCFFFF"/>
            <w:vAlign w:val="center"/>
          </w:tcPr>
          <w:p w:rsidR="00B070BF" w:rsidRPr="009577DE" w:rsidRDefault="00B070BF" w:rsidP="00C33D4A">
            <w:pPr>
              <w:widowControl w:val="0"/>
              <w:tabs>
                <w:tab w:val="left" w:pos="1452"/>
              </w:tabs>
              <w:spacing w:before="120" w:after="120"/>
              <w:ind w:left="1452" w:hanging="1452"/>
              <w:rPr>
                <w:b/>
                <w:bCs/>
                <w:sz w:val="16"/>
                <w:szCs w:val="16"/>
                <w:lang w:val="es-ES_tradnl"/>
              </w:rPr>
            </w:pPr>
            <w:r w:rsidRPr="009577DE">
              <w:rPr>
                <w:b/>
                <w:bCs/>
                <w:sz w:val="16"/>
                <w:szCs w:val="16"/>
                <w:lang w:val="es-ES_tradnl"/>
              </w:rPr>
              <w:lastRenderedPageBreak/>
              <w:t>Resultado previsto:</w:t>
            </w:r>
            <w:r w:rsidRPr="009577DE">
              <w:rPr>
                <w:b/>
                <w:bCs/>
                <w:sz w:val="16"/>
                <w:szCs w:val="16"/>
                <w:lang w:val="es-ES_tradnl"/>
              </w:rPr>
              <w:tab/>
            </w:r>
            <w:r w:rsidRPr="009577DE">
              <w:rPr>
                <w:bCs/>
                <w:sz w:val="16"/>
                <w:szCs w:val="16"/>
                <w:lang w:val="es-ES_tradnl"/>
              </w:rPr>
              <w:t xml:space="preserve"> Mejora de acceso físico al recinto de la OMPI.</w:t>
            </w:r>
          </w:p>
        </w:tc>
      </w:tr>
      <w:tr w:rsidR="00B070BF" w:rsidRPr="009577DE" w:rsidTr="00C33D4A">
        <w:trPr>
          <w:cantSplit/>
        </w:trPr>
        <w:tc>
          <w:tcPr>
            <w:tcW w:w="874" w:type="pct"/>
            <w:tcBorders>
              <w:top w:val="single" w:sz="4" w:space="0" w:color="auto"/>
            </w:tcBorders>
            <w:shd w:val="clear" w:color="auto" w:fill="auto"/>
            <w:vAlign w:val="center"/>
          </w:tcPr>
          <w:p w:rsidR="00B070BF" w:rsidRPr="009577DE" w:rsidRDefault="00B070BF" w:rsidP="00C33D4A">
            <w:pPr>
              <w:widowControl w:val="0"/>
              <w:spacing w:after="120"/>
              <w:rPr>
                <w:sz w:val="16"/>
                <w:szCs w:val="16"/>
                <w:lang w:val="es-ES_tradnl"/>
              </w:rPr>
            </w:pPr>
            <w:r w:rsidRPr="009577DE">
              <w:rPr>
                <w:b/>
                <w:bCs/>
                <w:sz w:val="16"/>
                <w:szCs w:val="16"/>
                <w:lang w:val="es-ES_tradnl"/>
              </w:rPr>
              <w:t>Indicadores de rendimiento</w:t>
            </w:r>
          </w:p>
        </w:tc>
        <w:tc>
          <w:tcPr>
            <w:tcW w:w="805" w:type="pct"/>
            <w:tcBorders>
              <w:top w:val="single" w:sz="4" w:space="0" w:color="auto"/>
            </w:tcBorders>
            <w:shd w:val="clear" w:color="auto" w:fill="C0C0C0"/>
          </w:tcPr>
          <w:p w:rsidR="00B070BF" w:rsidRPr="009577DE" w:rsidRDefault="00B070BF" w:rsidP="00C33D4A">
            <w:pPr>
              <w:widowControl w:val="0"/>
              <w:spacing w:after="120"/>
              <w:rPr>
                <w:b/>
                <w:bCs/>
                <w:sz w:val="16"/>
                <w:szCs w:val="16"/>
                <w:lang w:val="es-ES_tradnl"/>
              </w:rPr>
            </w:pPr>
            <w:r w:rsidRPr="009577DE">
              <w:rPr>
                <w:b/>
                <w:bCs/>
                <w:sz w:val="16"/>
                <w:szCs w:val="16"/>
                <w:lang w:val="es-ES_tradnl"/>
              </w:rPr>
              <w:t>Referencia (</w:t>
            </w:r>
            <w:proofErr w:type="spellStart"/>
            <w:r w:rsidRPr="009577DE">
              <w:rPr>
                <w:b/>
                <w:bCs/>
                <w:sz w:val="16"/>
                <w:szCs w:val="16"/>
                <w:lang w:val="es-ES_tradnl"/>
              </w:rPr>
              <w:t>Presup</w:t>
            </w:r>
            <w:proofErr w:type="spellEnd"/>
            <w:r w:rsidRPr="009577DE">
              <w:rPr>
                <w:b/>
                <w:bCs/>
                <w:sz w:val="16"/>
                <w:szCs w:val="16"/>
                <w:lang w:val="es-ES_tradnl"/>
              </w:rPr>
              <w:t xml:space="preserve">. por </w:t>
            </w:r>
            <w:proofErr w:type="spellStart"/>
            <w:r w:rsidRPr="009577DE">
              <w:rPr>
                <w:b/>
                <w:bCs/>
                <w:sz w:val="16"/>
                <w:szCs w:val="16"/>
                <w:lang w:val="es-ES_tradnl"/>
              </w:rPr>
              <w:t>prog</w:t>
            </w:r>
            <w:proofErr w:type="spellEnd"/>
            <w:r w:rsidRPr="009577DE">
              <w:rPr>
                <w:b/>
                <w:bCs/>
                <w:sz w:val="16"/>
                <w:szCs w:val="16"/>
                <w:lang w:val="es-ES_tradnl"/>
              </w:rPr>
              <w:t>. 2012/13)</w:t>
            </w:r>
          </w:p>
        </w:tc>
        <w:tc>
          <w:tcPr>
            <w:tcW w:w="916" w:type="pct"/>
            <w:tcBorders>
              <w:top w:val="single" w:sz="4" w:space="0" w:color="auto"/>
            </w:tcBorders>
            <w:shd w:val="clear" w:color="auto" w:fill="auto"/>
            <w:tcMar>
              <w:top w:w="110" w:type="dxa"/>
            </w:tcMar>
            <w:vAlign w:val="center"/>
          </w:tcPr>
          <w:p w:rsidR="00B070BF" w:rsidRPr="00F2661C" w:rsidRDefault="00B070BF" w:rsidP="00C33D4A">
            <w:pPr>
              <w:widowControl w:val="0"/>
              <w:spacing w:after="120"/>
              <w:rPr>
                <w:b/>
                <w:color w:val="993300"/>
                <w:sz w:val="16"/>
                <w:szCs w:val="16"/>
                <w:lang w:val="es-ES_tradnl"/>
              </w:rPr>
            </w:pPr>
            <w:r w:rsidRPr="00F2661C">
              <w:rPr>
                <w:b/>
                <w:color w:val="993300"/>
                <w:sz w:val="16"/>
                <w:szCs w:val="16"/>
                <w:lang w:val="es-ES_tradnl"/>
              </w:rPr>
              <w:t xml:space="preserve">Referencia actualizada a comienzos de 2012 </w:t>
            </w:r>
          </w:p>
        </w:tc>
        <w:tc>
          <w:tcPr>
            <w:tcW w:w="1848" w:type="pct"/>
            <w:tcBorders>
              <w:top w:val="single" w:sz="4" w:space="0" w:color="auto"/>
            </w:tcBorders>
            <w:shd w:val="clear" w:color="auto" w:fill="FFFFFF"/>
            <w:tcMar>
              <w:top w:w="110" w:type="dxa"/>
            </w:tcMar>
            <w:vAlign w:val="center"/>
          </w:tcPr>
          <w:p w:rsidR="00B070BF" w:rsidRPr="009577DE" w:rsidRDefault="00B070BF" w:rsidP="00C33D4A">
            <w:pPr>
              <w:widowControl w:val="0"/>
              <w:spacing w:after="120"/>
              <w:rPr>
                <w:sz w:val="16"/>
                <w:szCs w:val="16"/>
                <w:lang w:val="es-ES_tradnl"/>
              </w:rPr>
            </w:pPr>
            <w:r w:rsidRPr="009577DE">
              <w:rPr>
                <w:b/>
                <w:bCs/>
                <w:sz w:val="16"/>
                <w:szCs w:val="16"/>
                <w:lang w:val="es-ES_tradnl"/>
              </w:rPr>
              <w:t>Datos sobre el rendimiento</w:t>
            </w:r>
          </w:p>
        </w:tc>
        <w:tc>
          <w:tcPr>
            <w:tcW w:w="557" w:type="pct"/>
            <w:tcBorders>
              <w:top w:val="single" w:sz="4" w:space="0" w:color="auto"/>
            </w:tcBorders>
            <w:shd w:val="clear" w:color="auto" w:fill="auto"/>
            <w:tcMar>
              <w:top w:w="110" w:type="dxa"/>
            </w:tcMar>
            <w:vAlign w:val="center"/>
          </w:tcPr>
          <w:p w:rsidR="00B070BF" w:rsidRPr="009577DE" w:rsidRDefault="00B070BF" w:rsidP="00C33D4A">
            <w:pPr>
              <w:widowControl w:val="0"/>
              <w:spacing w:after="120"/>
              <w:jc w:val="center"/>
              <w:rPr>
                <w:b/>
                <w:bCs/>
                <w:sz w:val="16"/>
                <w:szCs w:val="16"/>
                <w:lang w:val="es-ES_tradnl"/>
              </w:rPr>
            </w:pPr>
            <w:r w:rsidRPr="009577DE">
              <w:rPr>
                <w:b/>
                <w:bCs/>
                <w:sz w:val="16"/>
                <w:szCs w:val="16"/>
                <w:lang w:val="es-ES_tradnl"/>
              </w:rPr>
              <w:t>Clave de colores</w:t>
            </w:r>
          </w:p>
        </w:tc>
      </w:tr>
      <w:tr w:rsidR="00B070BF" w:rsidRPr="009577DE" w:rsidTr="00C33D4A">
        <w:trPr>
          <w:cantSplit/>
        </w:trPr>
        <w:tc>
          <w:tcPr>
            <w:tcW w:w="874" w:type="pct"/>
            <w:tcBorders>
              <w:bottom w:val="single" w:sz="4" w:space="0" w:color="auto"/>
            </w:tcBorders>
            <w:shd w:val="clear" w:color="auto" w:fill="auto"/>
          </w:tcPr>
          <w:p w:rsidR="00B070BF" w:rsidRPr="009577DE" w:rsidRDefault="00B070BF" w:rsidP="00C33D4A">
            <w:pPr>
              <w:widowControl w:val="0"/>
              <w:rPr>
                <w:sz w:val="16"/>
                <w:szCs w:val="16"/>
                <w:lang w:val="es-ES_tradnl"/>
              </w:rPr>
            </w:pPr>
            <w:r w:rsidRPr="009577DE">
              <w:rPr>
                <w:sz w:val="16"/>
                <w:szCs w:val="16"/>
                <w:lang w:val="es-ES_tradnl"/>
              </w:rPr>
              <w:t xml:space="preserve">Número de programas pertinentes dotados de indicadores, referencias de base y objetivos relativos a la accesibilidad física. </w:t>
            </w:r>
          </w:p>
        </w:tc>
        <w:tc>
          <w:tcPr>
            <w:tcW w:w="805" w:type="pct"/>
            <w:tcBorders>
              <w:bottom w:val="single" w:sz="4" w:space="0" w:color="auto"/>
            </w:tcBorders>
            <w:shd w:val="clear" w:color="auto" w:fill="C0C0C0"/>
          </w:tcPr>
          <w:p w:rsidR="00B070BF" w:rsidRPr="009577DE" w:rsidRDefault="00B070BF" w:rsidP="00C33D4A">
            <w:pPr>
              <w:widowControl w:val="0"/>
              <w:rPr>
                <w:sz w:val="16"/>
                <w:szCs w:val="16"/>
                <w:lang w:val="es-ES_tradnl"/>
              </w:rPr>
            </w:pPr>
            <w:r w:rsidRPr="009577DE">
              <w:rPr>
                <w:sz w:val="16"/>
                <w:szCs w:val="16"/>
                <w:lang w:val="es-ES_tradnl"/>
              </w:rPr>
              <w:t>A determinar a fines de 2011.</w:t>
            </w:r>
          </w:p>
        </w:tc>
        <w:tc>
          <w:tcPr>
            <w:tcW w:w="916" w:type="pct"/>
            <w:tcBorders>
              <w:bottom w:val="single" w:sz="4" w:space="0" w:color="auto"/>
            </w:tcBorders>
            <w:shd w:val="clear" w:color="auto" w:fill="auto"/>
            <w:tcMar>
              <w:top w:w="110" w:type="dxa"/>
            </w:tcMar>
          </w:tcPr>
          <w:p w:rsidR="00B070BF" w:rsidRPr="00F2661C" w:rsidRDefault="00B070BF" w:rsidP="00C33D4A">
            <w:pPr>
              <w:widowControl w:val="0"/>
              <w:rPr>
                <w:color w:val="993300"/>
                <w:sz w:val="16"/>
                <w:szCs w:val="16"/>
                <w:lang w:val="es-ES_tradnl"/>
              </w:rPr>
            </w:pPr>
            <w:r w:rsidRPr="00F2661C">
              <w:rPr>
                <w:color w:val="993300"/>
                <w:sz w:val="16"/>
                <w:szCs w:val="16"/>
                <w:lang w:val="es-ES_tradnl"/>
              </w:rPr>
              <w:t>Por lo menos un programa en cada año del bienio.</w:t>
            </w:r>
          </w:p>
        </w:tc>
        <w:tc>
          <w:tcPr>
            <w:tcW w:w="1848" w:type="pct"/>
            <w:tcBorders>
              <w:bottom w:val="single" w:sz="4" w:space="0" w:color="auto"/>
            </w:tcBorders>
            <w:shd w:val="clear" w:color="auto" w:fill="FFFFFF"/>
            <w:tcMar>
              <w:top w:w="110" w:type="dxa"/>
            </w:tcMar>
          </w:tcPr>
          <w:p w:rsidR="00B070BF" w:rsidRPr="009577DE" w:rsidRDefault="00B070BF" w:rsidP="00C33D4A">
            <w:pPr>
              <w:widowControl w:val="0"/>
              <w:rPr>
                <w:sz w:val="16"/>
                <w:szCs w:val="16"/>
                <w:lang w:val="es-ES_tradnl" w:bidi="th-TH"/>
              </w:rPr>
            </w:pPr>
            <w:r w:rsidRPr="009577DE">
              <w:rPr>
                <w:sz w:val="16"/>
                <w:szCs w:val="16"/>
                <w:lang w:val="es-ES_tradnl" w:bidi="th-TH"/>
              </w:rPr>
              <w:t>En 2012, en 2 programas se reflejó la accesibilidad física a pesar de la imposibilidad de evaluar los indicadores y las referencias durante el bienio:</w:t>
            </w:r>
          </w:p>
          <w:p w:rsidR="00B070BF" w:rsidRPr="009577DE" w:rsidRDefault="00B070BF" w:rsidP="00C33D4A">
            <w:pPr>
              <w:widowControl w:val="0"/>
              <w:rPr>
                <w:sz w:val="16"/>
                <w:szCs w:val="16"/>
                <w:lang w:val="es-ES_tradnl" w:bidi="th-TH"/>
              </w:rPr>
            </w:pPr>
          </w:p>
          <w:p w:rsidR="00B070BF" w:rsidRPr="009577DE" w:rsidRDefault="00B070BF" w:rsidP="00C33D4A">
            <w:pPr>
              <w:widowControl w:val="0"/>
              <w:rPr>
                <w:sz w:val="16"/>
                <w:szCs w:val="16"/>
                <w:lang w:val="es-ES_tradnl" w:bidi="th-TH"/>
              </w:rPr>
            </w:pPr>
            <w:r w:rsidRPr="009577DE">
              <w:rPr>
                <w:sz w:val="16"/>
                <w:szCs w:val="16"/>
                <w:u w:val="single"/>
                <w:lang w:val="es-ES_tradnl" w:bidi="th-TH"/>
              </w:rPr>
              <w:t>Programa 24:</w:t>
            </w:r>
            <w:r w:rsidRPr="009577DE">
              <w:rPr>
                <w:sz w:val="16"/>
                <w:szCs w:val="16"/>
                <w:lang w:val="es-ES_tradnl" w:bidi="th-TH"/>
              </w:rPr>
              <w:t xml:space="preserve">  En el otoño de 2012 se llevó a cabo una auditoria física de los edificios existentes, que servirá de base para la formulación de un plan de aplicación.</w:t>
            </w:r>
          </w:p>
          <w:p w:rsidR="00B070BF" w:rsidRPr="009577DE" w:rsidRDefault="00B070BF" w:rsidP="00C33D4A">
            <w:pPr>
              <w:widowControl w:val="0"/>
              <w:rPr>
                <w:sz w:val="16"/>
                <w:szCs w:val="16"/>
                <w:lang w:val="es-ES_tradnl" w:bidi="th-TH"/>
              </w:rPr>
            </w:pPr>
          </w:p>
          <w:p w:rsidR="00B070BF" w:rsidRPr="009577DE" w:rsidRDefault="00B070BF" w:rsidP="00C33D4A">
            <w:pPr>
              <w:widowControl w:val="0"/>
              <w:rPr>
                <w:sz w:val="16"/>
                <w:szCs w:val="16"/>
                <w:lang w:val="es-ES_tradnl" w:bidi="th-TH"/>
              </w:rPr>
            </w:pPr>
            <w:r w:rsidRPr="009577DE">
              <w:rPr>
                <w:sz w:val="16"/>
                <w:szCs w:val="16"/>
                <w:u w:val="single"/>
                <w:lang w:val="es-ES_tradnl" w:bidi="th-TH"/>
              </w:rPr>
              <w:t>Programa 29:</w:t>
            </w:r>
            <w:r w:rsidRPr="009577DE">
              <w:rPr>
                <w:sz w:val="16"/>
                <w:szCs w:val="16"/>
                <w:lang w:val="es-ES_tradnl" w:bidi="th-TH"/>
              </w:rPr>
              <w:t xml:space="preserve"> Se decidió encargar una auditoría de la nueva sala de conferencia, con arreglo al proyecto, que se llevará a cabo en el primer semestre de 2013.</w:t>
            </w:r>
          </w:p>
          <w:p w:rsidR="00B070BF" w:rsidRPr="009577DE" w:rsidRDefault="00B070BF" w:rsidP="00C33D4A">
            <w:pPr>
              <w:widowControl w:val="0"/>
              <w:rPr>
                <w:sz w:val="16"/>
                <w:szCs w:val="16"/>
                <w:lang w:val="es-ES_tradnl"/>
              </w:rPr>
            </w:pPr>
          </w:p>
        </w:tc>
        <w:tc>
          <w:tcPr>
            <w:tcW w:w="557" w:type="pct"/>
            <w:tcBorders>
              <w:bottom w:val="single" w:sz="4" w:space="0" w:color="auto"/>
            </w:tcBorders>
            <w:shd w:val="clear" w:color="auto" w:fill="auto"/>
            <w:tcMar>
              <w:top w:w="110" w:type="dxa"/>
            </w:tcMar>
          </w:tcPr>
          <w:p w:rsidR="00B070BF" w:rsidRPr="009577DE" w:rsidRDefault="00B070BF" w:rsidP="00C33D4A">
            <w:pPr>
              <w:widowControl w:val="0"/>
              <w:jc w:val="center"/>
              <w:rPr>
                <w:b/>
                <w:bCs/>
                <w:sz w:val="16"/>
                <w:szCs w:val="16"/>
                <w:lang w:val="es-ES_tradnl"/>
              </w:rPr>
            </w:pPr>
            <w:r w:rsidRPr="009577DE">
              <w:rPr>
                <w:b/>
                <w:bCs/>
                <w:color w:val="008000"/>
                <w:sz w:val="16"/>
                <w:szCs w:val="16"/>
                <w:lang w:val="es-ES_tradnl"/>
              </w:rPr>
              <w:t>Progresa con normalidad</w:t>
            </w:r>
          </w:p>
          <w:p w:rsidR="00B070BF" w:rsidRPr="009577DE" w:rsidRDefault="00B070BF" w:rsidP="00C33D4A">
            <w:pPr>
              <w:widowControl w:val="0"/>
              <w:jc w:val="center"/>
              <w:rPr>
                <w:bCs/>
                <w:sz w:val="16"/>
                <w:szCs w:val="16"/>
                <w:lang w:val="es-ES_tradnl"/>
              </w:rPr>
            </w:pPr>
          </w:p>
        </w:tc>
      </w:tr>
    </w:tbl>
    <w:p w:rsidR="00B070BF" w:rsidRPr="009577DE" w:rsidRDefault="00B070BF" w:rsidP="00B070BF">
      <w:pPr>
        <w:widowControl w:val="0"/>
        <w:rPr>
          <w:b/>
          <w:sz w:val="18"/>
          <w:szCs w:val="18"/>
          <w:lang w:val="es-ES_tradnl"/>
        </w:rPr>
      </w:pPr>
    </w:p>
    <w:p w:rsidR="00B070BF" w:rsidRPr="009577DE" w:rsidRDefault="00B070BF" w:rsidP="00B070BF">
      <w:pPr>
        <w:widowControl w:val="0"/>
        <w:rPr>
          <w:szCs w:val="22"/>
          <w:lang w:val="es-ES_tradnl"/>
        </w:rPr>
      </w:pPr>
    </w:p>
    <w:p w:rsidR="00B070BF" w:rsidRPr="009577DE" w:rsidRDefault="00B070BF" w:rsidP="00B070BF">
      <w:pPr>
        <w:widowControl w:val="0"/>
        <w:rPr>
          <w:sz w:val="20"/>
          <w:lang w:val="es-ES_tradnl"/>
        </w:rPr>
      </w:pPr>
      <w:r w:rsidRPr="009577DE">
        <w:rPr>
          <w:sz w:val="20"/>
          <w:lang w:val="es-ES_tradnl"/>
        </w:rPr>
        <w:t>PRESUPUESTO Y GASTOS REALES</w:t>
      </w:r>
    </w:p>
    <w:p w:rsidR="00B070BF" w:rsidRPr="006964C6" w:rsidRDefault="00B070BF" w:rsidP="00B070BF">
      <w:pPr>
        <w:widowControl w:val="0"/>
        <w:rPr>
          <w:sz w:val="20"/>
          <w:lang w:val="es-ES_tradnl"/>
        </w:rPr>
      </w:pPr>
    </w:p>
    <w:p w:rsidR="00B070BF" w:rsidRPr="006964C6" w:rsidRDefault="00B070BF" w:rsidP="00B070BF">
      <w:pPr>
        <w:widowControl w:val="0"/>
        <w:jc w:val="center"/>
        <w:rPr>
          <w:sz w:val="20"/>
          <w:lang w:val="es-ES_tradnl"/>
        </w:rPr>
      </w:pPr>
      <w:r w:rsidRPr="006964C6">
        <w:rPr>
          <w:sz w:val="20"/>
          <w:lang w:val="es-ES_tradnl"/>
        </w:rPr>
        <w:t>Presupuesto y gastos reales (por resultado)</w:t>
      </w:r>
    </w:p>
    <w:p w:rsidR="00B070BF" w:rsidRPr="009577DE" w:rsidRDefault="00B070BF" w:rsidP="00B070BF">
      <w:pPr>
        <w:widowControl w:val="0"/>
        <w:jc w:val="center"/>
        <w:rPr>
          <w:sz w:val="20"/>
          <w:lang w:val="es-ES_tradnl"/>
        </w:rPr>
      </w:pPr>
      <w:r w:rsidRPr="006964C6">
        <w:rPr>
          <w:i/>
          <w:iCs/>
          <w:sz w:val="20"/>
          <w:lang w:val="es-ES_tradnl"/>
        </w:rPr>
        <w:t>(en miles de francos suizos)</w:t>
      </w:r>
      <w:r w:rsidRPr="006964C6">
        <w:rPr>
          <w:i/>
          <w:iCs/>
          <w:sz w:val="20"/>
          <w:lang w:val="es-ES_tradnl"/>
        </w:rPr>
        <w:br/>
      </w:r>
      <w:r w:rsidRPr="006964C6">
        <w:rPr>
          <w:i/>
          <w:iCs/>
          <w:sz w:val="20"/>
          <w:lang w:val="es-ES_tradnl"/>
        </w:rPr>
        <w:br/>
      </w:r>
      <w:r w:rsidRPr="009577DE">
        <w:rPr>
          <w:noProof/>
          <w:lang w:val="en-US" w:eastAsia="en-US"/>
        </w:rPr>
        <w:drawing>
          <wp:inline distT="0" distB="0" distL="0" distR="0" wp14:anchorId="1E212883" wp14:editId="791BDD83">
            <wp:extent cx="5902325" cy="2814320"/>
            <wp:effectExtent l="0" t="0" r="3175" b="5080"/>
            <wp:docPr id="246" name="Pictur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5902325" cy="2814320"/>
                    </a:xfrm>
                    <a:prstGeom prst="rect">
                      <a:avLst/>
                    </a:prstGeom>
                    <a:noFill/>
                    <a:ln>
                      <a:noFill/>
                    </a:ln>
                  </pic:spPr>
                </pic:pic>
              </a:graphicData>
            </a:graphic>
          </wp:inline>
        </w:drawing>
      </w:r>
    </w:p>
    <w:p w:rsidR="00B070BF" w:rsidRPr="006964C6" w:rsidRDefault="00B070BF" w:rsidP="00B070BF">
      <w:pPr>
        <w:widowControl w:val="0"/>
        <w:jc w:val="center"/>
        <w:rPr>
          <w:sz w:val="20"/>
          <w:lang w:val="es-ES_tradnl"/>
        </w:rPr>
      </w:pPr>
    </w:p>
    <w:p w:rsidR="00B070BF" w:rsidRPr="006964C6" w:rsidRDefault="00B070BF" w:rsidP="00B070BF">
      <w:pPr>
        <w:rPr>
          <w:sz w:val="20"/>
          <w:lang w:val="es-ES_tradnl"/>
        </w:rPr>
      </w:pPr>
      <w:r w:rsidRPr="006964C6">
        <w:rPr>
          <w:sz w:val="20"/>
          <w:lang w:val="es-ES_tradnl"/>
        </w:rPr>
        <w:br w:type="page"/>
      </w:r>
    </w:p>
    <w:p w:rsidR="00B070BF" w:rsidRPr="006964C6" w:rsidRDefault="00B070BF" w:rsidP="00B070BF">
      <w:pPr>
        <w:widowControl w:val="0"/>
        <w:jc w:val="center"/>
        <w:rPr>
          <w:sz w:val="20"/>
          <w:lang w:val="es-ES_tradnl"/>
        </w:rPr>
      </w:pPr>
    </w:p>
    <w:p w:rsidR="00B070BF" w:rsidRPr="009577DE" w:rsidRDefault="00B070BF" w:rsidP="00B070BF">
      <w:pPr>
        <w:widowControl w:val="0"/>
        <w:jc w:val="center"/>
        <w:rPr>
          <w:sz w:val="20"/>
          <w:lang w:val="es-ES_tradnl"/>
        </w:rPr>
      </w:pPr>
      <w:r w:rsidRPr="006964C6">
        <w:rPr>
          <w:sz w:val="20"/>
          <w:lang w:val="es-ES_tradnl"/>
        </w:rPr>
        <w:t>Presupuesto y gastos reales (de personal y no relativos al personal)</w:t>
      </w:r>
      <w:r w:rsidRPr="006964C6">
        <w:rPr>
          <w:sz w:val="20"/>
          <w:lang w:val="es-ES_tradnl"/>
        </w:rPr>
        <w:br/>
      </w:r>
      <w:r w:rsidRPr="006964C6">
        <w:rPr>
          <w:i/>
          <w:sz w:val="20"/>
          <w:lang w:val="es-ES_tradnl"/>
        </w:rPr>
        <w:t>(en miles de francos suizos)</w:t>
      </w:r>
      <w:r w:rsidRPr="006964C6">
        <w:rPr>
          <w:sz w:val="20"/>
          <w:lang w:val="es-ES_tradnl"/>
        </w:rPr>
        <w:br/>
      </w:r>
      <w:r w:rsidRPr="006964C6">
        <w:rPr>
          <w:sz w:val="20"/>
          <w:lang w:val="es-ES_tradnl"/>
        </w:rPr>
        <w:br/>
      </w:r>
      <w:r w:rsidRPr="009577DE">
        <w:rPr>
          <w:noProof/>
          <w:lang w:val="en-US" w:eastAsia="en-US"/>
        </w:rPr>
        <w:drawing>
          <wp:inline distT="0" distB="0" distL="0" distR="0" wp14:anchorId="3D0DE612" wp14:editId="59402790">
            <wp:extent cx="5902325" cy="1247140"/>
            <wp:effectExtent l="0" t="0" r="3175" b="0"/>
            <wp:docPr id="245" name="Pictur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5902325" cy="1247140"/>
                    </a:xfrm>
                    <a:prstGeom prst="rect">
                      <a:avLst/>
                    </a:prstGeom>
                    <a:noFill/>
                    <a:ln>
                      <a:noFill/>
                    </a:ln>
                  </pic:spPr>
                </pic:pic>
              </a:graphicData>
            </a:graphic>
          </wp:inline>
        </w:drawing>
      </w:r>
    </w:p>
    <w:p w:rsidR="00B070BF" w:rsidRPr="009577DE" w:rsidRDefault="00B070BF" w:rsidP="00B070BF">
      <w:pPr>
        <w:widowControl w:val="0"/>
        <w:rPr>
          <w:sz w:val="20"/>
          <w:lang w:val="es-ES_tradnl"/>
        </w:rPr>
      </w:pPr>
    </w:p>
    <w:p w:rsidR="00B070BF" w:rsidRPr="009577DE" w:rsidRDefault="00B070BF" w:rsidP="00B070BF">
      <w:pPr>
        <w:widowControl w:val="0"/>
        <w:autoSpaceDE w:val="0"/>
        <w:autoSpaceDN w:val="0"/>
        <w:adjustRightInd w:val="0"/>
        <w:rPr>
          <w:sz w:val="16"/>
          <w:szCs w:val="16"/>
          <w:lang w:val="es-ES_tradnl"/>
        </w:rPr>
      </w:pPr>
      <w:r w:rsidRPr="007C3E0F">
        <w:rPr>
          <w:sz w:val="16"/>
          <w:szCs w:val="16"/>
          <w:lang w:val="es-ES_tradnl"/>
        </w:rPr>
        <w:t>NOTAS:</w:t>
      </w:r>
    </w:p>
    <w:p w:rsidR="00B070BF" w:rsidRPr="009577DE" w:rsidRDefault="00B070BF" w:rsidP="00B070BF">
      <w:pPr>
        <w:widowControl w:val="0"/>
        <w:autoSpaceDE w:val="0"/>
        <w:autoSpaceDN w:val="0"/>
        <w:adjustRightInd w:val="0"/>
        <w:rPr>
          <w:sz w:val="16"/>
          <w:szCs w:val="16"/>
          <w:lang w:val="es-ES_tradnl"/>
        </w:rPr>
      </w:pPr>
    </w:p>
    <w:p w:rsidR="00B070BF" w:rsidRPr="009577DE" w:rsidRDefault="00B070BF" w:rsidP="00B070BF">
      <w:pPr>
        <w:widowControl w:val="0"/>
        <w:autoSpaceDE w:val="0"/>
        <w:autoSpaceDN w:val="0"/>
        <w:adjustRightInd w:val="0"/>
        <w:rPr>
          <w:sz w:val="16"/>
          <w:szCs w:val="16"/>
          <w:lang w:val="es-ES_tradnl"/>
        </w:rPr>
      </w:pPr>
      <w:r w:rsidRPr="009577DE">
        <w:rPr>
          <w:sz w:val="16"/>
          <w:szCs w:val="16"/>
          <w:lang w:val="es-ES_tradnl"/>
        </w:rPr>
        <w:t>1) El presupuesto después de las transferencias refleja el presupuesto de los programas ajustado después de las transferencias efectuadas en 2012/13 en virtud del artículo 5.5 del Reglamento Financiero.</w:t>
      </w:r>
    </w:p>
    <w:p w:rsidR="00B070BF" w:rsidRPr="009577DE" w:rsidRDefault="00B070BF" w:rsidP="00B070BF">
      <w:pPr>
        <w:widowControl w:val="0"/>
        <w:autoSpaceDE w:val="0"/>
        <w:autoSpaceDN w:val="0"/>
        <w:adjustRightInd w:val="0"/>
        <w:rPr>
          <w:sz w:val="16"/>
          <w:szCs w:val="16"/>
          <w:lang w:val="es-ES_tradnl"/>
        </w:rPr>
      </w:pPr>
    </w:p>
    <w:p w:rsidR="00B070BF" w:rsidRPr="009577DE" w:rsidRDefault="00B070BF" w:rsidP="00B070BF">
      <w:pPr>
        <w:widowControl w:val="0"/>
        <w:autoSpaceDE w:val="0"/>
        <w:autoSpaceDN w:val="0"/>
        <w:adjustRightInd w:val="0"/>
        <w:rPr>
          <w:sz w:val="16"/>
          <w:szCs w:val="16"/>
          <w:lang w:val="es-ES_tradnl"/>
        </w:rPr>
      </w:pPr>
      <w:r w:rsidRPr="009577DE">
        <w:rPr>
          <w:sz w:val="16"/>
          <w:szCs w:val="16"/>
          <w:lang w:val="es-ES_tradnl"/>
        </w:rPr>
        <w:t xml:space="preserve">2) La asignación para el personal del presupuesto de 2012/13 después de las transferencias representa los gastos reales efectuados hasta el 31 de marzo de 2013 y los importes presupuestados para los nueve meses restantes de 2013, sobre la base de costos estándar. </w:t>
      </w:r>
    </w:p>
    <w:p w:rsidR="00B070BF" w:rsidRPr="009577DE" w:rsidRDefault="00B070BF" w:rsidP="00B070BF">
      <w:pPr>
        <w:widowControl w:val="0"/>
        <w:autoSpaceDE w:val="0"/>
        <w:autoSpaceDN w:val="0"/>
        <w:adjustRightInd w:val="0"/>
        <w:rPr>
          <w:sz w:val="16"/>
          <w:szCs w:val="16"/>
          <w:lang w:val="es-ES_tradnl"/>
        </w:rPr>
      </w:pPr>
    </w:p>
    <w:p w:rsidR="00B070BF" w:rsidRPr="009577DE" w:rsidRDefault="00B070BF" w:rsidP="00B070BF">
      <w:pPr>
        <w:widowControl w:val="0"/>
        <w:autoSpaceDE w:val="0"/>
        <w:autoSpaceDN w:val="0"/>
        <w:adjustRightInd w:val="0"/>
        <w:rPr>
          <w:sz w:val="16"/>
          <w:szCs w:val="16"/>
          <w:lang w:val="es-ES_tradnl"/>
        </w:rPr>
      </w:pPr>
      <w:r w:rsidRPr="009577DE">
        <w:rPr>
          <w:sz w:val="16"/>
          <w:szCs w:val="16"/>
          <w:lang w:val="es-ES_tradnl"/>
        </w:rPr>
        <w:t>3) La asignación no relativa al personal del presupuesto de 2012/13 después de las transferencias refleja los ajustes a la baja efectuados para aumentar la eficacia en función de los costos, de conformidad con el compromiso de la Organización de reducir gastos por un importe de 10,2 millones de francos suizos en el bienio 2012/13.</w:t>
      </w:r>
    </w:p>
    <w:p w:rsidR="00B070BF" w:rsidRDefault="00B070BF" w:rsidP="00B070BF">
      <w:pPr>
        <w:widowControl w:val="0"/>
        <w:rPr>
          <w:b/>
          <w:bCs/>
          <w:sz w:val="20"/>
          <w:lang w:val="es-ES_tradnl"/>
        </w:rPr>
      </w:pPr>
    </w:p>
    <w:p w:rsidR="00B070BF" w:rsidRPr="009577DE" w:rsidRDefault="00B070BF" w:rsidP="00B070BF">
      <w:pPr>
        <w:widowControl w:val="0"/>
        <w:rPr>
          <w:b/>
          <w:bCs/>
          <w:sz w:val="20"/>
          <w:lang w:val="es-ES_tradnl"/>
        </w:rPr>
      </w:pPr>
    </w:p>
    <w:p w:rsidR="00B070BF" w:rsidRPr="009577DE" w:rsidRDefault="00B070BF" w:rsidP="00B070BF">
      <w:pPr>
        <w:widowControl w:val="0"/>
        <w:rPr>
          <w:sz w:val="20"/>
          <w:u w:val="single"/>
          <w:lang w:val="es-ES_tradnl"/>
        </w:rPr>
      </w:pPr>
      <w:r>
        <w:rPr>
          <w:sz w:val="20"/>
          <w:lang w:val="es-ES_tradnl"/>
        </w:rPr>
        <w:t xml:space="preserve">A.  </w:t>
      </w:r>
      <w:r w:rsidRPr="009577DE">
        <w:rPr>
          <w:sz w:val="20"/>
          <w:u w:val="single"/>
          <w:lang w:val="es-ES_tradnl"/>
        </w:rPr>
        <w:t xml:space="preserve">Presupuesto </w:t>
      </w:r>
      <w:r>
        <w:rPr>
          <w:sz w:val="20"/>
          <w:u w:val="single"/>
          <w:lang w:val="es-ES_tradnl"/>
        </w:rPr>
        <w:t>2012/13</w:t>
      </w:r>
      <w:r w:rsidRPr="009577DE">
        <w:rPr>
          <w:sz w:val="20"/>
          <w:u w:val="single"/>
          <w:lang w:val="es-ES_tradnl"/>
        </w:rPr>
        <w:t xml:space="preserve"> después de las transferencias</w:t>
      </w:r>
    </w:p>
    <w:p w:rsidR="00B070BF" w:rsidRPr="009577DE" w:rsidRDefault="00B070BF" w:rsidP="00B070BF">
      <w:pPr>
        <w:widowControl w:val="0"/>
        <w:rPr>
          <w:b/>
          <w:bCs/>
          <w:sz w:val="20"/>
          <w:lang w:val="es-ES_tradnl"/>
        </w:rPr>
      </w:pPr>
    </w:p>
    <w:p w:rsidR="00B070BF" w:rsidRPr="009577DE" w:rsidRDefault="00B070BF" w:rsidP="00B070BF">
      <w:pPr>
        <w:widowControl w:val="0"/>
        <w:numPr>
          <w:ilvl w:val="0"/>
          <w:numId w:val="16"/>
        </w:numPr>
        <w:jc w:val="both"/>
        <w:rPr>
          <w:sz w:val="20"/>
          <w:lang w:val="es-ES_tradnl"/>
        </w:rPr>
      </w:pPr>
      <w:r w:rsidRPr="009577DE">
        <w:rPr>
          <w:sz w:val="20"/>
          <w:lang w:val="es-ES_tradnl"/>
        </w:rPr>
        <w:t>La disminución global de los recursos asignados a este programa refleja el ahorro relacionado con la eficiencia en función de los costos logrado al eliminar la necesidad de alquilar dos plantas adicionales de oficinas y el establecimiento de un fondo de mantenimiento de edificios.  Esto se ha traducido, sobre todo, en la disminución de los recursos asignados al resultado IX.1 (Servicios de apoyo eficaces, eficientes, de calidad y orientados al cliente).  Además, habida cuenta de que la mayoría de los servicios contractuales y los contratos de mantenimiento están contribuyendo a este resultado, el ajuste a la baja que ha permitido la mayor eficacia en función de los costos, efectuado a comienzos del bienio, refleja el ahorro fruto de la mayor eficacia en función de los costos centrada en este resultado.</w:t>
      </w:r>
    </w:p>
    <w:p w:rsidR="00B070BF" w:rsidRPr="009577DE" w:rsidRDefault="00B070BF" w:rsidP="00B070BF">
      <w:pPr>
        <w:widowControl w:val="0"/>
        <w:jc w:val="both"/>
        <w:rPr>
          <w:rFonts w:eastAsia="Batang"/>
          <w:sz w:val="20"/>
          <w:lang w:val="es-ES_tradnl" w:eastAsia="ko-KR"/>
        </w:rPr>
      </w:pPr>
    </w:p>
    <w:p w:rsidR="00B070BF" w:rsidRPr="009577DE" w:rsidRDefault="00B070BF" w:rsidP="00B070BF">
      <w:pPr>
        <w:widowControl w:val="0"/>
        <w:jc w:val="both"/>
        <w:rPr>
          <w:rFonts w:eastAsia="Batang"/>
          <w:sz w:val="20"/>
          <w:lang w:val="es-ES_tradnl" w:eastAsia="ko-KR"/>
        </w:rPr>
      </w:pPr>
      <w:r w:rsidRPr="009577DE">
        <w:rPr>
          <w:rFonts w:eastAsia="Batang"/>
          <w:sz w:val="20"/>
          <w:lang w:val="es-ES_tradnl" w:eastAsia="ko-KR"/>
        </w:rPr>
        <w:t xml:space="preserve">B. </w:t>
      </w:r>
      <w:r>
        <w:rPr>
          <w:rFonts w:eastAsia="Batang"/>
          <w:sz w:val="20"/>
          <w:lang w:val="es-ES_tradnl" w:eastAsia="ko-KR"/>
        </w:rPr>
        <w:t xml:space="preserve"> </w:t>
      </w:r>
      <w:r w:rsidRPr="009577DE">
        <w:rPr>
          <w:rFonts w:eastAsia="Batang"/>
          <w:sz w:val="20"/>
          <w:u w:val="single"/>
          <w:lang w:val="es-ES_tradnl" w:eastAsia="ko-KR"/>
        </w:rPr>
        <w:t>Utilización del presupuesto 2012</w:t>
      </w:r>
    </w:p>
    <w:p w:rsidR="00B070BF" w:rsidRPr="009577DE" w:rsidRDefault="00B070BF" w:rsidP="00B070BF">
      <w:pPr>
        <w:widowControl w:val="0"/>
        <w:rPr>
          <w:sz w:val="20"/>
          <w:lang w:val="es-ES_tradnl"/>
        </w:rPr>
      </w:pPr>
    </w:p>
    <w:p w:rsidR="00B070BF" w:rsidRPr="009577DE" w:rsidRDefault="00B070BF" w:rsidP="00B070BF">
      <w:pPr>
        <w:widowControl w:val="0"/>
        <w:numPr>
          <w:ilvl w:val="0"/>
          <w:numId w:val="16"/>
        </w:numPr>
        <w:jc w:val="both"/>
        <w:rPr>
          <w:sz w:val="20"/>
          <w:lang w:val="es-ES_tradnl"/>
        </w:rPr>
      </w:pPr>
      <w:r w:rsidRPr="009577DE">
        <w:rPr>
          <w:rFonts w:eastAsia="Batang"/>
          <w:sz w:val="20"/>
          <w:lang w:val="es-ES_tradnl" w:eastAsia="ko-KR"/>
        </w:rPr>
        <w:t>La utilización del presupuesto se mantiene entre el 40% y el 60% en el primer año del bienio y progresa con normalidad.</w:t>
      </w:r>
    </w:p>
    <w:p w:rsidR="00B070BF" w:rsidRPr="009577DE" w:rsidRDefault="00B070BF" w:rsidP="00B070BF">
      <w:pPr>
        <w:widowControl w:val="0"/>
        <w:rPr>
          <w:sz w:val="20"/>
          <w:lang w:val="es-ES_tradnl"/>
        </w:rPr>
      </w:pPr>
    </w:p>
    <w:p w:rsidR="00B070BF" w:rsidRPr="009577DE" w:rsidRDefault="00B070BF" w:rsidP="00B070BF">
      <w:pPr>
        <w:widowControl w:val="0"/>
        <w:jc w:val="both"/>
        <w:rPr>
          <w:sz w:val="20"/>
          <w:lang w:val="es-ES_tradnl"/>
        </w:rPr>
      </w:pPr>
    </w:p>
    <w:p w:rsidR="00B070BF" w:rsidRPr="009577DE" w:rsidRDefault="00B070BF" w:rsidP="00B070BF">
      <w:pPr>
        <w:widowControl w:val="0"/>
        <w:spacing w:before="240" w:after="60"/>
        <w:ind w:left="2835" w:hanging="2835"/>
        <w:outlineLvl w:val="1"/>
        <w:rPr>
          <w:b/>
          <w:bCs/>
          <w:iCs/>
          <w:caps/>
          <w:szCs w:val="22"/>
          <w:lang w:val="es-ES_tradnl"/>
        </w:rPr>
      </w:pPr>
      <w:r w:rsidRPr="009577DE">
        <w:rPr>
          <w:bCs/>
          <w:iCs/>
          <w:caps/>
          <w:sz w:val="20"/>
          <w:szCs w:val="28"/>
          <w:lang w:val="es-ES_tradnl"/>
        </w:rPr>
        <w:br w:type="page"/>
      </w:r>
      <w:bookmarkStart w:id="62" w:name="_Toc359846811"/>
      <w:bookmarkStart w:id="63" w:name="_Toc359949335"/>
      <w:r w:rsidRPr="009577DE">
        <w:rPr>
          <w:b/>
          <w:bCs/>
          <w:iCs/>
          <w:szCs w:val="22"/>
          <w:lang w:val="es-ES_tradnl"/>
        </w:rPr>
        <w:lastRenderedPageBreak/>
        <w:t>PROGRAMA 25</w:t>
      </w:r>
      <w:r w:rsidRPr="009577DE">
        <w:rPr>
          <w:b/>
          <w:bCs/>
          <w:iCs/>
          <w:szCs w:val="22"/>
          <w:lang w:val="es-ES_tradnl"/>
        </w:rPr>
        <w:tab/>
        <w:t>TECNOLOGÍAS DE LA INFORMACIÓN Y DE LAS COMUNICACIONES</w:t>
      </w:r>
      <w:bookmarkEnd w:id="62"/>
      <w:bookmarkEnd w:id="63"/>
    </w:p>
    <w:p w:rsidR="00B070BF" w:rsidRPr="009577DE" w:rsidRDefault="00B070BF" w:rsidP="00B070BF">
      <w:pPr>
        <w:widowControl w:val="0"/>
        <w:rPr>
          <w:szCs w:val="22"/>
          <w:lang w:val="es-ES_tradnl"/>
        </w:rPr>
      </w:pPr>
    </w:p>
    <w:p w:rsidR="00B070BF" w:rsidRPr="009577DE" w:rsidRDefault="00B070BF" w:rsidP="00B070BF">
      <w:pPr>
        <w:widowControl w:val="0"/>
        <w:rPr>
          <w:szCs w:val="22"/>
          <w:lang w:val="es-ES_tradnl"/>
        </w:rPr>
      </w:pPr>
    </w:p>
    <w:p w:rsidR="00B070BF" w:rsidRPr="009577DE" w:rsidRDefault="00B070BF" w:rsidP="00B070BF">
      <w:pPr>
        <w:widowControl w:val="0"/>
        <w:tabs>
          <w:tab w:val="left" w:pos="2268"/>
        </w:tabs>
        <w:rPr>
          <w:b/>
          <w:szCs w:val="22"/>
          <w:lang w:val="es-ES_tradnl"/>
        </w:rPr>
      </w:pPr>
      <w:r w:rsidRPr="009577DE">
        <w:rPr>
          <w:b/>
          <w:szCs w:val="22"/>
          <w:lang w:val="es-ES_tradnl"/>
        </w:rPr>
        <w:t>Director del Programa</w:t>
      </w:r>
      <w:r w:rsidRPr="009577DE">
        <w:rPr>
          <w:szCs w:val="22"/>
          <w:lang w:val="es-ES_tradnl"/>
        </w:rPr>
        <w:tab/>
      </w:r>
      <w:r w:rsidRPr="009577DE">
        <w:rPr>
          <w:b/>
          <w:szCs w:val="22"/>
          <w:lang w:val="es-ES_tradnl"/>
        </w:rPr>
        <w:t>Sr. A. Sundaram</w:t>
      </w:r>
    </w:p>
    <w:p w:rsidR="00B070BF" w:rsidRPr="009577DE" w:rsidRDefault="00B070BF" w:rsidP="00B070BF">
      <w:pPr>
        <w:widowControl w:val="0"/>
        <w:rPr>
          <w:sz w:val="20"/>
          <w:lang w:val="es-ES_tradnl"/>
        </w:rPr>
      </w:pPr>
    </w:p>
    <w:p w:rsidR="00B070BF" w:rsidRPr="009577DE" w:rsidRDefault="00B070BF" w:rsidP="00B070BF">
      <w:pPr>
        <w:widowControl w:val="0"/>
        <w:rPr>
          <w:bCs/>
          <w:sz w:val="20"/>
          <w:lang w:val="es-ES_tradnl"/>
        </w:rPr>
      </w:pPr>
    </w:p>
    <w:p w:rsidR="00B070BF" w:rsidRPr="009577DE" w:rsidRDefault="00B070BF" w:rsidP="00B070BF">
      <w:pPr>
        <w:widowControl w:val="0"/>
        <w:spacing w:line="260" w:lineRule="atLeast"/>
        <w:jc w:val="both"/>
        <w:rPr>
          <w:bCs/>
          <w:sz w:val="20"/>
          <w:lang w:val="es-ES_tradnl"/>
        </w:rPr>
      </w:pPr>
      <w:r w:rsidRPr="009577DE">
        <w:rPr>
          <w:bCs/>
          <w:sz w:val="20"/>
          <w:lang w:val="es-ES_tradnl"/>
        </w:rPr>
        <w:t>RESEÑA DE LOS AVANCES LOGRADOS EN 2012</w:t>
      </w:r>
    </w:p>
    <w:p w:rsidR="00B070BF" w:rsidRPr="009577DE" w:rsidRDefault="00B070BF" w:rsidP="00B070BF">
      <w:pPr>
        <w:widowControl w:val="0"/>
        <w:jc w:val="both"/>
        <w:rPr>
          <w:sz w:val="20"/>
          <w:lang w:val="es-ES_tradnl"/>
        </w:rPr>
      </w:pPr>
    </w:p>
    <w:p w:rsidR="00B070BF" w:rsidRPr="009577DE" w:rsidRDefault="00B070BF" w:rsidP="00B070BF">
      <w:pPr>
        <w:widowControl w:val="0"/>
        <w:numPr>
          <w:ilvl w:val="0"/>
          <w:numId w:val="40"/>
        </w:numPr>
        <w:jc w:val="both"/>
        <w:rPr>
          <w:sz w:val="20"/>
          <w:lang w:val="es-ES_tradnl"/>
        </w:rPr>
      </w:pPr>
      <w:r w:rsidRPr="009577DE">
        <w:rPr>
          <w:sz w:val="20"/>
          <w:lang w:val="es-ES_tradnl"/>
        </w:rPr>
        <w:t>La alineación de la gestión de las infraestructuras de TIC de la OMPI continuó en 2012 bajo la supervisión de una Junta de TIC renovada, presidida por el Director General.</w:t>
      </w:r>
    </w:p>
    <w:p w:rsidR="00B070BF" w:rsidRPr="009577DE" w:rsidRDefault="00B070BF" w:rsidP="00B070BF">
      <w:pPr>
        <w:widowControl w:val="0"/>
        <w:jc w:val="both"/>
        <w:rPr>
          <w:sz w:val="20"/>
          <w:lang w:val="es-ES_tradnl"/>
        </w:rPr>
      </w:pPr>
    </w:p>
    <w:p w:rsidR="00B070BF" w:rsidRPr="009577DE" w:rsidRDefault="00B070BF" w:rsidP="00B070BF">
      <w:pPr>
        <w:widowControl w:val="0"/>
        <w:numPr>
          <w:ilvl w:val="0"/>
          <w:numId w:val="40"/>
        </w:numPr>
        <w:jc w:val="both"/>
        <w:rPr>
          <w:sz w:val="20"/>
          <w:lang w:val="es-ES_tradnl"/>
        </w:rPr>
      </w:pPr>
      <w:r w:rsidRPr="009577DE">
        <w:rPr>
          <w:sz w:val="20"/>
          <w:lang w:val="es-ES_tradnl"/>
        </w:rPr>
        <w:t xml:space="preserve">Durante el año 2012 se lograron considerables progresos de cara al desarrollo de un entorno de TIC orientado al cliente que pueda ofrecer una sólida experiencia de usuario a todos los clientes y que sea más accesible y compatible tanto en el seno de la OMPI como con los clientes externos. </w:t>
      </w:r>
    </w:p>
    <w:p w:rsidR="00B070BF" w:rsidRPr="009577DE" w:rsidRDefault="00B070BF" w:rsidP="00B070BF">
      <w:pPr>
        <w:widowControl w:val="0"/>
        <w:autoSpaceDE w:val="0"/>
        <w:autoSpaceDN w:val="0"/>
        <w:adjustRightInd w:val="0"/>
        <w:jc w:val="both"/>
        <w:rPr>
          <w:sz w:val="20"/>
          <w:lang w:val="es-ES_tradnl"/>
        </w:rPr>
      </w:pPr>
    </w:p>
    <w:p w:rsidR="00B070BF" w:rsidRPr="009577DE" w:rsidRDefault="00B070BF" w:rsidP="00B070BF">
      <w:pPr>
        <w:widowControl w:val="0"/>
        <w:numPr>
          <w:ilvl w:val="0"/>
          <w:numId w:val="40"/>
        </w:numPr>
        <w:jc w:val="both"/>
        <w:rPr>
          <w:sz w:val="20"/>
          <w:lang w:val="es-ES_tradnl"/>
        </w:rPr>
      </w:pPr>
      <w:r w:rsidRPr="009577DE">
        <w:rPr>
          <w:sz w:val="20"/>
          <w:lang w:val="es-ES_tradnl"/>
        </w:rPr>
        <w:t xml:space="preserve">Se realizaron importantes avances en el suministro de infraestructuras de TIC, con subcontratación estratégica de operaciones para garantizar altos niveles de servicios y eficacia en función de los costos.  El cambio que supone la externalización de la gestión de los servicios y de la infraestructura absorbe muchos recursos durante el período de transición. </w:t>
      </w:r>
    </w:p>
    <w:p w:rsidR="00B070BF" w:rsidRPr="009577DE" w:rsidRDefault="00B070BF" w:rsidP="00B070BF">
      <w:pPr>
        <w:widowControl w:val="0"/>
        <w:jc w:val="both"/>
        <w:rPr>
          <w:sz w:val="20"/>
          <w:lang w:val="es-ES_tradnl"/>
        </w:rPr>
      </w:pPr>
    </w:p>
    <w:p w:rsidR="00B070BF" w:rsidRPr="009577DE" w:rsidRDefault="00B070BF" w:rsidP="00B070BF">
      <w:pPr>
        <w:widowControl w:val="0"/>
        <w:numPr>
          <w:ilvl w:val="0"/>
          <w:numId w:val="40"/>
        </w:numPr>
        <w:jc w:val="both"/>
        <w:rPr>
          <w:sz w:val="20"/>
          <w:lang w:val="es-ES_tradnl"/>
        </w:rPr>
      </w:pPr>
      <w:r w:rsidRPr="009577DE">
        <w:rPr>
          <w:sz w:val="20"/>
          <w:lang w:val="es-ES_tradnl"/>
        </w:rPr>
        <w:t>A continuación se mencionan algunos aspectos indicativos de los satisfactorios progresos realizados durante el bienio en el ámbito de los servicios de infraestructura, los servicios de soluciones operativas (incluyendo los servicios de Internet), los servicios de administración de servicios de TI y los servicios de seguridad de la información:</w:t>
      </w:r>
    </w:p>
    <w:p w:rsidR="00B070BF" w:rsidRPr="009577DE" w:rsidRDefault="00B070BF" w:rsidP="00B070BF">
      <w:pPr>
        <w:widowControl w:val="0"/>
        <w:tabs>
          <w:tab w:val="num" w:pos="1134"/>
        </w:tabs>
        <w:ind w:left="1134" w:hanging="567"/>
        <w:jc w:val="both"/>
        <w:rPr>
          <w:rFonts w:eastAsia="Times New Roman"/>
          <w:sz w:val="20"/>
          <w:lang w:val="es-ES_tradnl" w:eastAsia="en-US"/>
        </w:rPr>
      </w:pPr>
    </w:p>
    <w:p w:rsidR="00B070BF" w:rsidRPr="009577DE" w:rsidRDefault="00B070BF" w:rsidP="00B070BF">
      <w:pPr>
        <w:widowControl w:val="0"/>
        <w:ind w:left="1134" w:hanging="567"/>
        <w:jc w:val="both"/>
        <w:rPr>
          <w:rFonts w:eastAsia="Times New Roman"/>
          <w:sz w:val="20"/>
          <w:lang w:val="es-ES_tradnl" w:eastAsia="en-US"/>
        </w:rPr>
      </w:pPr>
      <w:r w:rsidRPr="009577DE">
        <w:rPr>
          <w:rFonts w:eastAsia="Times New Roman"/>
          <w:sz w:val="20"/>
          <w:lang w:val="es-ES_tradnl" w:eastAsia="en-US"/>
        </w:rPr>
        <w:t>i)</w:t>
      </w:r>
      <w:r w:rsidRPr="009577DE">
        <w:rPr>
          <w:rFonts w:eastAsia="Times New Roman"/>
          <w:sz w:val="20"/>
          <w:lang w:val="es-ES_tradnl" w:eastAsia="en-US"/>
        </w:rPr>
        <w:tab/>
        <w:t>El despliegue a nivel de toda la Organización de la nueva arquitectura interna de redes de datos quedó terminado en 2012, facilitando unos controles reforzados de seguridad de las redes y la gestión eficaz del tráfico multimedia (voz, video y datos).</w:t>
      </w:r>
    </w:p>
    <w:p w:rsidR="00B070BF" w:rsidRPr="009577DE" w:rsidRDefault="00B070BF" w:rsidP="00B070BF">
      <w:pPr>
        <w:widowControl w:val="0"/>
        <w:tabs>
          <w:tab w:val="num" w:pos="1134"/>
        </w:tabs>
        <w:ind w:left="1134" w:hanging="567"/>
        <w:jc w:val="both"/>
        <w:rPr>
          <w:rFonts w:eastAsia="Times New Roman"/>
          <w:sz w:val="20"/>
          <w:lang w:val="es-ES_tradnl" w:eastAsia="en-US"/>
        </w:rPr>
      </w:pPr>
    </w:p>
    <w:p w:rsidR="00B070BF" w:rsidRPr="009577DE" w:rsidRDefault="00B070BF" w:rsidP="00B070BF">
      <w:pPr>
        <w:widowControl w:val="0"/>
        <w:ind w:left="1134" w:hanging="567"/>
        <w:jc w:val="both"/>
        <w:rPr>
          <w:rFonts w:eastAsia="Times New Roman"/>
          <w:sz w:val="20"/>
          <w:lang w:val="es-ES_tradnl" w:eastAsia="en-US"/>
        </w:rPr>
      </w:pPr>
      <w:r w:rsidRPr="009577DE">
        <w:rPr>
          <w:rFonts w:eastAsia="Times New Roman"/>
          <w:sz w:val="20"/>
          <w:lang w:val="es-ES_tradnl" w:eastAsia="en-US"/>
        </w:rPr>
        <w:t>ii)</w:t>
      </w:r>
      <w:r w:rsidRPr="009577DE">
        <w:rPr>
          <w:rFonts w:eastAsia="Times New Roman"/>
          <w:sz w:val="20"/>
          <w:lang w:val="es-ES_tradnl" w:eastAsia="en-US"/>
        </w:rPr>
        <w:tab/>
        <w:t>Un nuevo sistema de telefonía mediante protocolo de Internet se implementó en 2012 sustituyendo a la centralita telefónica Nortel, ya obsoleta.  Se alcanzaron todos los objetivos previstos y en particular:</w:t>
      </w:r>
    </w:p>
    <w:p w:rsidR="00B070BF" w:rsidRPr="009577DE" w:rsidRDefault="00B070BF" w:rsidP="00B070BF">
      <w:pPr>
        <w:widowControl w:val="0"/>
        <w:tabs>
          <w:tab w:val="num" w:pos="1134"/>
        </w:tabs>
        <w:ind w:left="1134" w:hanging="567"/>
        <w:jc w:val="both"/>
        <w:rPr>
          <w:rFonts w:eastAsia="Times New Roman"/>
          <w:sz w:val="20"/>
          <w:lang w:val="es-ES_tradnl" w:eastAsia="en-US"/>
        </w:rPr>
      </w:pPr>
    </w:p>
    <w:p w:rsidR="00B070BF" w:rsidRPr="009577DE" w:rsidRDefault="00B070BF" w:rsidP="00B070BF">
      <w:pPr>
        <w:widowControl w:val="0"/>
        <w:numPr>
          <w:ilvl w:val="1"/>
          <w:numId w:val="39"/>
        </w:numPr>
        <w:tabs>
          <w:tab w:val="clear" w:pos="1363"/>
        </w:tabs>
        <w:ind w:left="1701" w:hanging="567"/>
        <w:jc w:val="both"/>
        <w:rPr>
          <w:sz w:val="20"/>
          <w:lang w:val="es-ES_tradnl" w:eastAsia="ar-SA"/>
        </w:rPr>
      </w:pPr>
      <w:r w:rsidRPr="009577DE">
        <w:rPr>
          <w:sz w:val="20"/>
          <w:lang w:val="es-ES_tradnl" w:eastAsia="ar-SA"/>
        </w:rPr>
        <w:t>la eliminación de los riesgos operativos vinculados al uso de tecnologías obsoletas y a la necesidad de sustentar soluciones paralelas redundantes;</w:t>
      </w:r>
    </w:p>
    <w:p w:rsidR="00B070BF" w:rsidRPr="009577DE" w:rsidRDefault="00B070BF" w:rsidP="00B070BF">
      <w:pPr>
        <w:widowControl w:val="0"/>
        <w:ind w:left="1701"/>
        <w:jc w:val="both"/>
        <w:rPr>
          <w:sz w:val="20"/>
          <w:lang w:val="es-ES_tradnl" w:eastAsia="ar-SA"/>
        </w:rPr>
      </w:pPr>
    </w:p>
    <w:p w:rsidR="00B070BF" w:rsidRPr="009577DE" w:rsidRDefault="00B070BF" w:rsidP="00B070BF">
      <w:pPr>
        <w:widowControl w:val="0"/>
        <w:numPr>
          <w:ilvl w:val="1"/>
          <w:numId w:val="39"/>
        </w:numPr>
        <w:tabs>
          <w:tab w:val="clear" w:pos="1363"/>
        </w:tabs>
        <w:ind w:left="1701" w:hanging="567"/>
        <w:jc w:val="both"/>
        <w:rPr>
          <w:sz w:val="20"/>
          <w:lang w:val="es-ES_tradnl" w:eastAsia="ar-SA"/>
        </w:rPr>
      </w:pPr>
      <w:r w:rsidRPr="009577DE">
        <w:rPr>
          <w:sz w:val="20"/>
          <w:lang w:val="es-ES_tradnl" w:eastAsia="ar-SA"/>
        </w:rPr>
        <w:t xml:space="preserve">la mejora de la disponibilidad de los servicios mediante la introducción de la duplicación de sistemas y la distribución de los componentes esenciales del sistema entre las distintas dependencias de la OMPI; </w:t>
      </w:r>
    </w:p>
    <w:p w:rsidR="00B070BF" w:rsidRPr="009577DE" w:rsidRDefault="00B070BF" w:rsidP="00B070BF">
      <w:pPr>
        <w:widowControl w:val="0"/>
        <w:tabs>
          <w:tab w:val="num" w:pos="1134"/>
        </w:tabs>
        <w:ind w:left="1134" w:hanging="567"/>
        <w:jc w:val="both"/>
        <w:rPr>
          <w:rFonts w:eastAsia="Times New Roman"/>
          <w:sz w:val="20"/>
          <w:lang w:val="es-ES_tradnl" w:eastAsia="en-US"/>
        </w:rPr>
      </w:pPr>
    </w:p>
    <w:p w:rsidR="00B070BF" w:rsidRPr="009577DE" w:rsidRDefault="00B070BF" w:rsidP="00B070BF">
      <w:pPr>
        <w:widowControl w:val="0"/>
        <w:numPr>
          <w:ilvl w:val="1"/>
          <w:numId w:val="39"/>
        </w:numPr>
        <w:tabs>
          <w:tab w:val="clear" w:pos="1363"/>
        </w:tabs>
        <w:ind w:left="1701" w:hanging="567"/>
        <w:jc w:val="both"/>
        <w:rPr>
          <w:sz w:val="20"/>
          <w:lang w:val="es-ES_tradnl" w:eastAsia="ar-SA"/>
        </w:rPr>
      </w:pPr>
      <w:r w:rsidRPr="009577DE">
        <w:rPr>
          <w:sz w:val="20"/>
          <w:lang w:val="es-ES_tradnl" w:eastAsia="ar-SA"/>
        </w:rPr>
        <w:t>la introducción de nuevas funcionalidades con el fin de aumentar la eficacia de las comunicaciones internas (voz, video) y la integración de los servicios de telefonía con el entorno de las computadoras de escritorio (los denominados Servicios unificados de comunicaciones);  y</w:t>
      </w:r>
    </w:p>
    <w:p w:rsidR="00B070BF" w:rsidRPr="009577DE" w:rsidRDefault="00B070BF" w:rsidP="00B070BF">
      <w:pPr>
        <w:widowControl w:val="0"/>
        <w:tabs>
          <w:tab w:val="num" w:pos="1134"/>
        </w:tabs>
        <w:ind w:left="1134" w:hanging="567"/>
        <w:jc w:val="both"/>
        <w:rPr>
          <w:rFonts w:eastAsia="Times New Roman"/>
          <w:sz w:val="20"/>
          <w:lang w:val="es-ES_tradnl" w:eastAsia="en-US"/>
        </w:rPr>
      </w:pPr>
    </w:p>
    <w:p w:rsidR="00B070BF" w:rsidRPr="009577DE" w:rsidRDefault="00B070BF" w:rsidP="00B070BF">
      <w:pPr>
        <w:widowControl w:val="0"/>
        <w:numPr>
          <w:ilvl w:val="1"/>
          <w:numId w:val="39"/>
        </w:numPr>
        <w:tabs>
          <w:tab w:val="clear" w:pos="1363"/>
        </w:tabs>
        <w:ind w:left="1701" w:hanging="567"/>
        <w:jc w:val="both"/>
        <w:rPr>
          <w:sz w:val="20"/>
          <w:lang w:val="es-ES_tradnl" w:eastAsia="ar-SA"/>
        </w:rPr>
      </w:pPr>
      <w:r w:rsidRPr="009577DE">
        <w:rPr>
          <w:sz w:val="20"/>
          <w:lang w:val="es-ES_tradnl" w:eastAsia="ar-SA"/>
        </w:rPr>
        <w:t>la formación completa del personal en el uso eficaz de las nuevas tecnologías.</w:t>
      </w:r>
    </w:p>
    <w:p w:rsidR="00B070BF" w:rsidRPr="009577DE" w:rsidRDefault="00B070BF" w:rsidP="00B070BF">
      <w:pPr>
        <w:widowControl w:val="0"/>
        <w:tabs>
          <w:tab w:val="num" w:pos="1134"/>
        </w:tabs>
        <w:ind w:left="1134" w:hanging="567"/>
        <w:jc w:val="both"/>
        <w:rPr>
          <w:rFonts w:eastAsia="Times New Roman"/>
          <w:sz w:val="20"/>
          <w:lang w:val="es-ES_tradnl" w:eastAsia="en-US"/>
        </w:rPr>
      </w:pPr>
    </w:p>
    <w:p w:rsidR="00B070BF" w:rsidRPr="009577DE" w:rsidRDefault="00B070BF" w:rsidP="00B070BF">
      <w:pPr>
        <w:widowControl w:val="0"/>
        <w:ind w:left="1134" w:hanging="567"/>
        <w:jc w:val="both"/>
        <w:rPr>
          <w:rFonts w:eastAsia="Times New Roman"/>
          <w:sz w:val="20"/>
          <w:lang w:val="es-ES_tradnl" w:eastAsia="en-US"/>
        </w:rPr>
      </w:pPr>
      <w:r w:rsidRPr="009577DE">
        <w:rPr>
          <w:rFonts w:eastAsia="Times New Roman"/>
          <w:sz w:val="20"/>
          <w:lang w:val="es-ES_tradnl" w:eastAsia="en-US"/>
        </w:rPr>
        <w:t>iii)</w:t>
      </w:r>
      <w:r w:rsidRPr="009577DE">
        <w:rPr>
          <w:rFonts w:eastAsia="Times New Roman"/>
          <w:sz w:val="20"/>
          <w:lang w:val="es-ES_tradnl" w:eastAsia="en-US"/>
        </w:rPr>
        <w:tab/>
        <w:t>En el transcurso de 2012 la totalidad de las 18 principales reuniones de la OMPI, incluida la Conferencia Diplomática de Beijing, se retransmitieron en directo a través de Internet (mediante un sistema de difusión por la Web).  Asimismo, se proporcionó acceso a las sesiones grabadas en vídeo por medio de la página de la OMPI en forma de “video a la carta”.  Este programa participó activamente en el suministro de la infraestructura de TIC para la Conferencia Diplomática de Beijing.</w:t>
      </w:r>
    </w:p>
    <w:p w:rsidR="00B070BF" w:rsidRPr="009577DE" w:rsidRDefault="00B070BF" w:rsidP="00B070BF">
      <w:pPr>
        <w:widowControl w:val="0"/>
        <w:tabs>
          <w:tab w:val="num" w:pos="1134"/>
        </w:tabs>
        <w:ind w:left="1134" w:hanging="567"/>
        <w:jc w:val="both"/>
        <w:rPr>
          <w:rFonts w:eastAsia="Times New Roman"/>
          <w:sz w:val="20"/>
          <w:lang w:val="es-ES_tradnl" w:eastAsia="en-US"/>
        </w:rPr>
      </w:pPr>
    </w:p>
    <w:p w:rsidR="00B070BF" w:rsidRPr="009577DE" w:rsidRDefault="00B070BF" w:rsidP="00B070BF">
      <w:pPr>
        <w:widowControl w:val="0"/>
        <w:ind w:left="1134" w:hanging="567"/>
        <w:jc w:val="both"/>
        <w:rPr>
          <w:rFonts w:eastAsia="Times New Roman"/>
          <w:sz w:val="20"/>
          <w:lang w:val="es-ES_tradnl" w:eastAsia="en-US"/>
        </w:rPr>
      </w:pPr>
      <w:r w:rsidRPr="009577DE">
        <w:rPr>
          <w:rFonts w:eastAsia="Times New Roman"/>
          <w:sz w:val="20"/>
          <w:lang w:val="es-ES_tradnl" w:eastAsia="en-US"/>
        </w:rPr>
        <w:t>iv)</w:t>
      </w:r>
      <w:r w:rsidRPr="009577DE">
        <w:rPr>
          <w:rFonts w:eastAsia="Times New Roman"/>
          <w:sz w:val="20"/>
          <w:lang w:val="es-ES_tradnl" w:eastAsia="en-US"/>
        </w:rPr>
        <w:tab/>
        <w:t>Siguieron adelante los trabajos preparatorios de la nueva sala de conferencias relacionados con las TIC, centrándose primordialmente en la selección de la tecnología, las compras y la negociación de contratos.  Los progresos realizados en 2012 incluyeron la selección de una solución adecuada para el despliegue, en y en torno a la nueva sala de conferencias, de servicios inalámbricos de alta capacidad (</w:t>
      </w:r>
      <w:proofErr w:type="spellStart"/>
      <w:r w:rsidRPr="009577DE">
        <w:rPr>
          <w:rFonts w:eastAsia="Times New Roman"/>
          <w:sz w:val="20"/>
          <w:lang w:val="es-ES_tradnl" w:eastAsia="en-US"/>
        </w:rPr>
        <w:t>Wi</w:t>
      </w:r>
      <w:proofErr w:type="spellEnd"/>
      <w:r w:rsidRPr="009577DE">
        <w:rPr>
          <w:rFonts w:eastAsia="Times New Roman"/>
          <w:sz w:val="20"/>
          <w:lang w:val="es-ES_tradnl" w:eastAsia="en-US"/>
        </w:rPr>
        <w:t xml:space="preserve">-Fi), diseñados para acoger hasta 2.000 </w:t>
      </w:r>
      <w:r w:rsidRPr="009577DE">
        <w:rPr>
          <w:rFonts w:eastAsia="Times New Roman"/>
          <w:sz w:val="20"/>
          <w:lang w:val="es-ES_tradnl" w:eastAsia="en-US"/>
        </w:rPr>
        <w:lastRenderedPageBreak/>
        <w:t>conexiones simultáneas.</w:t>
      </w:r>
    </w:p>
    <w:p w:rsidR="00B070BF" w:rsidRPr="009577DE" w:rsidRDefault="00B070BF" w:rsidP="00B070BF">
      <w:pPr>
        <w:widowControl w:val="0"/>
        <w:tabs>
          <w:tab w:val="num" w:pos="1134"/>
        </w:tabs>
        <w:ind w:left="1134" w:hanging="567"/>
        <w:jc w:val="both"/>
        <w:rPr>
          <w:sz w:val="20"/>
          <w:lang w:val="es-ES_tradnl"/>
        </w:rPr>
      </w:pPr>
    </w:p>
    <w:p w:rsidR="00B070BF" w:rsidRPr="009577DE" w:rsidRDefault="00B070BF" w:rsidP="00B070BF">
      <w:pPr>
        <w:widowControl w:val="0"/>
        <w:ind w:left="1134" w:hanging="567"/>
        <w:jc w:val="both"/>
        <w:rPr>
          <w:rFonts w:eastAsia="Times New Roman"/>
          <w:sz w:val="20"/>
          <w:lang w:val="es-ES_tradnl" w:eastAsia="en-US"/>
        </w:rPr>
      </w:pPr>
      <w:r w:rsidRPr="009577DE">
        <w:rPr>
          <w:rFonts w:eastAsia="Times New Roman"/>
          <w:sz w:val="20"/>
          <w:lang w:val="es-ES_tradnl" w:eastAsia="en-US"/>
        </w:rPr>
        <w:t>v)</w:t>
      </w:r>
      <w:r w:rsidRPr="009577DE">
        <w:rPr>
          <w:rFonts w:eastAsia="Times New Roman"/>
          <w:sz w:val="20"/>
          <w:lang w:val="es-ES_tradnl" w:eastAsia="en-US"/>
        </w:rPr>
        <w:tab/>
        <w:t xml:space="preserve">En 2012 quedaron terminados en su mayor parte los preparativos para la migración de los sistemas de automatización de oficinas de la Organización a un entorno Microsoft corriente en el ramo, incluyendo la transición a Microsoft Active </w:t>
      </w:r>
      <w:proofErr w:type="spellStart"/>
      <w:r w:rsidRPr="009577DE">
        <w:rPr>
          <w:rFonts w:eastAsia="Times New Roman"/>
          <w:sz w:val="20"/>
          <w:lang w:val="es-ES_tradnl" w:eastAsia="en-US"/>
        </w:rPr>
        <w:t>Directory</w:t>
      </w:r>
      <w:proofErr w:type="spellEnd"/>
      <w:r w:rsidRPr="009577DE">
        <w:rPr>
          <w:rFonts w:eastAsia="Times New Roman"/>
          <w:sz w:val="20"/>
          <w:lang w:val="es-ES_tradnl" w:eastAsia="en-US"/>
        </w:rPr>
        <w:t>.  La sustitución de las estaciones de trabajo de escritorio obsoletas y la migración a Windows 7 y Office 2010 comenzarán en los primeros meses de 2013 y está previsto que terminen antes de fin de año.</w:t>
      </w:r>
    </w:p>
    <w:p w:rsidR="00B070BF" w:rsidRPr="009577DE" w:rsidRDefault="00B070BF" w:rsidP="00B070BF">
      <w:pPr>
        <w:widowControl w:val="0"/>
        <w:tabs>
          <w:tab w:val="num" w:pos="1134"/>
        </w:tabs>
        <w:ind w:left="1134" w:hanging="567"/>
        <w:jc w:val="both"/>
        <w:rPr>
          <w:rFonts w:eastAsia="Times New Roman"/>
          <w:sz w:val="20"/>
          <w:lang w:val="es-ES_tradnl" w:eastAsia="en-US"/>
        </w:rPr>
      </w:pPr>
    </w:p>
    <w:p w:rsidR="00B070BF" w:rsidRPr="009577DE" w:rsidRDefault="00B070BF" w:rsidP="00B070BF">
      <w:pPr>
        <w:widowControl w:val="0"/>
        <w:ind w:left="1134" w:hanging="567"/>
        <w:jc w:val="both"/>
        <w:rPr>
          <w:rFonts w:eastAsia="Times New Roman"/>
          <w:sz w:val="20"/>
          <w:lang w:val="es-ES_tradnl" w:eastAsia="en-US"/>
        </w:rPr>
      </w:pPr>
      <w:r w:rsidRPr="009577DE">
        <w:rPr>
          <w:rFonts w:eastAsia="Times New Roman"/>
          <w:sz w:val="20"/>
          <w:lang w:val="es-ES_tradnl" w:eastAsia="en-US"/>
        </w:rPr>
        <w:t>vi)</w:t>
      </w:r>
      <w:r w:rsidRPr="009577DE">
        <w:rPr>
          <w:rFonts w:eastAsia="Times New Roman"/>
          <w:sz w:val="20"/>
          <w:lang w:val="es-ES_tradnl" w:eastAsia="en-US"/>
        </w:rPr>
        <w:tab/>
        <w:t xml:space="preserve">Se realizaron progresos de cara a la implementación de la estrategia de continuidad de los servicios de TIC, habiéndose evaluado 38 servicios esenciales de TIC y adoptado las medidas apropiadas para mitigar los riesgos y garantizar la disponibilidad de los servicios.                                                                                                                                                           </w:t>
      </w:r>
      <w:r w:rsidRPr="009577DE">
        <w:rPr>
          <w:rFonts w:eastAsia="Times New Roman"/>
          <w:sz w:val="20"/>
          <w:lang w:val="es-ES_tradnl" w:eastAsia="en-US"/>
        </w:rPr>
        <w:br/>
      </w:r>
    </w:p>
    <w:p w:rsidR="00B070BF" w:rsidRPr="009577DE" w:rsidRDefault="00B070BF" w:rsidP="00B070BF">
      <w:pPr>
        <w:widowControl w:val="0"/>
        <w:ind w:left="1134" w:hanging="567"/>
        <w:jc w:val="both"/>
        <w:rPr>
          <w:rFonts w:eastAsia="Times New Roman"/>
          <w:sz w:val="20"/>
          <w:lang w:val="es-ES_tradnl" w:eastAsia="en-US"/>
        </w:rPr>
      </w:pPr>
      <w:r w:rsidRPr="009577DE">
        <w:rPr>
          <w:rFonts w:eastAsia="Times New Roman"/>
          <w:sz w:val="20"/>
          <w:lang w:val="es-ES_tradnl" w:eastAsia="en-US"/>
        </w:rPr>
        <w:t>vii)</w:t>
      </w:r>
      <w:r w:rsidRPr="009577DE">
        <w:rPr>
          <w:rFonts w:eastAsia="Times New Roman"/>
          <w:sz w:val="20"/>
          <w:lang w:val="es-ES_tradnl" w:eastAsia="en-US"/>
        </w:rPr>
        <w:tab/>
        <w:t xml:space="preserve">Un nuevo paquete de Sucursal fue elaborado e implementado en la oficina externa de Tokio para integrar la telefonía con protocolo de Internet y los servicios de conectividad de Internet.  La misma solución tipo se implantará en otras oficinas de la OMPI en el exterior durante el año 2013. </w:t>
      </w:r>
    </w:p>
    <w:p w:rsidR="00B070BF" w:rsidRPr="009577DE" w:rsidRDefault="00B070BF" w:rsidP="00B070BF">
      <w:pPr>
        <w:widowControl w:val="0"/>
        <w:tabs>
          <w:tab w:val="num" w:pos="1134"/>
        </w:tabs>
        <w:ind w:left="1134" w:hanging="567"/>
        <w:jc w:val="both"/>
        <w:rPr>
          <w:rFonts w:eastAsia="Times New Roman"/>
          <w:sz w:val="20"/>
          <w:lang w:val="es-ES_tradnl" w:eastAsia="en-US"/>
        </w:rPr>
      </w:pPr>
    </w:p>
    <w:p w:rsidR="00B070BF" w:rsidRPr="009577DE" w:rsidRDefault="00B070BF" w:rsidP="00B070BF">
      <w:pPr>
        <w:widowControl w:val="0"/>
        <w:ind w:left="1134" w:hanging="567"/>
        <w:jc w:val="both"/>
        <w:rPr>
          <w:rFonts w:eastAsia="Times New Roman"/>
          <w:sz w:val="20"/>
          <w:lang w:val="es-ES_tradnl" w:eastAsia="en-US"/>
        </w:rPr>
      </w:pPr>
      <w:r w:rsidRPr="009577DE">
        <w:rPr>
          <w:rFonts w:eastAsia="Times New Roman"/>
          <w:sz w:val="20"/>
          <w:lang w:val="es-ES_tradnl" w:eastAsia="en-US"/>
        </w:rPr>
        <w:t>viii)</w:t>
      </w:r>
      <w:r w:rsidRPr="009577DE">
        <w:rPr>
          <w:rFonts w:eastAsia="Times New Roman"/>
          <w:sz w:val="20"/>
          <w:lang w:val="es-ES_tradnl" w:eastAsia="en-US"/>
        </w:rPr>
        <w:tab/>
        <w:t>Los contratos relativos a los servicios de impresión en red fueron renegociados, habiéndose concluido con el proveedor un nuevo contrato que arrojará considerables economías de costos.</w:t>
      </w:r>
    </w:p>
    <w:p w:rsidR="00B070BF" w:rsidRPr="009577DE" w:rsidRDefault="00B070BF" w:rsidP="00B070BF">
      <w:pPr>
        <w:widowControl w:val="0"/>
        <w:tabs>
          <w:tab w:val="num" w:pos="1134"/>
        </w:tabs>
        <w:ind w:left="1134" w:hanging="567"/>
        <w:jc w:val="both"/>
        <w:rPr>
          <w:rFonts w:eastAsia="Times New Roman"/>
          <w:sz w:val="20"/>
          <w:lang w:val="es-ES_tradnl" w:eastAsia="en-US"/>
        </w:rPr>
      </w:pPr>
    </w:p>
    <w:p w:rsidR="00B070BF" w:rsidRPr="009577DE" w:rsidRDefault="00B070BF" w:rsidP="00B070BF">
      <w:pPr>
        <w:widowControl w:val="0"/>
        <w:ind w:left="1134" w:hanging="567"/>
        <w:jc w:val="both"/>
        <w:rPr>
          <w:rFonts w:eastAsia="Times New Roman"/>
          <w:sz w:val="20"/>
          <w:lang w:val="es-ES_tradnl" w:eastAsia="en-US"/>
        </w:rPr>
      </w:pPr>
      <w:r w:rsidRPr="009577DE">
        <w:rPr>
          <w:rFonts w:eastAsia="Times New Roman"/>
          <w:sz w:val="20"/>
          <w:lang w:val="es-ES_tradnl" w:eastAsia="en-US"/>
        </w:rPr>
        <w:t>xix)</w:t>
      </w:r>
      <w:r w:rsidRPr="009577DE">
        <w:rPr>
          <w:rFonts w:eastAsia="Times New Roman"/>
          <w:sz w:val="20"/>
          <w:lang w:val="es-ES_tradnl" w:eastAsia="en-US"/>
        </w:rPr>
        <w:tab/>
        <w:t xml:space="preserve">Se emprendió un ambicioso proyecto tendente a actualizar </w:t>
      </w:r>
      <w:proofErr w:type="spellStart"/>
      <w:r w:rsidRPr="009577DE">
        <w:rPr>
          <w:rFonts w:eastAsia="Times New Roman"/>
          <w:sz w:val="20"/>
          <w:lang w:val="es-ES_tradnl" w:eastAsia="en-US"/>
        </w:rPr>
        <w:t>PeopleSoft</w:t>
      </w:r>
      <w:proofErr w:type="spellEnd"/>
      <w:r w:rsidRPr="009577DE">
        <w:rPr>
          <w:rFonts w:eastAsia="Times New Roman"/>
          <w:sz w:val="20"/>
          <w:lang w:val="es-ES_tradnl" w:eastAsia="en-US"/>
        </w:rPr>
        <w:t xml:space="preserve"> a su versión más reciente (9.1) con vistas a la implementación de la cartera de proyectos de PRI y más particularmente para preparar la integración de los módulos de recursos humanos.  Además de contribuir a proteger la inversión gracias a un mejor apoyo por parte del proveedor, ello permite ofrecer nuevas características y funciones a los usuarios.</w:t>
      </w:r>
    </w:p>
    <w:p w:rsidR="00B070BF" w:rsidRPr="009577DE" w:rsidRDefault="00B070BF" w:rsidP="00B070BF">
      <w:pPr>
        <w:widowControl w:val="0"/>
        <w:tabs>
          <w:tab w:val="num" w:pos="1134"/>
        </w:tabs>
        <w:ind w:left="1134" w:hanging="567"/>
        <w:jc w:val="both"/>
        <w:rPr>
          <w:rFonts w:eastAsia="Times New Roman"/>
          <w:sz w:val="20"/>
          <w:lang w:val="es-ES_tradnl" w:eastAsia="en-US"/>
        </w:rPr>
      </w:pPr>
    </w:p>
    <w:p w:rsidR="00B070BF" w:rsidRPr="009577DE" w:rsidRDefault="00B070BF" w:rsidP="00B070BF">
      <w:pPr>
        <w:widowControl w:val="0"/>
        <w:ind w:left="1134" w:hanging="567"/>
        <w:jc w:val="both"/>
        <w:rPr>
          <w:rFonts w:eastAsia="Times New Roman"/>
          <w:sz w:val="20"/>
          <w:lang w:val="es-ES_tradnl" w:eastAsia="en-US"/>
        </w:rPr>
      </w:pPr>
      <w:r w:rsidRPr="009577DE">
        <w:rPr>
          <w:rFonts w:eastAsia="Times New Roman"/>
          <w:sz w:val="20"/>
          <w:lang w:val="es-ES_tradnl" w:eastAsia="en-US"/>
        </w:rPr>
        <w:t>x)</w:t>
      </w:r>
      <w:r w:rsidRPr="009577DE">
        <w:rPr>
          <w:rFonts w:eastAsia="Times New Roman"/>
          <w:sz w:val="20"/>
          <w:lang w:val="es-ES_tradnl" w:eastAsia="en-US"/>
        </w:rPr>
        <w:tab/>
        <w:t xml:space="preserve">Se habilitó con éxito una plataforma de autenticación única en Internet (SSO) que permite un uso más seguro y eficiente de los nuevos módulos de </w:t>
      </w:r>
      <w:proofErr w:type="spellStart"/>
      <w:r w:rsidRPr="009577DE">
        <w:rPr>
          <w:rFonts w:eastAsia="Times New Roman"/>
          <w:sz w:val="20"/>
          <w:lang w:val="es-ES_tradnl" w:eastAsia="en-US"/>
        </w:rPr>
        <w:t>PeopleSoft</w:t>
      </w:r>
      <w:proofErr w:type="spellEnd"/>
      <w:r w:rsidRPr="009577DE">
        <w:rPr>
          <w:rFonts w:eastAsia="Times New Roman"/>
          <w:sz w:val="20"/>
          <w:lang w:val="es-ES_tradnl" w:eastAsia="en-US"/>
        </w:rPr>
        <w:t xml:space="preserve"> desplegados en el marco del proyecto PRI.    </w:t>
      </w:r>
    </w:p>
    <w:p w:rsidR="00B070BF" w:rsidRPr="009577DE" w:rsidRDefault="00B070BF" w:rsidP="00B070BF">
      <w:pPr>
        <w:widowControl w:val="0"/>
        <w:tabs>
          <w:tab w:val="num" w:pos="1134"/>
        </w:tabs>
        <w:ind w:left="1134" w:hanging="567"/>
        <w:jc w:val="both"/>
        <w:rPr>
          <w:rFonts w:eastAsia="Times New Roman"/>
          <w:sz w:val="20"/>
          <w:lang w:val="es-ES_tradnl" w:eastAsia="en-US"/>
        </w:rPr>
      </w:pPr>
    </w:p>
    <w:p w:rsidR="00B070BF" w:rsidRPr="009577DE" w:rsidRDefault="00B070BF" w:rsidP="00B070BF">
      <w:pPr>
        <w:widowControl w:val="0"/>
        <w:ind w:left="1134" w:hanging="567"/>
        <w:jc w:val="both"/>
        <w:rPr>
          <w:rFonts w:eastAsia="Times New Roman"/>
          <w:sz w:val="20"/>
          <w:lang w:val="es-ES_tradnl" w:eastAsia="en-US"/>
        </w:rPr>
      </w:pPr>
      <w:r w:rsidRPr="009577DE">
        <w:rPr>
          <w:rFonts w:eastAsia="Times New Roman"/>
          <w:sz w:val="20"/>
          <w:lang w:val="es-ES_tradnl" w:eastAsia="en-US"/>
        </w:rPr>
        <w:t>xi)</w:t>
      </w:r>
      <w:r w:rsidRPr="009577DE">
        <w:rPr>
          <w:rFonts w:eastAsia="Times New Roman"/>
          <w:sz w:val="20"/>
          <w:lang w:val="es-ES_tradnl" w:eastAsia="en-US"/>
        </w:rPr>
        <w:tab/>
        <w:t xml:space="preserve">Todas las solicitudes de viaje cursadas por personas ajenas al personal se integraron plenamente en el proceso electrónico de autorización de viaje y la tramitación de facturas se automatizó con el consiguiente aumento de la eficiencia del proceso administrativo. </w:t>
      </w:r>
    </w:p>
    <w:p w:rsidR="00B070BF" w:rsidRPr="009577DE" w:rsidRDefault="00B070BF" w:rsidP="00B070BF">
      <w:pPr>
        <w:widowControl w:val="0"/>
        <w:tabs>
          <w:tab w:val="num" w:pos="1134"/>
        </w:tabs>
        <w:ind w:left="1134" w:hanging="567"/>
        <w:jc w:val="both"/>
        <w:rPr>
          <w:rFonts w:eastAsia="Times New Roman"/>
          <w:sz w:val="20"/>
          <w:lang w:val="es-ES_tradnl" w:eastAsia="en-US"/>
        </w:rPr>
      </w:pPr>
    </w:p>
    <w:p w:rsidR="00B070BF" w:rsidRPr="009577DE" w:rsidRDefault="00B070BF" w:rsidP="00B070BF">
      <w:pPr>
        <w:widowControl w:val="0"/>
        <w:ind w:left="1134" w:hanging="567"/>
        <w:jc w:val="both"/>
        <w:rPr>
          <w:rFonts w:eastAsia="Times New Roman"/>
          <w:sz w:val="20"/>
          <w:lang w:val="es-ES_tradnl" w:eastAsia="en-US"/>
        </w:rPr>
      </w:pPr>
      <w:r w:rsidRPr="009577DE">
        <w:rPr>
          <w:rFonts w:eastAsia="Times New Roman"/>
          <w:sz w:val="20"/>
          <w:lang w:val="es-ES_tradnl" w:eastAsia="en-US"/>
        </w:rPr>
        <w:t>xii)</w:t>
      </w:r>
      <w:r w:rsidRPr="009577DE">
        <w:rPr>
          <w:rFonts w:eastAsia="Times New Roman"/>
          <w:sz w:val="20"/>
          <w:lang w:val="es-ES_tradnl" w:eastAsia="en-US"/>
        </w:rPr>
        <w:tab/>
        <w:t>Se logró mejorar la eficiencia y la experiencia como usuario del sistema financiero automatizado AIMS gracias a la introducción de paquetes de mejoras.  El portal de pago fue sustituido por un servicio más seguro.</w:t>
      </w:r>
    </w:p>
    <w:p w:rsidR="00B070BF" w:rsidRPr="009577DE" w:rsidRDefault="00B070BF" w:rsidP="00B070BF">
      <w:pPr>
        <w:widowControl w:val="0"/>
        <w:ind w:left="1134" w:hanging="567"/>
        <w:jc w:val="both"/>
        <w:rPr>
          <w:rFonts w:eastAsia="Times New Roman"/>
          <w:sz w:val="20"/>
          <w:lang w:val="es-ES_tradnl" w:eastAsia="en-US"/>
        </w:rPr>
      </w:pPr>
    </w:p>
    <w:p w:rsidR="00B070BF" w:rsidRPr="009577DE" w:rsidRDefault="00B070BF" w:rsidP="00B070BF">
      <w:pPr>
        <w:widowControl w:val="0"/>
        <w:ind w:left="1134" w:hanging="567"/>
        <w:jc w:val="both"/>
        <w:rPr>
          <w:rFonts w:eastAsia="Times New Roman"/>
          <w:sz w:val="20"/>
          <w:lang w:val="es-ES_tradnl" w:eastAsia="en-US"/>
        </w:rPr>
      </w:pPr>
      <w:r w:rsidRPr="009577DE">
        <w:rPr>
          <w:rFonts w:eastAsia="Times New Roman"/>
          <w:sz w:val="20"/>
          <w:lang w:val="es-ES_tradnl" w:eastAsia="en-US"/>
        </w:rPr>
        <w:t>xiii)</w:t>
      </w:r>
      <w:r w:rsidRPr="009577DE">
        <w:rPr>
          <w:rFonts w:eastAsia="Times New Roman"/>
          <w:sz w:val="20"/>
          <w:lang w:val="es-ES_tradnl" w:eastAsia="en-US"/>
        </w:rPr>
        <w:tab/>
        <w:t xml:space="preserve">Una nueva versión del Sistema de gestión del rendimiento y mejora de las competencias del personal de la OMPI (PMSDS) fue elaborada para el ciclo 2013 del PMSDS.  </w:t>
      </w:r>
    </w:p>
    <w:p w:rsidR="00B070BF" w:rsidRPr="009577DE" w:rsidRDefault="00B070BF" w:rsidP="00B070BF">
      <w:pPr>
        <w:widowControl w:val="0"/>
        <w:tabs>
          <w:tab w:val="num" w:pos="1134"/>
        </w:tabs>
        <w:ind w:left="1134" w:hanging="567"/>
        <w:jc w:val="both"/>
        <w:rPr>
          <w:rFonts w:eastAsia="Times New Roman"/>
          <w:sz w:val="20"/>
          <w:lang w:val="es-ES_tradnl" w:eastAsia="en-US"/>
        </w:rPr>
      </w:pPr>
    </w:p>
    <w:p w:rsidR="00B070BF" w:rsidRPr="009577DE" w:rsidRDefault="00B070BF" w:rsidP="00B070BF">
      <w:pPr>
        <w:widowControl w:val="0"/>
        <w:ind w:left="1134" w:hanging="567"/>
        <w:jc w:val="both"/>
        <w:rPr>
          <w:rFonts w:eastAsia="Times New Roman"/>
          <w:sz w:val="20"/>
          <w:lang w:val="es-ES_tradnl" w:eastAsia="en-US"/>
        </w:rPr>
      </w:pPr>
      <w:r w:rsidRPr="009577DE">
        <w:rPr>
          <w:rFonts w:eastAsia="Times New Roman"/>
          <w:sz w:val="20"/>
          <w:lang w:val="es-ES_tradnl" w:eastAsia="en-US"/>
        </w:rPr>
        <w:t>xiv)</w:t>
      </w:r>
      <w:r w:rsidRPr="009577DE">
        <w:rPr>
          <w:rFonts w:eastAsia="Times New Roman"/>
          <w:sz w:val="20"/>
          <w:lang w:val="es-ES_tradnl" w:eastAsia="en-US"/>
        </w:rPr>
        <w:tab/>
        <w:t>Varios proyectos orientados al exterior como la red de sistemas TIGAR (</w:t>
      </w:r>
      <w:proofErr w:type="spellStart"/>
      <w:r w:rsidRPr="009577DE">
        <w:rPr>
          <w:rFonts w:eastAsia="Times New Roman"/>
          <w:sz w:val="20"/>
          <w:lang w:val="es-ES_tradnl" w:eastAsia="en-US"/>
        </w:rPr>
        <w:t>Trusted</w:t>
      </w:r>
      <w:proofErr w:type="spellEnd"/>
      <w:r w:rsidRPr="009577DE">
        <w:rPr>
          <w:rFonts w:eastAsia="Times New Roman"/>
          <w:sz w:val="20"/>
          <w:lang w:val="es-ES_tradnl" w:eastAsia="en-US"/>
        </w:rPr>
        <w:t xml:space="preserve"> </w:t>
      </w:r>
      <w:proofErr w:type="spellStart"/>
      <w:r w:rsidRPr="009577DE">
        <w:rPr>
          <w:rFonts w:eastAsia="Times New Roman"/>
          <w:sz w:val="20"/>
          <w:lang w:val="es-ES_tradnl" w:eastAsia="en-US"/>
        </w:rPr>
        <w:t>Intermediary</w:t>
      </w:r>
      <w:proofErr w:type="spellEnd"/>
      <w:r w:rsidRPr="009577DE">
        <w:rPr>
          <w:rFonts w:eastAsia="Times New Roman"/>
          <w:sz w:val="20"/>
          <w:lang w:val="es-ES_tradnl" w:eastAsia="en-US"/>
        </w:rPr>
        <w:t xml:space="preserve"> Global </w:t>
      </w:r>
      <w:proofErr w:type="spellStart"/>
      <w:r w:rsidRPr="009577DE">
        <w:rPr>
          <w:rFonts w:eastAsia="Times New Roman"/>
          <w:sz w:val="20"/>
          <w:lang w:val="es-ES_tradnl" w:eastAsia="en-US"/>
        </w:rPr>
        <w:t>Accessible</w:t>
      </w:r>
      <w:proofErr w:type="spellEnd"/>
      <w:r w:rsidRPr="009577DE">
        <w:rPr>
          <w:rFonts w:eastAsia="Times New Roman"/>
          <w:sz w:val="20"/>
          <w:lang w:val="es-ES_tradnl" w:eastAsia="en-US"/>
        </w:rPr>
        <w:t xml:space="preserve"> </w:t>
      </w:r>
      <w:proofErr w:type="spellStart"/>
      <w:r w:rsidRPr="009577DE">
        <w:rPr>
          <w:rFonts w:eastAsia="Times New Roman"/>
          <w:sz w:val="20"/>
          <w:lang w:val="es-ES_tradnl" w:eastAsia="en-US"/>
        </w:rPr>
        <w:t>Resources</w:t>
      </w:r>
      <w:proofErr w:type="spellEnd"/>
      <w:r w:rsidRPr="009577DE">
        <w:rPr>
          <w:rFonts w:eastAsia="Times New Roman"/>
          <w:sz w:val="20"/>
          <w:lang w:val="es-ES_tradnl" w:eastAsia="en-US"/>
        </w:rPr>
        <w:t xml:space="preserve">), mejoras en WIPO </w:t>
      </w:r>
      <w:proofErr w:type="spellStart"/>
      <w:r w:rsidRPr="009577DE">
        <w:rPr>
          <w:rFonts w:eastAsia="Times New Roman"/>
          <w:sz w:val="20"/>
          <w:lang w:val="es-ES_tradnl" w:eastAsia="en-US"/>
        </w:rPr>
        <w:t>Re:search</w:t>
      </w:r>
      <w:proofErr w:type="spellEnd"/>
      <w:r w:rsidRPr="009577DE">
        <w:rPr>
          <w:rFonts w:eastAsia="Times New Roman"/>
          <w:sz w:val="20"/>
          <w:lang w:val="es-ES_tradnl" w:eastAsia="en-US"/>
        </w:rPr>
        <w:t xml:space="preserve">, la tramitación electrónica de documentos ante el Centro de Arbitraje y Mediación o la base de datos IP </w:t>
      </w:r>
      <w:proofErr w:type="spellStart"/>
      <w:r w:rsidRPr="009577DE">
        <w:rPr>
          <w:rFonts w:eastAsia="Times New Roman"/>
          <w:sz w:val="20"/>
          <w:lang w:val="es-ES_tradnl" w:eastAsia="en-US"/>
        </w:rPr>
        <w:t>Stats</w:t>
      </w:r>
      <w:proofErr w:type="spellEnd"/>
      <w:r w:rsidRPr="009577DE">
        <w:rPr>
          <w:rFonts w:eastAsia="Times New Roman"/>
          <w:sz w:val="20"/>
          <w:lang w:val="es-ES_tradnl" w:eastAsia="en-US"/>
        </w:rPr>
        <w:t xml:space="preserve"> fueron objeto de ulterior perfeccionamiento en estrecha cooperación con los programas 3, 7, 16 y 18. </w:t>
      </w:r>
    </w:p>
    <w:p w:rsidR="00B070BF" w:rsidRPr="009577DE" w:rsidRDefault="00B070BF" w:rsidP="00B070BF">
      <w:pPr>
        <w:widowControl w:val="0"/>
        <w:tabs>
          <w:tab w:val="num" w:pos="1134"/>
        </w:tabs>
        <w:autoSpaceDE w:val="0"/>
        <w:autoSpaceDN w:val="0"/>
        <w:adjustRightInd w:val="0"/>
        <w:ind w:left="1134" w:hanging="567"/>
        <w:jc w:val="both"/>
        <w:rPr>
          <w:sz w:val="20"/>
          <w:lang w:val="es-ES_tradnl"/>
        </w:rPr>
      </w:pPr>
    </w:p>
    <w:p w:rsidR="00B070BF" w:rsidRPr="009577DE" w:rsidRDefault="00B070BF" w:rsidP="00B070BF">
      <w:pPr>
        <w:widowControl w:val="0"/>
        <w:ind w:left="1134" w:hanging="567"/>
        <w:jc w:val="both"/>
        <w:rPr>
          <w:rFonts w:eastAsia="Times New Roman"/>
          <w:sz w:val="20"/>
          <w:lang w:val="es-ES_tradnl" w:eastAsia="en-US"/>
        </w:rPr>
      </w:pPr>
      <w:r w:rsidRPr="009577DE">
        <w:rPr>
          <w:rFonts w:eastAsia="Times New Roman"/>
          <w:sz w:val="20"/>
          <w:lang w:val="es-ES_tradnl" w:eastAsia="en-US"/>
        </w:rPr>
        <w:t>xv)</w:t>
      </w:r>
      <w:r w:rsidRPr="009577DE">
        <w:rPr>
          <w:rFonts w:eastAsia="Times New Roman"/>
          <w:sz w:val="20"/>
          <w:lang w:val="es-ES_tradnl" w:eastAsia="en-US"/>
        </w:rPr>
        <w:tab/>
        <w:t>Se puso en servicio una red de distribución de contenido.</w:t>
      </w:r>
    </w:p>
    <w:p w:rsidR="00B070BF" w:rsidRPr="009577DE" w:rsidRDefault="00B070BF" w:rsidP="00B070BF">
      <w:pPr>
        <w:widowControl w:val="0"/>
        <w:tabs>
          <w:tab w:val="num" w:pos="1134"/>
        </w:tabs>
        <w:ind w:left="1134" w:hanging="567"/>
        <w:jc w:val="both"/>
        <w:rPr>
          <w:rFonts w:eastAsia="Times New Roman"/>
          <w:sz w:val="20"/>
          <w:lang w:val="es-ES_tradnl" w:eastAsia="en-US"/>
        </w:rPr>
      </w:pPr>
    </w:p>
    <w:p w:rsidR="00B070BF" w:rsidRPr="009577DE" w:rsidRDefault="00B070BF" w:rsidP="00B070BF">
      <w:pPr>
        <w:widowControl w:val="0"/>
        <w:ind w:left="1134" w:hanging="567"/>
        <w:jc w:val="both"/>
        <w:rPr>
          <w:rFonts w:eastAsia="Times New Roman"/>
          <w:sz w:val="20"/>
          <w:lang w:val="es-ES_tradnl" w:eastAsia="en-US"/>
        </w:rPr>
      </w:pPr>
      <w:r w:rsidRPr="009577DE">
        <w:rPr>
          <w:rFonts w:eastAsia="Times New Roman"/>
          <w:sz w:val="20"/>
          <w:lang w:val="es-ES_tradnl" w:eastAsia="en-US"/>
        </w:rPr>
        <w:t>xvi)</w:t>
      </w:r>
      <w:r w:rsidRPr="009577DE">
        <w:rPr>
          <w:rFonts w:eastAsia="Times New Roman"/>
          <w:sz w:val="20"/>
          <w:lang w:val="es-ES_tradnl" w:eastAsia="en-US"/>
        </w:rPr>
        <w:tab/>
        <w:t xml:space="preserve">En el ámbito de la gestión de contratos se convocó nueva licitación para el apoyo al sistema </w:t>
      </w:r>
      <w:proofErr w:type="spellStart"/>
      <w:r w:rsidRPr="009577DE">
        <w:rPr>
          <w:rFonts w:eastAsia="Times New Roman"/>
          <w:sz w:val="20"/>
          <w:lang w:val="es-ES_tradnl" w:eastAsia="en-US"/>
        </w:rPr>
        <w:t>PeopleSoft</w:t>
      </w:r>
      <w:proofErr w:type="spellEnd"/>
      <w:r w:rsidRPr="009577DE">
        <w:rPr>
          <w:rFonts w:eastAsia="Times New Roman"/>
          <w:sz w:val="20"/>
          <w:lang w:val="es-ES_tradnl" w:eastAsia="en-US"/>
        </w:rPr>
        <w:t xml:space="preserve"> así como para el apoyo a las TIC en general.  Los procedimientos de selección del proveedor y de negociación del contrato se concluyeron satisfactoriamente.</w:t>
      </w:r>
    </w:p>
    <w:p w:rsidR="00B070BF" w:rsidRPr="009577DE" w:rsidRDefault="00B070BF" w:rsidP="00B070BF">
      <w:pPr>
        <w:widowControl w:val="0"/>
        <w:tabs>
          <w:tab w:val="num" w:pos="1134"/>
        </w:tabs>
        <w:ind w:left="1134" w:hanging="567"/>
        <w:jc w:val="both"/>
        <w:rPr>
          <w:rFonts w:eastAsia="Times New Roman"/>
          <w:sz w:val="20"/>
          <w:lang w:val="es-ES_tradnl" w:eastAsia="en-US"/>
        </w:rPr>
      </w:pPr>
    </w:p>
    <w:p w:rsidR="00B070BF" w:rsidRPr="009577DE" w:rsidRDefault="00B070BF" w:rsidP="00B070BF">
      <w:pPr>
        <w:widowControl w:val="0"/>
        <w:ind w:left="1134" w:hanging="567"/>
        <w:jc w:val="both"/>
        <w:rPr>
          <w:rFonts w:eastAsia="Times New Roman"/>
          <w:sz w:val="20"/>
          <w:lang w:val="es-ES_tradnl" w:eastAsia="en-US"/>
        </w:rPr>
      </w:pPr>
      <w:r w:rsidRPr="009577DE">
        <w:rPr>
          <w:rFonts w:eastAsia="Times New Roman"/>
          <w:sz w:val="20"/>
          <w:lang w:val="es-ES_tradnl" w:eastAsia="en-US"/>
        </w:rPr>
        <w:t>xvii)</w:t>
      </w:r>
      <w:r w:rsidRPr="009577DE">
        <w:rPr>
          <w:rFonts w:eastAsia="Times New Roman"/>
          <w:sz w:val="20"/>
          <w:lang w:val="es-ES_tradnl" w:eastAsia="en-US"/>
        </w:rPr>
        <w:tab/>
        <w:t>En el ámbito de la gestión de proyectos, los proyectos de TI comenzaron a utilizar plantillas electrónicas PRINCE2 de la OMPI adaptadas según la envergadura de los proyectos.</w:t>
      </w:r>
    </w:p>
    <w:p w:rsidR="00B070BF" w:rsidRPr="009577DE" w:rsidRDefault="00B070BF" w:rsidP="00B070BF">
      <w:pPr>
        <w:widowControl w:val="0"/>
        <w:tabs>
          <w:tab w:val="num" w:pos="1134"/>
        </w:tabs>
        <w:ind w:left="1134" w:hanging="567"/>
        <w:jc w:val="both"/>
        <w:rPr>
          <w:rFonts w:eastAsia="Times New Roman"/>
          <w:sz w:val="20"/>
          <w:lang w:val="es-ES_tradnl" w:eastAsia="en-US"/>
        </w:rPr>
      </w:pPr>
    </w:p>
    <w:p w:rsidR="00B070BF" w:rsidRPr="009577DE" w:rsidRDefault="00B070BF" w:rsidP="00B070BF">
      <w:pPr>
        <w:widowControl w:val="0"/>
        <w:ind w:left="1134" w:hanging="567"/>
        <w:jc w:val="both"/>
        <w:rPr>
          <w:rFonts w:eastAsia="Times New Roman"/>
          <w:sz w:val="20"/>
          <w:lang w:val="es-ES_tradnl" w:eastAsia="en-US"/>
        </w:rPr>
      </w:pPr>
      <w:r w:rsidRPr="009577DE">
        <w:rPr>
          <w:rFonts w:eastAsia="Times New Roman"/>
          <w:sz w:val="20"/>
          <w:lang w:val="es-ES_tradnl" w:eastAsia="en-US"/>
        </w:rPr>
        <w:t>xviii)</w:t>
      </w:r>
      <w:r w:rsidRPr="009577DE">
        <w:rPr>
          <w:rFonts w:eastAsia="Times New Roman"/>
          <w:sz w:val="20"/>
          <w:lang w:val="es-ES_tradnl" w:eastAsia="en-US"/>
        </w:rPr>
        <w:tab/>
        <w:t>Se presentó a la Junta de TIC una propuesta de política relativa al uso de dispositivos móviles en que se recomendaba el enfoque "Que cada cual escoja su propio dispositivo".  Dicho enfoque fue aprobado por la Junta de TIC.</w:t>
      </w:r>
    </w:p>
    <w:p w:rsidR="00B070BF" w:rsidRPr="009577DE" w:rsidRDefault="00B070BF" w:rsidP="00B070BF">
      <w:pPr>
        <w:widowControl w:val="0"/>
        <w:ind w:left="567"/>
        <w:jc w:val="both"/>
        <w:rPr>
          <w:rFonts w:eastAsia="Times New Roman"/>
          <w:sz w:val="20"/>
          <w:lang w:val="es-ES_tradnl" w:eastAsia="en-US"/>
        </w:rPr>
      </w:pPr>
    </w:p>
    <w:p w:rsidR="00B070BF" w:rsidRPr="009577DE" w:rsidRDefault="00B070BF" w:rsidP="00B070BF">
      <w:pPr>
        <w:widowControl w:val="0"/>
        <w:ind w:left="1134" w:hanging="567"/>
        <w:jc w:val="both"/>
        <w:rPr>
          <w:rFonts w:eastAsia="Times New Roman"/>
          <w:sz w:val="20"/>
          <w:lang w:val="es-ES_tradnl" w:eastAsia="en-US"/>
        </w:rPr>
      </w:pPr>
      <w:r w:rsidRPr="009577DE">
        <w:rPr>
          <w:rFonts w:eastAsia="Times New Roman"/>
          <w:sz w:val="20"/>
          <w:lang w:val="es-ES_tradnl" w:eastAsia="en-US"/>
        </w:rPr>
        <w:lastRenderedPageBreak/>
        <w:t>xix)</w:t>
      </w:r>
      <w:r w:rsidRPr="009577DE">
        <w:rPr>
          <w:rFonts w:eastAsia="Times New Roman"/>
          <w:sz w:val="20"/>
          <w:lang w:val="es-ES_tradnl" w:eastAsia="en-US"/>
        </w:rPr>
        <w:tab/>
        <w:t>En el ámbito de la seguridad de la información se iniciaron las gestiones de certificación ISO 27001 definiendo como alcance inicial los procesos de tratamiento de datos para una solicitud al PCT.  Se llevó a cabo una evaluación detallada de los riesgos de la información en el marco del proceso de certificación ISO.</w:t>
      </w:r>
    </w:p>
    <w:p w:rsidR="00B070BF" w:rsidRPr="009577DE" w:rsidRDefault="00B070BF" w:rsidP="00B070BF">
      <w:pPr>
        <w:widowControl w:val="0"/>
        <w:ind w:left="720" w:hanging="360"/>
        <w:jc w:val="both"/>
        <w:rPr>
          <w:rFonts w:eastAsia="Times New Roman"/>
          <w:sz w:val="20"/>
          <w:lang w:val="es-ES_tradnl" w:eastAsia="en-US"/>
        </w:rPr>
      </w:pPr>
    </w:p>
    <w:p w:rsidR="00B070BF" w:rsidRPr="009577DE" w:rsidRDefault="00B070BF" w:rsidP="00B070BF">
      <w:pPr>
        <w:widowControl w:val="0"/>
        <w:ind w:left="1134" w:hanging="567"/>
        <w:jc w:val="both"/>
        <w:rPr>
          <w:rFonts w:eastAsia="Times New Roman"/>
          <w:sz w:val="20"/>
          <w:lang w:val="es-ES_tradnl" w:eastAsia="en-US"/>
        </w:rPr>
      </w:pPr>
      <w:r w:rsidRPr="009577DE">
        <w:rPr>
          <w:rFonts w:eastAsia="Times New Roman"/>
          <w:sz w:val="20"/>
          <w:lang w:val="es-ES_tradnl" w:eastAsia="en-US"/>
        </w:rPr>
        <w:t>xx)</w:t>
      </w:r>
      <w:r w:rsidRPr="009577DE">
        <w:rPr>
          <w:rFonts w:eastAsia="Times New Roman"/>
          <w:sz w:val="20"/>
          <w:lang w:val="es-ES_tradnl" w:eastAsia="en-US"/>
        </w:rPr>
        <w:tab/>
        <w:t>Se desarrolló y pilotó con éxito un programa basado en computadora que perseguía la finalidad de promover una mayor sensibilización en materia de seguridad de la información.</w:t>
      </w:r>
      <w:r w:rsidRPr="009577DE">
        <w:rPr>
          <w:rFonts w:eastAsia="Times New Roman"/>
          <w:sz w:val="20"/>
          <w:lang w:val="es-ES_tradnl" w:eastAsia="en-US"/>
        </w:rPr>
        <w:br/>
      </w:r>
    </w:p>
    <w:p w:rsidR="00B070BF" w:rsidRPr="009577DE" w:rsidRDefault="00B070BF" w:rsidP="00B070BF">
      <w:pPr>
        <w:widowControl w:val="0"/>
        <w:ind w:left="1134" w:hanging="567"/>
        <w:jc w:val="both"/>
        <w:rPr>
          <w:rFonts w:eastAsia="Times New Roman"/>
          <w:sz w:val="20"/>
          <w:lang w:val="es-ES_tradnl" w:eastAsia="en-US"/>
        </w:rPr>
      </w:pPr>
      <w:r w:rsidRPr="009577DE">
        <w:rPr>
          <w:rFonts w:eastAsia="Times New Roman"/>
          <w:sz w:val="20"/>
          <w:lang w:val="es-ES_tradnl" w:eastAsia="en-US"/>
        </w:rPr>
        <w:t>xxi)</w:t>
      </w:r>
      <w:r w:rsidRPr="009577DE">
        <w:rPr>
          <w:rFonts w:eastAsia="Times New Roman"/>
          <w:sz w:val="20"/>
          <w:lang w:val="es-ES_tradnl" w:eastAsia="en-US"/>
        </w:rPr>
        <w:tab/>
        <w:t>Se potenció la resistencia de la Organización contra las amenazas exteriores, incluido el ataque distribuido de denegación de servicio, mediante el despliegue de controles tecnológicos.</w:t>
      </w:r>
    </w:p>
    <w:p w:rsidR="00B070BF" w:rsidRPr="009577DE" w:rsidRDefault="00B070BF" w:rsidP="00B070BF">
      <w:pPr>
        <w:widowControl w:val="0"/>
        <w:rPr>
          <w:sz w:val="20"/>
          <w:lang w:val="es-ES_tradnl"/>
        </w:rPr>
      </w:pPr>
    </w:p>
    <w:p w:rsidR="00B070BF" w:rsidRPr="009577DE" w:rsidRDefault="00B070BF" w:rsidP="00B070BF">
      <w:pPr>
        <w:widowControl w:val="0"/>
        <w:rPr>
          <w:sz w:val="20"/>
          <w:lang w:val="es-ES_tradnl"/>
        </w:rPr>
      </w:pPr>
    </w:p>
    <w:p w:rsidR="00B070BF" w:rsidRPr="009577DE" w:rsidRDefault="00B070BF" w:rsidP="00B070BF">
      <w:pPr>
        <w:widowControl w:val="0"/>
        <w:rPr>
          <w:sz w:val="20"/>
          <w:lang w:val="es-ES_tradnl"/>
        </w:rPr>
      </w:pPr>
      <w:r w:rsidRPr="008B2545">
        <w:rPr>
          <w:sz w:val="20"/>
          <w:lang w:val="es-ES_tradnl"/>
        </w:rPr>
        <w:t>DATOS SOBRE EL RENDIMIENTO</w:t>
      </w:r>
    </w:p>
    <w:p w:rsidR="00B070BF" w:rsidRPr="009577DE" w:rsidRDefault="00B070BF" w:rsidP="00B070BF">
      <w:pPr>
        <w:widowControl w:val="0"/>
        <w:rPr>
          <w:sz w:val="20"/>
          <w:lang w:val="es-ES_tradnl"/>
        </w:rPr>
      </w:pPr>
    </w:p>
    <w:tbl>
      <w:tblPr>
        <w:tblW w:w="5000" w:type="pct"/>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231"/>
        <w:gridCol w:w="1411"/>
        <w:gridCol w:w="1520"/>
        <w:gridCol w:w="3330"/>
        <w:gridCol w:w="1079"/>
      </w:tblGrid>
      <w:tr w:rsidR="00B070BF" w:rsidRPr="009577DE" w:rsidTr="00C33D4A">
        <w:trPr>
          <w:cantSplit/>
        </w:trPr>
        <w:tc>
          <w:tcPr>
            <w:tcW w:w="5000" w:type="pct"/>
            <w:gridSpan w:val="5"/>
            <w:tcBorders>
              <w:top w:val="single" w:sz="4" w:space="0" w:color="auto"/>
              <w:bottom w:val="single" w:sz="4" w:space="0" w:color="auto"/>
            </w:tcBorders>
            <w:shd w:val="clear" w:color="auto" w:fill="CCFFFF"/>
            <w:vAlign w:val="center"/>
          </w:tcPr>
          <w:p w:rsidR="00B070BF" w:rsidRPr="009577DE" w:rsidRDefault="00B070BF" w:rsidP="00C33D4A">
            <w:pPr>
              <w:widowControl w:val="0"/>
              <w:spacing w:before="120" w:after="120"/>
              <w:ind w:left="1735" w:hanging="1735"/>
              <w:rPr>
                <w:b/>
                <w:bCs/>
                <w:sz w:val="16"/>
                <w:szCs w:val="16"/>
                <w:lang w:val="es-ES_tradnl"/>
              </w:rPr>
            </w:pPr>
            <w:r w:rsidRPr="009577DE">
              <w:rPr>
                <w:b/>
                <w:bCs/>
                <w:sz w:val="16"/>
                <w:szCs w:val="16"/>
                <w:lang w:val="es-ES_tradnl"/>
              </w:rPr>
              <w:t>Resultado previsto:</w:t>
            </w:r>
            <w:r w:rsidRPr="009577DE">
              <w:rPr>
                <w:b/>
                <w:bCs/>
                <w:sz w:val="16"/>
                <w:szCs w:val="16"/>
                <w:lang w:val="es-ES_tradnl"/>
              </w:rPr>
              <w:tab/>
            </w:r>
            <w:r w:rsidRPr="009577DE">
              <w:rPr>
                <w:bCs/>
                <w:sz w:val="16"/>
                <w:szCs w:val="16"/>
                <w:lang w:val="es-ES_tradnl"/>
              </w:rPr>
              <w:t>Las inversiones en TIC están estrechamente vinculadas a las prioridades estratégicas y rinden beneficios a la Organización.</w:t>
            </w:r>
          </w:p>
        </w:tc>
      </w:tr>
      <w:tr w:rsidR="00B070BF" w:rsidRPr="009577DE" w:rsidTr="00C33D4A">
        <w:trPr>
          <w:cantSplit/>
        </w:trPr>
        <w:tc>
          <w:tcPr>
            <w:tcW w:w="1182" w:type="pct"/>
            <w:tcBorders>
              <w:top w:val="single" w:sz="4" w:space="0" w:color="auto"/>
            </w:tcBorders>
            <w:shd w:val="clear" w:color="auto" w:fill="auto"/>
            <w:vAlign w:val="center"/>
          </w:tcPr>
          <w:p w:rsidR="00B070BF" w:rsidRPr="009577DE" w:rsidRDefault="00B070BF" w:rsidP="00C33D4A">
            <w:pPr>
              <w:widowControl w:val="0"/>
              <w:spacing w:after="120"/>
              <w:rPr>
                <w:sz w:val="16"/>
                <w:szCs w:val="16"/>
                <w:lang w:val="es-ES_tradnl"/>
              </w:rPr>
            </w:pPr>
            <w:r w:rsidRPr="009577DE">
              <w:rPr>
                <w:b/>
                <w:bCs/>
                <w:sz w:val="16"/>
                <w:szCs w:val="16"/>
                <w:lang w:val="es-ES_tradnl"/>
              </w:rPr>
              <w:t>Indicadores de rendimiento</w:t>
            </w:r>
          </w:p>
        </w:tc>
        <w:tc>
          <w:tcPr>
            <w:tcW w:w="754" w:type="pct"/>
            <w:tcBorders>
              <w:top w:val="single" w:sz="4" w:space="0" w:color="auto"/>
            </w:tcBorders>
            <w:shd w:val="clear" w:color="auto" w:fill="C0C0C0"/>
          </w:tcPr>
          <w:p w:rsidR="00B070BF" w:rsidRPr="009577DE" w:rsidRDefault="00B070BF" w:rsidP="00C33D4A">
            <w:pPr>
              <w:widowControl w:val="0"/>
              <w:spacing w:after="120"/>
              <w:rPr>
                <w:b/>
                <w:bCs/>
                <w:sz w:val="16"/>
                <w:szCs w:val="16"/>
                <w:lang w:val="es-ES_tradnl"/>
              </w:rPr>
            </w:pPr>
            <w:r w:rsidRPr="009577DE">
              <w:rPr>
                <w:b/>
                <w:bCs/>
                <w:sz w:val="16"/>
                <w:szCs w:val="16"/>
                <w:lang w:val="es-ES_tradnl"/>
              </w:rPr>
              <w:t>Referencia (</w:t>
            </w:r>
            <w:proofErr w:type="spellStart"/>
            <w:r w:rsidRPr="009577DE">
              <w:rPr>
                <w:b/>
                <w:bCs/>
                <w:sz w:val="16"/>
                <w:szCs w:val="16"/>
                <w:lang w:val="es-ES_tradnl"/>
              </w:rPr>
              <w:t>Presup</w:t>
            </w:r>
            <w:proofErr w:type="spellEnd"/>
            <w:r w:rsidRPr="009577DE">
              <w:rPr>
                <w:b/>
                <w:bCs/>
                <w:sz w:val="16"/>
                <w:szCs w:val="16"/>
                <w:lang w:val="es-ES_tradnl"/>
              </w:rPr>
              <w:t xml:space="preserve">. por </w:t>
            </w:r>
            <w:proofErr w:type="spellStart"/>
            <w:r w:rsidRPr="009577DE">
              <w:rPr>
                <w:b/>
                <w:bCs/>
                <w:sz w:val="16"/>
                <w:szCs w:val="16"/>
                <w:lang w:val="es-ES_tradnl"/>
              </w:rPr>
              <w:t>prog</w:t>
            </w:r>
            <w:proofErr w:type="spellEnd"/>
            <w:r w:rsidRPr="009577DE">
              <w:rPr>
                <w:b/>
                <w:bCs/>
                <w:sz w:val="16"/>
                <w:szCs w:val="16"/>
                <w:lang w:val="es-ES_tradnl"/>
              </w:rPr>
              <w:t>. 2012/13)</w:t>
            </w:r>
          </w:p>
        </w:tc>
        <w:tc>
          <w:tcPr>
            <w:tcW w:w="811" w:type="pct"/>
            <w:tcBorders>
              <w:top w:val="single" w:sz="4" w:space="0" w:color="auto"/>
            </w:tcBorders>
            <w:shd w:val="clear" w:color="auto" w:fill="auto"/>
            <w:tcMar>
              <w:top w:w="110" w:type="dxa"/>
            </w:tcMar>
            <w:vAlign w:val="center"/>
          </w:tcPr>
          <w:p w:rsidR="00B070BF" w:rsidRPr="009577DE" w:rsidRDefault="00B070BF" w:rsidP="00C33D4A">
            <w:pPr>
              <w:widowControl w:val="0"/>
              <w:spacing w:after="120"/>
              <w:rPr>
                <w:b/>
                <w:sz w:val="16"/>
                <w:szCs w:val="16"/>
                <w:lang w:val="es-ES_tradnl"/>
              </w:rPr>
            </w:pPr>
            <w:r w:rsidRPr="00BF138D">
              <w:rPr>
                <w:b/>
                <w:color w:val="993300"/>
                <w:sz w:val="16"/>
                <w:szCs w:val="16"/>
                <w:lang w:val="es-ES_tradnl"/>
              </w:rPr>
              <w:t>Referencia actualizada a finales de 2011</w:t>
            </w:r>
            <w:r w:rsidRPr="009577DE">
              <w:rPr>
                <w:b/>
                <w:sz w:val="16"/>
                <w:szCs w:val="16"/>
                <w:lang w:val="es-ES_tradnl"/>
              </w:rPr>
              <w:t xml:space="preserve"> </w:t>
            </w:r>
          </w:p>
        </w:tc>
        <w:tc>
          <w:tcPr>
            <w:tcW w:w="1756" w:type="pct"/>
            <w:tcBorders>
              <w:top w:val="single" w:sz="4" w:space="0" w:color="auto"/>
            </w:tcBorders>
            <w:shd w:val="clear" w:color="auto" w:fill="FFFFFF"/>
            <w:tcMar>
              <w:top w:w="110" w:type="dxa"/>
            </w:tcMar>
            <w:vAlign w:val="center"/>
          </w:tcPr>
          <w:p w:rsidR="00B070BF" w:rsidRPr="009577DE" w:rsidRDefault="00B070BF" w:rsidP="00C33D4A">
            <w:pPr>
              <w:widowControl w:val="0"/>
              <w:spacing w:after="120"/>
              <w:rPr>
                <w:sz w:val="16"/>
                <w:szCs w:val="16"/>
                <w:lang w:val="es-ES_tradnl"/>
              </w:rPr>
            </w:pPr>
            <w:r w:rsidRPr="009577DE">
              <w:rPr>
                <w:b/>
                <w:bCs/>
                <w:sz w:val="16"/>
                <w:szCs w:val="16"/>
                <w:lang w:val="es-ES_tradnl"/>
              </w:rPr>
              <w:t>Datos sobre el rendimiento</w:t>
            </w:r>
          </w:p>
        </w:tc>
        <w:tc>
          <w:tcPr>
            <w:tcW w:w="497" w:type="pct"/>
            <w:tcBorders>
              <w:top w:val="single" w:sz="4" w:space="0" w:color="auto"/>
            </w:tcBorders>
            <w:shd w:val="clear" w:color="auto" w:fill="auto"/>
            <w:tcMar>
              <w:top w:w="110" w:type="dxa"/>
            </w:tcMar>
            <w:vAlign w:val="center"/>
          </w:tcPr>
          <w:p w:rsidR="00B070BF" w:rsidRPr="009577DE" w:rsidRDefault="00B070BF" w:rsidP="00C33D4A">
            <w:pPr>
              <w:widowControl w:val="0"/>
              <w:spacing w:after="120"/>
              <w:jc w:val="center"/>
              <w:rPr>
                <w:b/>
                <w:bCs/>
                <w:sz w:val="16"/>
                <w:szCs w:val="16"/>
                <w:lang w:val="es-ES_tradnl"/>
              </w:rPr>
            </w:pPr>
            <w:r w:rsidRPr="009577DE">
              <w:rPr>
                <w:b/>
                <w:bCs/>
                <w:sz w:val="16"/>
                <w:szCs w:val="16"/>
                <w:lang w:val="es-ES_tradnl"/>
              </w:rPr>
              <w:t>Clave de colores</w:t>
            </w:r>
          </w:p>
        </w:tc>
      </w:tr>
      <w:tr w:rsidR="00B070BF" w:rsidRPr="009577DE" w:rsidTr="00C33D4A">
        <w:trPr>
          <w:cantSplit/>
        </w:trPr>
        <w:tc>
          <w:tcPr>
            <w:tcW w:w="1182" w:type="pct"/>
            <w:shd w:val="clear" w:color="auto" w:fill="auto"/>
          </w:tcPr>
          <w:p w:rsidR="00B070BF" w:rsidRPr="009577DE" w:rsidRDefault="00B070BF" w:rsidP="00C33D4A">
            <w:pPr>
              <w:widowControl w:val="0"/>
              <w:rPr>
                <w:sz w:val="16"/>
                <w:szCs w:val="16"/>
                <w:lang w:val="es-ES_tradnl"/>
              </w:rPr>
            </w:pPr>
            <w:r w:rsidRPr="009577DE">
              <w:rPr>
                <w:sz w:val="16"/>
                <w:szCs w:val="16"/>
                <w:lang w:val="es-ES_tradnl"/>
              </w:rPr>
              <w:t>Porcentaje de proyectos que han sido objeto de una evaluación posterior a la ejecución del proyecto.</w:t>
            </w:r>
          </w:p>
        </w:tc>
        <w:tc>
          <w:tcPr>
            <w:tcW w:w="754" w:type="pct"/>
            <w:shd w:val="clear" w:color="auto" w:fill="C0C0C0"/>
          </w:tcPr>
          <w:p w:rsidR="00B070BF" w:rsidRPr="009577DE" w:rsidRDefault="00B070BF" w:rsidP="00C33D4A">
            <w:pPr>
              <w:widowControl w:val="0"/>
              <w:ind w:left="88"/>
              <w:rPr>
                <w:sz w:val="16"/>
                <w:szCs w:val="16"/>
                <w:lang w:val="es-ES_tradnl"/>
              </w:rPr>
            </w:pPr>
            <w:r w:rsidRPr="009577DE">
              <w:rPr>
                <w:sz w:val="16"/>
                <w:szCs w:val="16"/>
                <w:lang w:val="es-ES_tradnl"/>
              </w:rPr>
              <w:t>0</w:t>
            </w:r>
          </w:p>
        </w:tc>
        <w:tc>
          <w:tcPr>
            <w:tcW w:w="811" w:type="pct"/>
            <w:shd w:val="clear" w:color="auto" w:fill="auto"/>
            <w:tcMar>
              <w:top w:w="110" w:type="dxa"/>
            </w:tcMar>
          </w:tcPr>
          <w:p w:rsidR="00B070BF" w:rsidRPr="009577DE" w:rsidRDefault="00B070BF" w:rsidP="00C33D4A">
            <w:pPr>
              <w:widowControl w:val="0"/>
              <w:ind w:leftChars="54" w:left="119"/>
              <w:rPr>
                <w:sz w:val="16"/>
                <w:szCs w:val="16"/>
                <w:lang w:val="es-ES_tradnl"/>
              </w:rPr>
            </w:pPr>
          </w:p>
        </w:tc>
        <w:tc>
          <w:tcPr>
            <w:tcW w:w="1756" w:type="pct"/>
            <w:shd w:val="clear" w:color="auto" w:fill="FFFFFF"/>
            <w:tcMar>
              <w:top w:w="110" w:type="dxa"/>
            </w:tcMar>
          </w:tcPr>
          <w:p w:rsidR="00B070BF" w:rsidRPr="009577DE" w:rsidRDefault="00B070BF" w:rsidP="00C33D4A">
            <w:pPr>
              <w:widowControl w:val="0"/>
              <w:rPr>
                <w:sz w:val="16"/>
                <w:szCs w:val="16"/>
                <w:lang w:val="es-ES_tradnl"/>
              </w:rPr>
            </w:pPr>
            <w:r w:rsidRPr="009577DE">
              <w:rPr>
                <w:sz w:val="16"/>
                <w:szCs w:val="16"/>
                <w:lang w:val="es-ES_tradnl"/>
              </w:rPr>
              <w:t xml:space="preserve">Se espera que estén disponibles antes de que finalice 2013.  </w:t>
            </w:r>
          </w:p>
          <w:p w:rsidR="00B070BF" w:rsidRPr="009577DE" w:rsidRDefault="00B070BF" w:rsidP="00C33D4A">
            <w:pPr>
              <w:widowControl w:val="0"/>
              <w:rPr>
                <w:sz w:val="16"/>
                <w:szCs w:val="16"/>
                <w:lang w:val="es-ES_tradnl"/>
              </w:rPr>
            </w:pPr>
          </w:p>
          <w:p w:rsidR="00B070BF" w:rsidRPr="009577DE" w:rsidRDefault="00B070BF" w:rsidP="00C33D4A">
            <w:pPr>
              <w:widowControl w:val="0"/>
              <w:rPr>
                <w:sz w:val="16"/>
                <w:szCs w:val="16"/>
                <w:lang w:val="es-ES_tradnl"/>
              </w:rPr>
            </w:pPr>
            <w:r w:rsidRPr="009577DE">
              <w:rPr>
                <w:sz w:val="16"/>
                <w:szCs w:val="16"/>
                <w:lang w:val="es-ES_tradnl"/>
              </w:rPr>
              <w:t>Los proyectos iniciados después del 1 de mayo de 2012 y terminados antes de que finalizara 2012 podían ser objeto de una evaluación para determinar los beneficios obtenidos.  Se realizaron esas evaluaciones respecto del 20% aproximadamente de los proyectos.</w:t>
            </w:r>
          </w:p>
          <w:p w:rsidR="00B070BF" w:rsidRPr="009577DE" w:rsidRDefault="00B070BF" w:rsidP="00C33D4A">
            <w:pPr>
              <w:widowControl w:val="0"/>
              <w:rPr>
                <w:sz w:val="16"/>
                <w:szCs w:val="16"/>
                <w:lang w:val="es-ES_tradnl" w:bidi="th-TH"/>
              </w:rPr>
            </w:pPr>
          </w:p>
          <w:p w:rsidR="00B070BF" w:rsidRPr="009577DE" w:rsidRDefault="00B070BF" w:rsidP="00C33D4A">
            <w:pPr>
              <w:widowControl w:val="0"/>
              <w:rPr>
                <w:sz w:val="16"/>
                <w:szCs w:val="16"/>
                <w:lang w:val="es-ES_tradnl"/>
              </w:rPr>
            </w:pPr>
          </w:p>
        </w:tc>
        <w:tc>
          <w:tcPr>
            <w:tcW w:w="497" w:type="pct"/>
            <w:shd w:val="clear" w:color="auto" w:fill="auto"/>
            <w:tcMar>
              <w:top w:w="110" w:type="dxa"/>
            </w:tcMar>
          </w:tcPr>
          <w:p w:rsidR="00B070BF" w:rsidRPr="009577DE" w:rsidRDefault="00B070BF" w:rsidP="00C33D4A">
            <w:pPr>
              <w:widowControl w:val="0"/>
              <w:jc w:val="center"/>
              <w:rPr>
                <w:b/>
                <w:bCs/>
                <w:sz w:val="16"/>
                <w:szCs w:val="16"/>
                <w:lang w:val="es-ES_tradnl"/>
              </w:rPr>
            </w:pPr>
            <w:r w:rsidRPr="009577DE">
              <w:rPr>
                <w:b/>
                <w:bCs/>
                <w:sz w:val="16"/>
                <w:szCs w:val="16"/>
                <w:lang w:val="es-ES_tradnl"/>
              </w:rPr>
              <w:t>No disponible para 2012</w:t>
            </w:r>
          </w:p>
          <w:p w:rsidR="00B070BF" w:rsidRPr="009577DE" w:rsidRDefault="00B070BF" w:rsidP="00C33D4A">
            <w:pPr>
              <w:widowControl w:val="0"/>
              <w:jc w:val="center"/>
              <w:rPr>
                <w:bCs/>
                <w:sz w:val="16"/>
                <w:szCs w:val="16"/>
                <w:lang w:val="es-ES_tradnl"/>
              </w:rPr>
            </w:pPr>
          </w:p>
        </w:tc>
      </w:tr>
      <w:tr w:rsidR="00B070BF" w:rsidRPr="009577DE" w:rsidTr="00C33D4A">
        <w:trPr>
          <w:cantSplit/>
        </w:trPr>
        <w:tc>
          <w:tcPr>
            <w:tcW w:w="1182" w:type="pct"/>
            <w:tcBorders>
              <w:bottom w:val="single" w:sz="4" w:space="0" w:color="auto"/>
            </w:tcBorders>
            <w:shd w:val="clear" w:color="auto" w:fill="auto"/>
          </w:tcPr>
          <w:p w:rsidR="00B070BF" w:rsidRPr="009577DE" w:rsidRDefault="00B070BF" w:rsidP="00C33D4A">
            <w:pPr>
              <w:widowControl w:val="0"/>
              <w:ind w:leftChars="-11" w:left="-24"/>
              <w:rPr>
                <w:sz w:val="16"/>
                <w:szCs w:val="16"/>
                <w:lang w:val="es-ES_tradnl"/>
              </w:rPr>
            </w:pPr>
            <w:r w:rsidRPr="009577DE">
              <w:rPr>
                <w:sz w:val="16"/>
                <w:szCs w:val="16"/>
                <w:lang w:val="es-ES_tradnl"/>
              </w:rPr>
              <w:t>Nivel de avance en la implantación de la Biblioteca de Infraestructura de Tecnologías de la Información (ITIL) con arreglo al método oficial de autoevaluación de cinco niveles.</w:t>
            </w:r>
          </w:p>
          <w:p w:rsidR="00B070BF" w:rsidRPr="009577DE" w:rsidRDefault="00B070BF" w:rsidP="00C33D4A">
            <w:pPr>
              <w:widowControl w:val="0"/>
              <w:ind w:leftChars="-11" w:left="-24"/>
              <w:rPr>
                <w:sz w:val="16"/>
                <w:szCs w:val="16"/>
                <w:lang w:val="es-ES_tradnl"/>
              </w:rPr>
            </w:pPr>
          </w:p>
        </w:tc>
        <w:tc>
          <w:tcPr>
            <w:tcW w:w="754" w:type="pct"/>
            <w:tcBorders>
              <w:bottom w:val="single" w:sz="4" w:space="0" w:color="auto"/>
            </w:tcBorders>
            <w:shd w:val="clear" w:color="auto" w:fill="C0C0C0"/>
          </w:tcPr>
          <w:p w:rsidR="00B070BF" w:rsidRPr="009577DE" w:rsidRDefault="00B070BF" w:rsidP="00C33D4A">
            <w:pPr>
              <w:widowControl w:val="0"/>
              <w:ind w:leftChars="-11" w:left="-24"/>
              <w:rPr>
                <w:sz w:val="16"/>
                <w:szCs w:val="16"/>
                <w:lang w:val="es-ES_tradnl"/>
              </w:rPr>
            </w:pPr>
            <w:r w:rsidRPr="009577DE">
              <w:rPr>
                <w:sz w:val="16"/>
                <w:szCs w:val="16"/>
                <w:lang w:val="es-ES_tradnl"/>
              </w:rPr>
              <w:t>Nivel 2 de apoyo a los servicios.</w:t>
            </w:r>
          </w:p>
        </w:tc>
        <w:tc>
          <w:tcPr>
            <w:tcW w:w="811" w:type="pct"/>
            <w:tcBorders>
              <w:bottom w:val="single" w:sz="4" w:space="0" w:color="auto"/>
            </w:tcBorders>
            <w:shd w:val="clear" w:color="auto" w:fill="auto"/>
            <w:tcMar>
              <w:top w:w="110" w:type="dxa"/>
            </w:tcMar>
          </w:tcPr>
          <w:p w:rsidR="00B070BF" w:rsidRPr="009577DE" w:rsidRDefault="00B070BF" w:rsidP="00C33D4A">
            <w:pPr>
              <w:widowControl w:val="0"/>
              <w:ind w:leftChars="54" w:left="119"/>
              <w:rPr>
                <w:sz w:val="16"/>
                <w:szCs w:val="16"/>
                <w:lang w:val="es-ES_tradnl"/>
              </w:rPr>
            </w:pPr>
          </w:p>
        </w:tc>
        <w:tc>
          <w:tcPr>
            <w:tcW w:w="1756" w:type="pct"/>
            <w:tcBorders>
              <w:bottom w:val="single" w:sz="4" w:space="0" w:color="auto"/>
            </w:tcBorders>
            <w:shd w:val="clear" w:color="auto" w:fill="FFFFFF"/>
            <w:tcMar>
              <w:top w:w="110" w:type="dxa"/>
            </w:tcMar>
          </w:tcPr>
          <w:p w:rsidR="00B070BF" w:rsidRPr="009577DE" w:rsidRDefault="00B070BF" w:rsidP="00C33D4A">
            <w:pPr>
              <w:widowControl w:val="0"/>
              <w:rPr>
                <w:sz w:val="16"/>
                <w:szCs w:val="16"/>
                <w:lang w:val="es-ES_tradnl"/>
              </w:rPr>
            </w:pPr>
            <w:r w:rsidRPr="009577DE">
              <w:rPr>
                <w:sz w:val="16"/>
                <w:szCs w:val="16"/>
                <w:lang w:val="es-ES_tradnl"/>
              </w:rPr>
              <w:t xml:space="preserve">El grado de implantación de la gestión de incidentes y de la gestión del cambio aumentó en un nivel (hasta el nivel 3).  </w:t>
            </w:r>
          </w:p>
          <w:p w:rsidR="00B070BF" w:rsidRPr="009577DE" w:rsidRDefault="00B070BF" w:rsidP="00C33D4A">
            <w:pPr>
              <w:widowControl w:val="0"/>
              <w:rPr>
                <w:sz w:val="16"/>
                <w:szCs w:val="16"/>
                <w:lang w:val="es-ES_tradnl"/>
              </w:rPr>
            </w:pPr>
          </w:p>
          <w:p w:rsidR="00B070BF" w:rsidRPr="009577DE" w:rsidRDefault="00B070BF" w:rsidP="00C33D4A">
            <w:pPr>
              <w:widowControl w:val="0"/>
              <w:rPr>
                <w:sz w:val="16"/>
                <w:szCs w:val="16"/>
                <w:lang w:val="es-ES_tradnl"/>
              </w:rPr>
            </w:pPr>
          </w:p>
        </w:tc>
        <w:tc>
          <w:tcPr>
            <w:tcW w:w="497" w:type="pct"/>
            <w:tcBorders>
              <w:bottom w:val="single" w:sz="4" w:space="0" w:color="auto"/>
            </w:tcBorders>
            <w:shd w:val="clear" w:color="auto" w:fill="auto"/>
            <w:tcMar>
              <w:top w:w="110" w:type="dxa"/>
            </w:tcMar>
          </w:tcPr>
          <w:p w:rsidR="00B070BF" w:rsidRPr="009577DE" w:rsidRDefault="00B070BF" w:rsidP="00C33D4A">
            <w:pPr>
              <w:widowControl w:val="0"/>
              <w:jc w:val="center"/>
              <w:rPr>
                <w:b/>
                <w:sz w:val="16"/>
                <w:szCs w:val="16"/>
                <w:lang w:val="es-ES_tradnl"/>
              </w:rPr>
            </w:pPr>
            <w:r w:rsidRPr="009577DE">
              <w:rPr>
                <w:b/>
                <w:color w:val="008000"/>
                <w:sz w:val="16"/>
                <w:szCs w:val="16"/>
                <w:lang w:val="es-ES_tradnl"/>
              </w:rPr>
              <w:t>Progresa con normalidad</w:t>
            </w:r>
          </w:p>
          <w:p w:rsidR="00B070BF" w:rsidRPr="009577DE" w:rsidRDefault="00B070BF" w:rsidP="00C33D4A">
            <w:pPr>
              <w:widowControl w:val="0"/>
              <w:jc w:val="center"/>
              <w:rPr>
                <w:bCs/>
                <w:sz w:val="16"/>
                <w:szCs w:val="16"/>
                <w:lang w:val="es-ES_tradnl"/>
              </w:rPr>
            </w:pPr>
          </w:p>
          <w:p w:rsidR="00B070BF" w:rsidRPr="009577DE" w:rsidRDefault="00B070BF" w:rsidP="00C33D4A">
            <w:pPr>
              <w:widowControl w:val="0"/>
              <w:jc w:val="center"/>
              <w:rPr>
                <w:bCs/>
                <w:sz w:val="16"/>
                <w:szCs w:val="16"/>
                <w:lang w:val="es-ES_tradnl"/>
              </w:rPr>
            </w:pPr>
          </w:p>
        </w:tc>
      </w:tr>
      <w:tr w:rsidR="00B070BF" w:rsidRPr="009577DE" w:rsidTr="00C33D4A">
        <w:trPr>
          <w:cantSplit/>
        </w:trPr>
        <w:tc>
          <w:tcPr>
            <w:tcW w:w="5000" w:type="pct"/>
            <w:gridSpan w:val="5"/>
            <w:tcBorders>
              <w:top w:val="single" w:sz="4" w:space="0" w:color="auto"/>
              <w:bottom w:val="single" w:sz="4" w:space="0" w:color="auto"/>
            </w:tcBorders>
            <w:shd w:val="clear" w:color="auto" w:fill="CCFFFF"/>
            <w:vAlign w:val="center"/>
          </w:tcPr>
          <w:p w:rsidR="00B070BF" w:rsidRPr="009577DE" w:rsidRDefault="00B070BF" w:rsidP="00C33D4A">
            <w:pPr>
              <w:widowControl w:val="0"/>
              <w:spacing w:before="120" w:after="120"/>
              <w:ind w:left="1735" w:hanging="1735"/>
              <w:rPr>
                <w:b/>
                <w:bCs/>
                <w:sz w:val="16"/>
                <w:szCs w:val="16"/>
                <w:lang w:val="es-ES_tradnl"/>
              </w:rPr>
            </w:pPr>
            <w:r w:rsidRPr="009577DE">
              <w:rPr>
                <w:b/>
                <w:bCs/>
                <w:sz w:val="16"/>
                <w:szCs w:val="16"/>
                <w:lang w:val="es-ES_tradnl"/>
              </w:rPr>
              <w:t>Resultado previsto:</w:t>
            </w:r>
            <w:r w:rsidRPr="009577DE">
              <w:rPr>
                <w:b/>
                <w:bCs/>
                <w:sz w:val="16"/>
                <w:szCs w:val="16"/>
                <w:lang w:val="es-ES_tradnl"/>
              </w:rPr>
              <w:tab/>
            </w:r>
            <w:r w:rsidRPr="009577DE">
              <w:rPr>
                <w:bCs/>
                <w:sz w:val="16"/>
                <w:szCs w:val="16"/>
                <w:lang w:val="es-ES_tradnl"/>
              </w:rPr>
              <w:t xml:space="preserve"> Servicios de apoyo eficaces, eficientes, de calidad y orientados al cliente, tanto a los clientes internos como a las partes interesadas externas (recursos humanos, T.I., servicios de conferencias y lingüísticos, compras, viajes, impresión y publicación, gestión de locales)</w:t>
            </w:r>
          </w:p>
        </w:tc>
      </w:tr>
      <w:tr w:rsidR="00B070BF" w:rsidRPr="009577DE" w:rsidTr="00C33D4A">
        <w:trPr>
          <w:cantSplit/>
        </w:trPr>
        <w:tc>
          <w:tcPr>
            <w:tcW w:w="1182" w:type="pct"/>
            <w:tcBorders>
              <w:top w:val="single" w:sz="4" w:space="0" w:color="auto"/>
            </w:tcBorders>
            <w:shd w:val="clear" w:color="auto" w:fill="auto"/>
            <w:vAlign w:val="center"/>
          </w:tcPr>
          <w:p w:rsidR="00B070BF" w:rsidRPr="009577DE" w:rsidRDefault="00B070BF" w:rsidP="00C33D4A">
            <w:pPr>
              <w:widowControl w:val="0"/>
              <w:spacing w:after="120"/>
              <w:rPr>
                <w:sz w:val="16"/>
                <w:szCs w:val="16"/>
                <w:lang w:val="es-ES_tradnl"/>
              </w:rPr>
            </w:pPr>
            <w:r w:rsidRPr="009577DE">
              <w:rPr>
                <w:b/>
                <w:bCs/>
                <w:sz w:val="16"/>
                <w:szCs w:val="16"/>
                <w:lang w:val="es-ES_tradnl"/>
              </w:rPr>
              <w:t>Indicadores de rendimiento</w:t>
            </w:r>
          </w:p>
        </w:tc>
        <w:tc>
          <w:tcPr>
            <w:tcW w:w="754" w:type="pct"/>
            <w:tcBorders>
              <w:top w:val="single" w:sz="4" w:space="0" w:color="auto"/>
            </w:tcBorders>
            <w:shd w:val="clear" w:color="auto" w:fill="C0C0C0"/>
          </w:tcPr>
          <w:p w:rsidR="00B070BF" w:rsidRPr="009577DE" w:rsidRDefault="00B070BF" w:rsidP="00C33D4A">
            <w:pPr>
              <w:widowControl w:val="0"/>
              <w:spacing w:after="120"/>
              <w:rPr>
                <w:b/>
                <w:bCs/>
                <w:sz w:val="16"/>
                <w:szCs w:val="16"/>
                <w:lang w:val="es-ES_tradnl"/>
              </w:rPr>
            </w:pPr>
            <w:r w:rsidRPr="009577DE">
              <w:rPr>
                <w:b/>
                <w:bCs/>
                <w:sz w:val="16"/>
                <w:szCs w:val="16"/>
                <w:lang w:val="es-ES_tradnl"/>
              </w:rPr>
              <w:t>Referencia (</w:t>
            </w:r>
            <w:proofErr w:type="spellStart"/>
            <w:r w:rsidRPr="009577DE">
              <w:rPr>
                <w:b/>
                <w:bCs/>
                <w:sz w:val="16"/>
                <w:szCs w:val="16"/>
                <w:lang w:val="es-ES_tradnl"/>
              </w:rPr>
              <w:t>Presup</w:t>
            </w:r>
            <w:proofErr w:type="spellEnd"/>
            <w:r w:rsidRPr="009577DE">
              <w:rPr>
                <w:b/>
                <w:bCs/>
                <w:sz w:val="16"/>
                <w:szCs w:val="16"/>
                <w:lang w:val="es-ES_tradnl"/>
              </w:rPr>
              <w:t xml:space="preserve">. por </w:t>
            </w:r>
            <w:proofErr w:type="spellStart"/>
            <w:r w:rsidRPr="009577DE">
              <w:rPr>
                <w:b/>
                <w:bCs/>
                <w:sz w:val="16"/>
                <w:szCs w:val="16"/>
                <w:lang w:val="es-ES_tradnl"/>
              </w:rPr>
              <w:t>prog</w:t>
            </w:r>
            <w:proofErr w:type="spellEnd"/>
            <w:r w:rsidRPr="009577DE">
              <w:rPr>
                <w:b/>
                <w:bCs/>
                <w:sz w:val="16"/>
                <w:szCs w:val="16"/>
                <w:lang w:val="es-ES_tradnl"/>
              </w:rPr>
              <w:t>. 2012/13)</w:t>
            </w:r>
          </w:p>
        </w:tc>
        <w:tc>
          <w:tcPr>
            <w:tcW w:w="811" w:type="pct"/>
            <w:tcBorders>
              <w:top w:val="single" w:sz="4" w:space="0" w:color="auto"/>
            </w:tcBorders>
            <w:shd w:val="clear" w:color="auto" w:fill="auto"/>
            <w:tcMar>
              <w:top w:w="110" w:type="dxa"/>
            </w:tcMar>
            <w:vAlign w:val="center"/>
          </w:tcPr>
          <w:p w:rsidR="00B070BF" w:rsidRPr="009577DE" w:rsidRDefault="00B070BF" w:rsidP="00C33D4A">
            <w:pPr>
              <w:widowControl w:val="0"/>
              <w:spacing w:after="120"/>
              <w:rPr>
                <w:b/>
                <w:sz w:val="16"/>
                <w:szCs w:val="16"/>
                <w:lang w:val="es-ES_tradnl"/>
              </w:rPr>
            </w:pPr>
            <w:r w:rsidRPr="00BF138D">
              <w:rPr>
                <w:b/>
                <w:color w:val="993300"/>
                <w:sz w:val="16"/>
                <w:szCs w:val="16"/>
                <w:lang w:val="es-ES_tradnl"/>
              </w:rPr>
              <w:t>Referencia actualizada a finales de 2011</w:t>
            </w:r>
            <w:r w:rsidRPr="009577DE">
              <w:rPr>
                <w:b/>
                <w:sz w:val="16"/>
                <w:szCs w:val="16"/>
                <w:lang w:val="es-ES_tradnl"/>
              </w:rPr>
              <w:t xml:space="preserve"> </w:t>
            </w:r>
          </w:p>
        </w:tc>
        <w:tc>
          <w:tcPr>
            <w:tcW w:w="1756" w:type="pct"/>
            <w:tcBorders>
              <w:top w:val="single" w:sz="4" w:space="0" w:color="auto"/>
            </w:tcBorders>
            <w:shd w:val="clear" w:color="auto" w:fill="FFFFFF"/>
            <w:tcMar>
              <w:top w:w="110" w:type="dxa"/>
            </w:tcMar>
            <w:vAlign w:val="center"/>
          </w:tcPr>
          <w:p w:rsidR="00B070BF" w:rsidRPr="009577DE" w:rsidRDefault="00B070BF" w:rsidP="00C33D4A">
            <w:pPr>
              <w:widowControl w:val="0"/>
              <w:spacing w:after="120"/>
              <w:rPr>
                <w:sz w:val="16"/>
                <w:szCs w:val="16"/>
                <w:lang w:val="es-ES_tradnl"/>
              </w:rPr>
            </w:pPr>
            <w:r w:rsidRPr="009577DE">
              <w:rPr>
                <w:b/>
                <w:bCs/>
                <w:sz w:val="16"/>
                <w:szCs w:val="16"/>
                <w:lang w:val="es-ES_tradnl"/>
              </w:rPr>
              <w:t>Datos sobre el rendimiento</w:t>
            </w:r>
          </w:p>
        </w:tc>
        <w:tc>
          <w:tcPr>
            <w:tcW w:w="497" w:type="pct"/>
            <w:tcBorders>
              <w:top w:val="single" w:sz="4" w:space="0" w:color="auto"/>
            </w:tcBorders>
            <w:shd w:val="clear" w:color="auto" w:fill="auto"/>
            <w:tcMar>
              <w:top w:w="110" w:type="dxa"/>
            </w:tcMar>
            <w:vAlign w:val="center"/>
          </w:tcPr>
          <w:p w:rsidR="00B070BF" w:rsidRPr="009577DE" w:rsidRDefault="00B070BF" w:rsidP="00C33D4A">
            <w:pPr>
              <w:widowControl w:val="0"/>
              <w:spacing w:after="120"/>
              <w:jc w:val="center"/>
              <w:rPr>
                <w:b/>
                <w:bCs/>
                <w:sz w:val="16"/>
                <w:szCs w:val="16"/>
                <w:lang w:val="es-ES_tradnl"/>
              </w:rPr>
            </w:pPr>
            <w:r w:rsidRPr="009577DE">
              <w:rPr>
                <w:b/>
                <w:bCs/>
                <w:sz w:val="16"/>
                <w:szCs w:val="16"/>
                <w:lang w:val="es-ES_tradnl"/>
              </w:rPr>
              <w:t>Clave de colores</w:t>
            </w:r>
          </w:p>
        </w:tc>
      </w:tr>
      <w:tr w:rsidR="00B070BF" w:rsidRPr="009577DE" w:rsidTr="00C33D4A">
        <w:trPr>
          <w:cantSplit/>
        </w:trPr>
        <w:tc>
          <w:tcPr>
            <w:tcW w:w="1182" w:type="pct"/>
            <w:shd w:val="clear" w:color="auto" w:fill="auto"/>
          </w:tcPr>
          <w:p w:rsidR="00B070BF" w:rsidRPr="009577DE" w:rsidRDefault="00B070BF" w:rsidP="00C33D4A">
            <w:pPr>
              <w:widowControl w:val="0"/>
              <w:ind w:leftChars="-11" w:left="-24"/>
              <w:rPr>
                <w:sz w:val="16"/>
                <w:szCs w:val="16"/>
                <w:lang w:val="es-ES_tradnl"/>
              </w:rPr>
            </w:pPr>
            <w:r w:rsidRPr="009577DE">
              <w:rPr>
                <w:sz w:val="16"/>
                <w:szCs w:val="16"/>
                <w:lang w:val="es-ES_tradnl"/>
              </w:rPr>
              <w:t>Subcontratación de la operación y la provisión de la infraestructura de T.I.</w:t>
            </w:r>
          </w:p>
        </w:tc>
        <w:tc>
          <w:tcPr>
            <w:tcW w:w="754" w:type="pct"/>
            <w:shd w:val="clear" w:color="auto" w:fill="C0C0C0"/>
          </w:tcPr>
          <w:p w:rsidR="00B070BF" w:rsidRPr="009577DE" w:rsidRDefault="00B070BF" w:rsidP="00C33D4A">
            <w:pPr>
              <w:widowControl w:val="0"/>
              <w:ind w:leftChars="-11" w:left="-24"/>
              <w:rPr>
                <w:sz w:val="16"/>
                <w:szCs w:val="16"/>
                <w:lang w:val="es-ES_tradnl"/>
              </w:rPr>
            </w:pPr>
            <w:r w:rsidRPr="009577DE">
              <w:rPr>
                <w:sz w:val="16"/>
                <w:szCs w:val="16"/>
                <w:lang w:val="es-ES_tradnl"/>
              </w:rPr>
              <w:t>Dos aplicaciones alojadas.</w:t>
            </w:r>
          </w:p>
        </w:tc>
        <w:tc>
          <w:tcPr>
            <w:tcW w:w="811" w:type="pct"/>
            <w:shd w:val="clear" w:color="auto" w:fill="auto"/>
            <w:tcMar>
              <w:top w:w="110" w:type="dxa"/>
            </w:tcMar>
          </w:tcPr>
          <w:p w:rsidR="00B070BF" w:rsidRPr="009577DE" w:rsidRDefault="00B070BF" w:rsidP="00C33D4A">
            <w:pPr>
              <w:widowControl w:val="0"/>
              <w:ind w:leftChars="14" w:left="31"/>
              <w:rPr>
                <w:sz w:val="16"/>
                <w:szCs w:val="16"/>
                <w:lang w:val="es-ES_tradnl"/>
              </w:rPr>
            </w:pPr>
            <w:r w:rsidRPr="009577DE">
              <w:rPr>
                <w:sz w:val="16"/>
                <w:szCs w:val="16"/>
                <w:lang w:val="es-ES_tradnl"/>
              </w:rPr>
              <w:br/>
            </w:r>
            <w:r w:rsidRPr="009577DE">
              <w:rPr>
                <w:sz w:val="16"/>
                <w:szCs w:val="16"/>
                <w:lang w:val="es-ES_tradnl"/>
              </w:rPr>
              <w:br/>
            </w:r>
            <w:r w:rsidRPr="009577DE">
              <w:rPr>
                <w:sz w:val="16"/>
                <w:szCs w:val="16"/>
                <w:lang w:val="es-ES_tradnl"/>
              </w:rPr>
              <w:br/>
            </w:r>
          </w:p>
        </w:tc>
        <w:tc>
          <w:tcPr>
            <w:tcW w:w="1756" w:type="pct"/>
            <w:shd w:val="clear" w:color="auto" w:fill="FFFFFF"/>
            <w:tcMar>
              <w:top w:w="110" w:type="dxa"/>
            </w:tcMar>
          </w:tcPr>
          <w:p w:rsidR="00B070BF" w:rsidRPr="009577DE" w:rsidRDefault="00B070BF" w:rsidP="00C33D4A">
            <w:pPr>
              <w:widowControl w:val="0"/>
              <w:rPr>
                <w:sz w:val="16"/>
                <w:szCs w:val="16"/>
                <w:lang w:val="es-ES_tradnl" w:bidi="th-TH"/>
              </w:rPr>
            </w:pPr>
            <w:r w:rsidRPr="009577DE">
              <w:rPr>
                <w:sz w:val="16"/>
                <w:szCs w:val="16"/>
                <w:lang w:val="es-ES_tradnl" w:bidi="th-TH"/>
              </w:rPr>
              <w:t>Se han subcontratado íntegramente la telefonía IP y las operaciones en red;  ha avanzado el alojamiento de la infraestructura y está en curso el alojamiento de las aplicaciones (aproximadamente un tercio de la infraestructura, los sistemas operativos y las aplicaciones).</w:t>
            </w:r>
          </w:p>
          <w:p w:rsidR="00B070BF" w:rsidRPr="009577DE" w:rsidRDefault="00B070BF" w:rsidP="00C33D4A">
            <w:pPr>
              <w:widowControl w:val="0"/>
              <w:rPr>
                <w:sz w:val="16"/>
                <w:szCs w:val="16"/>
                <w:lang w:val="es-ES_tradnl"/>
              </w:rPr>
            </w:pPr>
          </w:p>
        </w:tc>
        <w:tc>
          <w:tcPr>
            <w:tcW w:w="497" w:type="pct"/>
            <w:shd w:val="clear" w:color="auto" w:fill="auto"/>
            <w:tcMar>
              <w:top w:w="110" w:type="dxa"/>
            </w:tcMar>
          </w:tcPr>
          <w:p w:rsidR="00B070BF" w:rsidRPr="009577DE" w:rsidRDefault="00B070BF" w:rsidP="00C33D4A">
            <w:pPr>
              <w:widowControl w:val="0"/>
              <w:jc w:val="center"/>
              <w:rPr>
                <w:b/>
                <w:sz w:val="16"/>
                <w:szCs w:val="16"/>
                <w:lang w:val="es-ES_tradnl"/>
              </w:rPr>
            </w:pPr>
            <w:r w:rsidRPr="009577DE">
              <w:rPr>
                <w:b/>
                <w:color w:val="008000"/>
                <w:sz w:val="16"/>
                <w:szCs w:val="16"/>
                <w:lang w:val="es-ES_tradnl"/>
              </w:rPr>
              <w:t>Progresa con normalidad</w:t>
            </w:r>
          </w:p>
          <w:p w:rsidR="00B070BF" w:rsidRPr="009577DE" w:rsidRDefault="00B070BF" w:rsidP="00C33D4A">
            <w:pPr>
              <w:widowControl w:val="0"/>
              <w:jc w:val="center"/>
              <w:rPr>
                <w:bCs/>
                <w:sz w:val="16"/>
                <w:szCs w:val="16"/>
                <w:lang w:val="es-ES_tradnl"/>
              </w:rPr>
            </w:pPr>
          </w:p>
          <w:p w:rsidR="00B070BF" w:rsidRPr="009577DE" w:rsidRDefault="00B070BF" w:rsidP="00C33D4A">
            <w:pPr>
              <w:widowControl w:val="0"/>
              <w:jc w:val="center"/>
              <w:rPr>
                <w:bCs/>
                <w:sz w:val="16"/>
                <w:szCs w:val="16"/>
                <w:lang w:val="es-ES_tradnl"/>
              </w:rPr>
            </w:pPr>
          </w:p>
        </w:tc>
      </w:tr>
      <w:tr w:rsidR="00B070BF" w:rsidRPr="009577DE" w:rsidTr="00C33D4A">
        <w:trPr>
          <w:cantSplit/>
        </w:trPr>
        <w:tc>
          <w:tcPr>
            <w:tcW w:w="1182" w:type="pct"/>
            <w:shd w:val="clear" w:color="auto" w:fill="auto"/>
          </w:tcPr>
          <w:p w:rsidR="00B070BF" w:rsidRPr="009577DE" w:rsidRDefault="00B070BF" w:rsidP="00C33D4A">
            <w:pPr>
              <w:widowControl w:val="0"/>
              <w:ind w:leftChars="-11" w:left="-24"/>
              <w:rPr>
                <w:sz w:val="16"/>
                <w:szCs w:val="16"/>
                <w:lang w:val="es-ES_tradnl"/>
              </w:rPr>
            </w:pPr>
            <w:r w:rsidRPr="009577DE">
              <w:rPr>
                <w:sz w:val="16"/>
                <w:szCs w:val="16"/>
                <w:lang w:val="es-ES_tradnl"/>
              </w:rPr>
              <w:t>Acceso a las reuniones de la OMPI por Internet en tiempo real o en diferido.</w:t>
            </w:r>
          </w:p>
        </w:tc>
        <w:tc>
          <w:tcPr>
            <w:tcW w:w="754" w:type="pct"/>
            <w:shd w:val="clear" w:color="auto" w:fill="C0C0C0"/>
          </w:tcPr>
          <w:p w:rsidR="00B070BF" w:rsidRPr="009577DE" w:rsidRDefault="00B070BF" w:rsidP="00C33D4A">
            <w:pPr>
              <w:widowControl w:val="0"/>
              <w:ind w:leftChars="-11" w:left="-24"/>
              <w:rPr>
                <w:sz w:val="16"/>
                <w:szCs w:val="16"/>
                <w:lang w:val="es-ES_tradnl"/>
              </w:rPr>
            </w:pPr>
            <w:r w:rsidRPr="009577DE">
              <w:rPr>
                <w:sz w:val="16"/>
                <w:szCs w:val="16"/>
                <w:lang w:val="es-ES_tradnl"/>
              </w:rPr>
              <w:t>Difusión de las asambleas.</w:t>
            </w:r>
          </w:p>
          <w:p w:rsidR="00B070BF" w:rsidRPr="009577DE" w:rsidRDefault="00B070BF" w:rsidP="00C33D4A">
            <w:pPr>
              <w:widowControl w:val="0"/>
              <w:rPr>
                <w:sz w:val="16"/>
                <w:szCs w:val="16"/>
                <w:lang w:val="es-ES_tradnl"/>
              </w:rPr>
            </w:pPr>
          </w:p>
        </w:tc>
        <w:tc>
          <w:tcPr>
            <w:tcW w:w="811" w:type="pct"/>
            <w:shd w:val="clear" w:color="auto" w:fill="auto"/>
            <w:tcMar>
              <w:top w:w="110" w:type="dxa"/>
            </w:tcMar>
          </w:tcPr>
          <w:p w:rsidR="00B070BF" w:rsidRPr="009577DE" w:rsidRDefault="00B070BF" w:rsidP="00C33D4A">
            <w:pPr>
              <w:widowControl w:val="0"/>
              <w:rPr>
                <w:sz w:val="16"/>
                <w:szCs w:val="16"/>
                <w:lang w:val="es-ES_tradnl"/>
              </w:rPr>
            </w:pPr>
            <w:r w:rsidRPr="009577DE">
              <w:rPr>
                <w:sz w:val="16"/>
                <w:szCs w:val="16"/>
                <w:lang w:val="es-ES_tradnl"/>
              </w:rPr>
              <w:br/>
            </w:r>
          </w:p>
        </w:tc>
        <w:tc>
          <w:tcPr>
            <w:tcW w:w="1756" w:type="pct"/>
            <w:shd w:val="clear" w:color="auto" w:fill="FFFFFF"/>
            <w:tcMar>
              <w:top w:w="110" w:type="dxa"/>
            </w:tcMar>
          </w:tcPr>
          <w:p w:rsidR="00B070BF" w:rsidRPr="009577DE" w:rsidRDefault="00B070BF" w:rsidP="00C33D4A">
            <w:pPr>
              <w:widowControl w:val="0"/>
              <w:rPr>
                <w:sz w:val="16"/>
                <w:szCs w:val="16"/>
                <w:lang w:val="es-ES_tradnl"/>
              </w:rPr>
            </w:pPr>
            <w:r w:rsidRPr="009577DE">
              <w:rPr>
                <w:sz w:val="16"/>
                <w:szCs w:val="16"/>
                <w:lang w:val="es-ES_tradnl"/>
              </w:rPr>
              <w:t>Se difundieron en directo por Internet (transmisión en la web) 18 grandes reuniones de la OMPI, incluida la Conferencia Diplomática de Beijing.</w:t>
            </w:r>
          </w:p>
          <w:p w:rsidR="00B070BF" w:rsidRPr="009577DE" w:rsidRDefault="00B070BF" w:rsidP="00C33D4A">
            <w:pPr>
              <w:widowControl w:val="0"/>
              <w:rPr>
                <w:sz w:val="16"/>
                <w:szCs w:val="16"/>
                <w:lang w:val="es-ES_tradnl"/>
              </w:rPr>
            </w:pPr>
          </w:p>
        </w:tc>
        <w:tc>
          <w:tcPr>
            <w:tcW w:w="497" w:type="pct"/>
            <w:shd w:val="clear" w:color="auto" w:fill="auto"/>
            <w:tcMar>
              <w:top w:w="110" w:type="dxa"/>
            </w:tcMar>
          </w:tcPr>
          <w:p w:rsidR="00B070BF" w:rsidRPr="009577DE" w:rsidRDefault="00B070BF" w:rsidP="00C33D4A">
            <w:pPr>
              <w:widowControl w:val="0"/>
              <w:jc w:val="center"/>
              <w:rPr>
                <w:b/>
                <w:sz w:val="16"/>
                <w:szCs w:val="16"/>
                <w:lang w:val="es-ES_tradnl"/>
              </w:rPr>
            </w:pPr>
            <w:r w:rsidRPr="009577DE">
              <w:rPr>
                <w:b/>
                <w:color w:val="008000"/>
                <w:sz w:val="16"/>
                <w:szCs w:val="16"/>
                <w:lang w:val="es-ES_tradnl"/>
              </w:rPr>
              <w:t>Progresa con normalidad</w:t>
            </w:r>
          </w:p>
          <w:p w:rsidR="00B070BF" w:rsidRPr="009577DE" w:rsidRDefault="00B070BF" w:rsidP="00C33D4A">
            <w:pPr>
              <w:widowControl w:val="0"/>
              <w:jc w:val="center"/>
              <w:rPr>
                <w:bCs/>
                <w:sz w:val="16"/>
                <w:szCs w:val="16"/>
                <w:lang w:val="es-ES_tradnl"/>
              </w:rPr>
            </w:pPr>
          </w:p>
          <w:p w:rsidR="00B070BF" w:rsidRPr="009577DE" w:rsidRDefault="00B070BF" w:rsidP="00C33D4A">
            <w:pPr>
              <w:widowControl w:val="0"/>
              <w:jc w:val="center"/>
              <w:rPr>
                <w:bCs/>
                <w:sz w:val="16"/>
                <w:szCs w:val="16"/>
                <w:lang w:val="es-ES_tradnl"/>
              </w:rPr>
            </w:pPr>
          </w:p>
        </w:tc>
      </w:tr>
      <w:tr w:rsidR="00B070BF" w:rsidRPr="009577DE" w:rsidTr="00C33D4A">
        <w:trPr>
          <w:cantSplit/>
        </w:trPr>
        <w:tc>
          <w:tcPr>
            <w:tcW w:w="1182" w:type="pct"/>
            <w:tcBorders>
              <w:bottom w:val="single" w:sz="4" w:space="0" w:color="auto"/>
            </w:tcBorders>
            <w:shd w:val="clear" w:color="auto" w:fill="auto"/>
          </w:tcPr>
          <w:p w:rsidR="00B070BF" w:rsidRPr="009577DE" w:rsidRDefault="00B070BF" w:rsidP="00C33D4A">
            <w:pPr>
              <w:widowControl w:val="0"/>
              <w:ind w:leftChars="-11" w:left="-24"/>
              <w:rPr>
                <w:sz w:val="16"/>
                <w:szCs w:val="16"/>
                <w:lang w:val="es-ES_tradnl"/>
              </w:rPr>
            </w:pPr>
            <w:r w:rsidRPr="009577DE">
              <w:rPr>
                <w:sz w:val="16"/>
                <w:szCs w:val="16"/>
                <w:lang w:val="es-ES_tradnl"/>
              </w:rPr>
              <w:t>Número de medios de comunicación perfectamente integrados.</w:t>
            </w:r>
          </w:p>
        </w:tc>
        <w:tc>
          <w:tcPr>
            <w:tcW w:w="754" w:type="pct"/>
            <w:tcBorders>
              <w:bottom w:val="single" w:sz="4" w:space="0" w:color="auto"/>
            </w:tcBorders>
            <w:shd w:val="clear" w:color="auto" w:fill="C0C0C0"/>
          </w:tcPr>
          <w:p w:rsidR="00B070BF" w:rsidRPr="009577DE" w:rsidRDefault="00B070BF" w:rsidP="00C33D4A">
            <w:pPr>
              <w:widowControl w:val="0"/>
              <w:ind w:leftChars="-11" w:left="-24"/>
              <w:rPr>
                <w:sz w:val="16"/>
                <w:szCs w:val="16"/>
                <w:lang w:val="es-ES_tradnl"/>
              </w:rPr>
            </w:pPr>
            <w:r w:rsidRPr="009577DE">
              <w:rPr>
                <w:sz w:val="16"/>
                <w:szCs w:val="16"/>
                <w:lang w:val="es-ES_tradnl"/>
              </w:rPr>
              <w:t>Correo electrónico y teléfono separados.</w:t>
            </w:r>
          </w:p>
        </w:tc>
        <w:tc>
          <w:tcPr>
            <w:tcW w:w="811" w:type="pct"/>
            <w:tcBorders>
              <w:bottom w:val="single" w:sz="4" w:space="0" w:color="auto"/>
            </w:tcBorders>
            <w:shd w:val="clear" w:color="auto" w:fill="auto"/>
            <w:tcMar>
              <w:top w:w="110" w:type="dxa"/>
            </w:tcMar>
          </w:tcPr>
          <w:p w:rsidR="00B070BF" w:rsidRPr="009577DE" w:rsidRDefault="00B070BF" w:rsidP="00C33D4A">
            <w:pPr>
              <w:widowControl w:val="0"/>
              <w:ind w:leftChars="54" w:left="119"/>
              <w:rPr>
                <w:sz w:val="16"/>
                <w:szCs w:val="16"/>
                <w:lang w:val="es-ES_tradnl"/>
              </w:rPr>
            </w:pPr>
          </w:p>
        </w:tc>
        <w:tc>
          <w:tcPr>
            <w:tcW w:w="1756" w:type="pct"/>
            <w:tcBorders>
              <w:bottom w:val="single" w:sz="4" w:space="0" w:color="auto"/>
            </w:tcBorders>
            <w:shd w:val="clear" w:color="auto" w:fill="FFFFFF"/>
            <w:tcMar>
              <w:top w:w="110" w:type="dxa"/>
            </w:tcMar>
          </w:tcPr>
          <w:p w:rsidR="00B070BF" w:rsidRPr="009577DE" w:rsidRDefault="00B070BF" w:rsidP="00C33D4A">
            <w:pPr>
              <w:widowControl w:val="0"/>
              <w:rPr>
                <w:sz w:val="16"/>
                <w:szCs w:val="16"/>
                <w:lang w:val="es-ES_tradnl"/>
              </w:rPr>
            </w:pPr>
            <w:r w:rsidRPr="009577DE">
              <w:rPr>
                <w:sz w:val="16"/>
                <w:szCs w:val="16"/>
                <w:lang w:val="es-ES_tradnl"/>
              </w:rPr>
              <w:t xml:space="preserve">El correo electrónico y el teléfono se integraron en el sistema de telefonía IP;  se instaló CISCO </w:t>
            </w:r>
            <w:proofErr w:type="spellStart"/>
            <w:r w:rsidRPr="009577DE">
              <w:rPr>
                <w:sz w:val="16"/>
                <w:szCs w:val="16"/>
                <w:lang w:val="es-ES_tradnl"/>
              </w:rPr>
              <w:t>Jabber</w:t>
            </w:r>
            <w:proofErr w:type="spellEnd"/>
            <w:r w:rsidRPr="009577DE">
              <w:rPr>
                <w:sz w:val="16"/>
                <w:szCs w:val="16"/>
                <w:lang w:val="es-ES_tradnl"/>
              </w:rPr>
              <w:t>.</w:t>
            </w:r>
          </w:p>
          <w:p w:rsidR="00B070BF" w:rsidRPr="009577DE" w:rsidRDefault="00B070BF" w:rsidP="00C33D4A">
            <w:pPr>
              <w:widowControl w:val="0"/>
              <w:rPr>
                <w:sz w:val="16"/>
                <w:szCs w:val="16"/>
                <w:lang w:val="es-ES_tradnl"/>
              </w:rPr>
            </w:pPr>
          </w:p>
          <w:p w:rsidR="00B070BF" w:rsidRPr="009577DE" w:rsidRDefault="00B070BF" w:rsidP="00C33D4A">
            <w:pPr>
              <w:widowControl w:val="0"/>
              <w:rPr>
                <w:sz w:val="16"/>
                <w:szCs w:val="16"/>
                <w:lang w:val="es-ES_tradnl"/>
              </w:rPr>
            </w:pPr>
          </w:p>
        </w:tc>
        <w:tc>
          <w:tcPr>
            <w:tcW w:w="497" w:type="pct"/>
            <w:tcBorders>
              <w:bottom w:val="single" w:sz="4" w:space="0" w:color="auto"/>
            </w:tcBorders>
            <w:shd w:val="clear" w:color="auto" w:fill="auto"/>
            <w:tcMar>
              <w:top w:w="110" w:type="dxa"/>
            </w:tcMar>
          </w:tcPr>
          <w:p w:rsidR="00B070BF" w:rsidRPr="009577DE" w:rsidRDefault="00B070BF" w:rsidP="00C33D4A">
            <w:pPr>
              <w:widowControl w:val="0"/>
              <w:jc w:val="center"/>
              <w:rPr>
                <w:b/>
                <w:sz w:val="16"/>
                <w:szCs w:val="16"/>
                <w:lang w:val="es-ES_tradnl"/>
              </w:rPr>
            </w:pPr>
            <w:r w:rsidRPr="009577DE">
              <w:rPr>
                <w:b/>
                <w:color w:val="008000"/>
                <w:sz w:val="16"/>
                <w:szCs w:val="16"/>
                <w:lang w:val="es-ES_tradnl"/>
              </w:rPr>
              <w:t>Progresa con normalidad</w:t>
            </w:r>
          </w:p>
          <w:p w:rsidR="00B070BF" w:rsidRPr="009577DE" w:rsidRDefault="00B070BF" w:rsidP="00C33D4A">
            <w:pPr>
              <w:widowControl w:val="0"/>
              <w:jc w:val="center"/>
              <w:rPr>
                <w:bCs/>
                <w:sz w:val="16"/>
                <w:szCs w:val="16"/>
                <w:lang w:val="es-ES_tradnl"/>
              </w:rPr>
            </w:pPr>
          </w:p>
          <w:p w:rsidR="00B070BF" w:rsidRPr="009577DE" w:rsidRDefault="00B070BF" w:rsidP="00C33D4A">
            <w:pPr>
              <w:widowControl w:val="0"/>
              <w:jc w:val="center"/>
              <w:rPr>
                <w:bCs/>
                <w:sz w:val="16"/>
                <w:szCs w:val="16"/>
                <w:lang w:val="es-ES_tradnl"/>
              </w:rPr>
            </w:pPr>
          </w:p>
        </w:tc>
      </w:tr>
      <w:tr w:rsidR="00B070BF" w:rsidRPr="009577DE" w:rsidTr="00C33D4A">
        <w:trPr>
          <w:cantSplit/>
        </w:trPr>
        <w:tc>
          <w:tcPr>
            <w:tcW w:w="5000" w:type="pct"/>
            <w:gridSpan w:val="5"/>
            <w:tcBorders>
              <w:top w:val="single" w:sz="4" w:space="0" w:color="auto"/>
              <w:bottom w:val="single" w:sz="4" w:space="0" w:color="auto"/>
            </w:tcBorders>
            <w:shd w:val="clear" w:color="auto" w:fill="CCFFFF"/>
            <w:vAlign w:val="center"/>
          </w:tcPr>
          <w:p w:rsidR="00B070BF" w:rsidRPr="009577DE" w:rsidRDefault="00B070BF" w:rsidP="00C33D4A">
            <w:pPr>
              <w:widowControl w:val="0"/>
              <w:spacing w:before="120" w:after="120"/>
              <w:ind w:left="1735" w:hanging="1735"/>
              <w:rPr>
                <w:b/>
                <w:bCs/>
                <w:sz w:val="16"/>
                <w:szCs w:val="16"/>
                <w:lang w:val="es-ES_tradnl"/>
              </w:rPr>
            </w:pPr>
            <w:r w:rsidRPr="009577DE">
              <w:rPr>
                <w:b/>
                <w:bCs/>
                <w:sz w:val="16"/>
                <w:szCs w:val="16"/>
                <w:lang w:val="es-ES_tradnl"/>
              </w:rPr>
              <w:lastRenderedPageBreak/>
              <w:t>Resultado previsto:</w:t>
            </w:r>
            <w:r w:rsidRPr="009577DE">
              <w:rPr>
                <w:b/>
                <w:bCs/>
                <w:sz w:val="16"/>
                <w:szCs w:val="16"/>
                <w:lang w:val="es-ES_tradnl"/>
              </w:rPr>
              <w:tab/>
            </w:r>
            <w:r w:rsidRPr="009577DE">
              <w:rPr>
                <w:bCs/>
                <w:sz w:val="16"/>
                <w:szCs w:val="16"/>
                <w:lang w:val="es-ES_tradnl"/>
              </w:rPr>
              <w:t xml:space="preserve"> Se garantiza la seguridad del personal de la OMPI, los delegados, los visitantes, la información y los activos físicos.</w:t>
            </w:r>
          </w:p>
        </w:tc>
      </w:tr>
      <w:tr w:rsidR="00B070BF" w:rsidRPr="009577DE" w:rsidTr="00C33D4A">
        <w:trPr>
          <w:cantSplit/>
        </w:trPr>
        <w:tc>
          <w:tcPr>
            <w:tcW w:w="1182" w:type="pct"/>
            <w:tcBorders>
              <w:top w:val="single" w:sz="4" w:space="0" w:color="auto"/>
            </w:tcBorders>
            <w:shd w:val="clear" w:color="auto" w:fill="auto"/>
            <w:vAlign w:val="center"/>
          </w:tcPr>
          <w:p w:rsidR="00B070BF" w:rsidRPr="009577DE" w:rsidRDefault="00B070BF" w:rsidP="00C33D4A">
            <w:pPr>
              <w:widowControl w:val="0"/>
              <w:spacing w:after="120"/>
              <w:rPr>
                <w:sz w:val="16"/>
                <w:szCs w:val="16"/>
                <w:lang w:val="es-ES_tradnl"/>
              </w:rPr>
            </w:pPr>
            <w:r w:rsidRPr="009577DE">
              <w:rPr>
                <w:b/>
                <w:bCs/>
                <w:sz w:val="16"/>
                <w:szCs w:val="16"/>
                <w:lang w:val="es-ES_tradnl"/>
              </w:rPr>
              <w:t>Indicadores de rendimiento</w:t>
            </w:r>
          </w:p>
        </w:tc>
        <w:tc>
          <w:tcPr>
            <w:tcW w:w="754" w:type="pct"/>
            <w:tcBorders>
              <w:top w:val="single" w:sz="4" w:space="0" w:color="auto"/>
            </w:tcBorders>
            <w:shd w:val="clear" w:color="auto" w:fill="C0C0C0"/>
          </w:tcPr>
          <w:p w:rsidR="00B070BF" w:rsidRPr="009577DE" w:rsidRDefault="00B070BF" w:rsidP="00C33D4A">
            <w:pPr>
              <w:widowControl w:val="0"/>
              <w:spacing w:after="120"/>
              <w:rPr>
                <w:b/>
                <w:bCs/>
                <w:sz w:val="16"/>
                <w:szCs w:val="16"/>
                <w:lang w:val="es-ES_tradnl"/>
              </w:rPr>
            </w:pPr>
            <w:r w:rsidRPr="009577DE">
              <w:rPr>
                <w:b/>
                <w:bCs/>
                <w:sz w:val="16"/>
                <w:szCs w:val="16"/>
                <w:lang w:val="es-ES_tradnl"/>
              </w:rPr>
              <w:t>Referencia (</w:t>
            </w:r>
            <w:proofErr w:type="spellStart"/>
            <w:r w:rsidRPr="009577DE">
              <w:rPr>
                <w:b/>
                <w:bCs/>
                <w:sz w:val="16"/>
                <w:szCs w:val="16"/>
                <w:lang w:val="es-ES_tradnl"/>
              </w:rPr>
              <w:t>Presup</w:t>
            </w:r>
            <w:proofErr w:type="spellEnd"/>
            <w:r w:rsidRPr="009577DE">
              <w:rPr>
                <w:b/>
                <w:bCs/>
                <w:sz w:val="16"/>
                <w:szCs w:val="16"/>
                <w:lang w:val="es-ES_tradnl"/>
              </w:rPr>
              <w:t xml:space="preserve">. por </w:t>
            </w:r>
            <w:proofErr w:type="spellStart"/>
            <w:r w:rsidRPr="009577DE">
              <w:rPr>
                <w:b/>
                <w:bCs/>
                <w:sz w:val="16"/>
                <w:szCs w:val="16"/>
                <w:lang w:val="es-ES_tradnl"/>
              </w:rPr>
              <w:t>prog</w:t>
            </w:r>
            <w:proofErr w:type="spellEnd"/>
            <w:r w:rsidRPr="009577DE">
              <w:rPr>
                <w:b/>
                <w:bCs/>
                <w:sz w:val="16"/>
                <w:szCs w:val="16"/>
                <w:lang w:val="es-ES_tradnl"/>
              </w:rPr>
              <w:t>. 2012/13)</w:t>
            </w:r>
          </w:p>
        </w:tc>
        <w:tc>
          <w:tcPr>
            <w:tcW w:w="811" w:type="pct"/>
            <w:tcBorders>
              <w:top w:val="single" w:sz="4" w:space="0" w:color="auto"/>
            </w:tcBorders>
            <w:shd w:val="clear" w:color="auto" w:fill="auto"/>
            <w:tcMar>
              <w:top w:w="110" w:type="dxa"/>
            </w:tcMar>
            <w:vAlign w:val="center"/>
          </w:tcPr>
          <w:p w:rsidR="00B070BF" w:rsidRPr="009577DE" w:rsidRDefault="00B070BF" w:rsidP="00C33D4A">
            <w:pPr>
              <w:widowControl w:val="0"/>
              <w:spacing w:after="120"/>
              <w:rPr>
                <w:b/>
                <w:sz w:val="16"/>
                <w:szCs w:val="16"/>
                <w:lang w:val="es-ES_tradnl"/>
              </w:rPr>
            </w:pPr>
            <w:r w:rsidRPr="00BF138D">
              <w:rPr>
                <w:b/>
                <w:color w:val="993300"/>
                <w:sz w:val="16"/>
                <w:szCs w:val="16"/>
                <w:lang w:val="es-ES_tradnl"/>
              </w:rPr>
              <w:t>Referencia actualizada a finales de 2011</w:t>
            </w:r>
            <w:r w:rsidRPr="009577DE">
              <w:rPr>
                <w:b/>
                <w:sz w:val="16"/>
                <w:szCs w:val="16"/>
                <w:lang w:val="es-ES_tradnl"/>
              </w:rPr>
              <w:t xml:space="preserve"> </w:t>
            </w:r>
          </w:p>
        </w:tc>
        <w:tc>
          <w:tcPr>
            <w:tcW w:w="1756" w:type="pct"/>
            <w:tcBorders>
              <w:top w:val="single" w:sz="4" w:space="0" w:color="auto"/>
            </w:tcBorders>
            <w:shd w:val="clear" w:color="auto" w:fill="FFFFFF"/>
            <w:tcMar>
              <w:top w:w="110" w:type="dxa"/>
            </w:tcMar>
            <w:vAlign w:val="center"/>
          </w:tcPr>
          <w:p w:rsidR="00B070BF" w:rsidRPr="009577DE" w:rsidRDefault="00B070BF" w:rsidP="00C33D4A">
            <w:pPr>
              <w:widowControl w:val="0"/>
              <w:spacing w:after="120"/>
              <w:rPr>
                <w:sz w:val="16"/>
                <w:szCs w:val="16"/>
                <w:lang w:val="es-ES_tradnl"/>
              </w:rPr>
            </w:pPr>
            <w:r w:rsidRPr="009577DE">
              <w:rPr>
                <w:b/>
                <w:bCs/>
                <w:sz w:val="16"/>
                <w:szCs w:val="16"/>
                <w:lang w:val="es-ES_tradnl"/>
              </w:rPr>
              <w:t>Datos sobre el rendimiento</w:t>
            </w:r>
          </w:p>
        </w:tc>
        <w:tc>
          <w:tcPr>
            <w:tcW w:w="497" w:type="pct"/>
            <w:tcBorders>
              <w:top w:val="single" w:sz="4" w:space="0" w:color="auto"/>
            </w:tcBorders>
            <w:shd w:val="clear" w:color="auto" w:fill="auto"/>
            <w:tcMar>
              <w:top w:w="110" w:type="dxa"/>
            </w:tcMar>
            <w:vAlign w:val="center"/>
          </w:tcPr>
          <w:p w:rsidR="00B070BF" w:rsidRPr="009577DE" w:rsidRDefault="00B070BF" w:rsidP="00C33D4A">
            <w:pPr>
              <w:widowControl w:val="0"/>
              <w:spacing w:after="120"/>
              <w:jc w:val="center"/>
              <w:rPr>
                <w:b/>
                <w:bCs/>
                <w:sz w:val="16"/>
                <w:szCs w:val="16"/>
                <w:lang w:val="es-ES_tradnl"/>
              </w:rPr>
            </w:pPr>
            <w:r w:rsidRPr="009577DE">
              <w:rPr>
                <w:b/>
                <w:bCs/>
                <w:sz w:val="16"/>
                <w:szCs w:val="16"/>
                <w:lang w:val="es-ES_tradnl"/>
              </w:rPr>
              <w:t>Clave de colores</w:t>
            </w:r>
          </w:p>
        </w:tc>
      </w:tr>
      <w:tr w:rsidR="00B070BF" w:rsidRPr="009577DE" w:rsidTr="00C33D4A">
        <w:trPr>
          <w:cantSplit/>
        </w:trPr>
        <w:tc>
          <w:tcPr>
            <w:tcW w:w="1182" w:type="pct"/>
            <w:shd w:val="clear" w:color="auto" w:fill="auto"/>
          </w:tcPr>
          <w:p w:rsidR="00B070BF" w:rsidRPr="009577DE" w:rsidRDefault="00B070BF" w:rsidP="00C33D4A">
            <w:pPr>
              <w:widowControl w:val="0"/>
              <w:ind w:leftChars="-11" w:left="-24"/>
              <w:rPr>
                <w:sz w:val="16"/>
                <w:szCs w:val="16"/>
                <w:lang w:val="es-ES_tradnl"/>
              </w:rPr>
            </w:pPr>
            <w:r w:rsidRPr="009577DE">
              <w:rPr>
                <w:sz w:val="16"/>
                <w:szCs w:val="16"/>
                <w:lang w:val="es-ES_tradnl"/>
              </w:rPr>
              <w:t>Exhaustividad y pertinencia de la serie de políticas, procedimientos y normas de seguridad de la información.</w:t>
            </w:r>
          </w:p>
          <w:p w:rsidR="00B070BF" w:rsidRPr="009577DE" w:rsidRDefault="00B070BF" w:rsidP="00C33D4A">
            <w:pPr>
              <w:widowControl w:val="0"/>
              <w:ind w:leftChars="-11" w:left="-24"/>
              <w:rPr>
                <w:sz w:val="16"/>
                <w:szCs w:val="16"/>
                <w:lang w:val="es-ES_tradnl"/>
              </w:rPr>
            </w:pPr>
          </w:p>
        </w:tc>
        <w:tc>
          <w:tcPr>
            <w:tcW w:w="754" w:type="pct"/>
            <w:shd w:val="clear" w:color="auto" w:fill="C0C0C0"/>
          </w:tcPr>
          <w:p w:rsidR="00B070BF" w:rsidRPr="009577DE" w:rsidRDefault="00B070BF" w:rsidP="00C33D4A">
            <w:pPr>
              <w:widowControl w:val="0"/>
              <w:ind w:leftChars="-11" w:left="-24"/>
              <w:rPr>
                <w:sz w:val="16"/>
                <w:szCs w:val="16"/>
                <w:lang w:val="es-ES_tradnl"/>
              </w:rPr>
            </w:pPr>
            <w:r w:rsidRPr="009577DE">
              <w:rPr>
                <w:sz w:val="16"/>
                <w:szCs w:val="16"/>
                <w:lang w:val="es-ES_tradnl"/>
              </w:rPr>
              <w:t>Ocho políticas en curso de revisión.</w:t>
            </w:r>
          </w:p>
        </w:tc>
        <w:tc>
          <w:tcPr>
            <w:tcW w:w="811" w:type="pct"/>
            <w:shd w:val="clear" w:color="auto" w:fill="auto"/>
            <w:tcMar>
              <w:top w:w="110" w:type="dxa"/>
            </w:tcMar>
          </w:tcPr>
          <w:p w:rsidR="00B070BF" w:rsidRPr="009577DE" w:rsidRDefault="00B070BF" w:rsidP="00C33D4A">
            <w:pPr>
              <w:widowControl w:val="0"/>
              <w:ind w:leftChars="54" w:left="119"/>
              <w:rPr>
                <w:sz w:val="16"/>
                <w:szCs w:val="16"/>
                <w:lang w:val="es-ES_tradnl"/>
              </w:rPr>
            </w:pPr>
          </w:p>
        </w:tc>
        <w:tc>
          <w:tcPr>
            <w:tcW w:w="1756" w:type="pct"/>
            <w:shd w:val="clear" w:color="auto" w:fill="FFFFFF"/>
            <w:tcMar>
              <w:top w:w="110" w:type="dxa"/>
            </w:tcMar>
          </w:tcPr>
          <w:p w:rsidR="00B070BF" w:rsidRPr="009577DE" w:rsidRDefault="00B070BF" w:rsidP="00C33D4A">
            <w:pPr>
              <w:widowControl w:val="0"/>
              <w:rPr>
                <w:sz w:val="16"/>
                <w:szCs w:val="16"/>
                <w:lang w:val="es-ES_tradnl" w:bidi="th-TH"/>
              </w:rPr>
            </w:pPr>
            <w:r w:rsidRPr="009577DE">
              <w:rPr>
                <w:sz w:val="16"/>
                <w:szCs w:val="16"/>
                <w:lang w:val="es-ES_tradnl" w:bidi="th-TH"/>
              </w:rPr>
              <w:t>Se publicaron seis políticas actualizadas.</w:t>
            </w:r>
          </w:p>
          <w:p w:rsidR="00B070BF" w:rsidRPr="009577DE" w:rsidRDefault="00B070BF" w:rsidP="00C33D4A">
            <w:pPr>
              <w:widowControl w:val="0"/>
              <w:rPr>
                <w:sz w:val="16"/>
                <w:szCs w:val="16"/>
                <w:lang w:val="es-ES_tradnl" w:bidi="th-TH"/>
              </w:rPr>
            </w:pPr>
          </w:p>
          <w:p w:rsidR="00B070BF" w:rsidRPr="009577DE" w:rsidRDefault="00B070BF" w:rsidP="00C33D4A">
            <w:pPr>
              <w:widowControl w:val="0"/>
              <w:rPr>
                <w:sz w:val="16"/>
                <w:szCs w:val="16"/>
                <w:lang w:val="es-ES_tradnl" w:bidi="th-TH"/>
              </w:rPr>
            </w:pPr>
            <w:r w:rsidRPr="009577DE">
              <w:rPr>
                <w:sz w:val="16"/>
                <w:szCs w:val="16"/>
                <w:lang w:val="es-ES_tradnl" w:bidi="th-TH"/>
              </w:rPr>
              <w:t>Se revisaron cinco políticas</w:t>
            </w:r>
          </w:p>
          <w:p w:rsidR="00B070BF" w:rsidRPr="009577DE" w:rsidRDefault="00B070BF" w:rsidP="00C33D4A">
            <w:pPr>
              <w:widowControl w:val="0"/>
              <w:rPr>
                <w:sz w:val="16"/>
                <w:szCs w:val="16"/>
                <w:lang w:val="es-ES_tradnl" w:bidi="th-TH"/>
              </w:rPr>
            </w:pPr>
          </w:p>
          <w:p w:rsidR="00B070BF" w:rsidRPr="009577DE" w:rsidRDefault="00B070BF" w:rsidP="00C33D4A">
            <w:pPr>
              <w:widowControl w:val="0"/>
              <w:rPr>
                <w:sz w:val="16"/>
                <w:szCs w:val="16"/>
                <w:lang w:val="es-ES_tradnl" w:bidi="th-TH"/>
              </w:rPr>
            </w:pPr>
            <w:r w:rsidRPr="009577DE">
              <w:rPr>
                <w:sz w:val="16"/>
                <w:szCs w:val="16"/>
                <w:lang w:val="es-ES_tradnl" w:bidi="th-TH"/>
              </w:rPr>
              <w:t xml:space="preserve">En la segunda mitad de 2012 se comenzó a trabajar en la certificación ISO 27001, lo que dio lugar a una revisión completa del programa de seguridad de la información.  Por ese motivo, no se publicaron más actualizaciones de políticas.  El proceso actualmente en curso proporcionará entre 15 y 18 políticas que abarcan la totalidad de los 133 ámbitos de control de la norma ISO, de los que 6 han necesitado una profunda reformulación.  </w:t>
            </w:r>
          </w:p>
          <w:p w:rsidR="00B070BF" w:rsidRPr="009577DE" w:rsidRDefault="00B070BF" w:rsidP="00C33D4A">
            <w:pPr>
              <w:widowControl w:val="0"/>
              <w:rPr>
                <w:sz w:val="16"/>
                <w:szCs w:val="16"/>
                <w:lang w:val="es-ES_tradnl" w:bidi="th-TH"/>
              </w:rPr>
            </w:pPr>
          </w:p>
          <w:p w:rsidR="00B070BF" w:rsidRPr="009577DE" w:rsidRDefault="00B070BF" w:rsidP="00C33D4A">
            <w:pPr>
              <w:widowControl w:val="0"/>
              <w:rPr>
                <w:sz w:val="16"/>
                <w:szCs w:val="16"/>
                <w:lang w:val="es-ES_tradnl" w:bidi="th-TH"/>
              </w:rPr>
            </w:pPr>
          </w:p>
          <w:p w:rsidR="00B070BF" w:rsidRPr="009577DE" w:rsidRDefault="00B070BF" w:rsidP="00C33D4A">
            <w:pPr>
              <w:widowControl w:val="0"/>
              <w:rPr>
                <w:sz w:val="16"/>
                <w:szCs w:val="16"/>
                <w:lang w:val="es-ES_tradnl"/>
              </w:rPr>
            </w:pPr>
          </w:p>
        </w:tc>
        <w:tc>
          <w:tcPr>
            <w:tcW w:w="497" w:type="pct"/>
            <w:shd w:val="clear" w:color="auto" w:fill="auto"/>
            <w:tcMar>
              <w:top w:w="110" w:type="dxa"/>
            </w:tcMar>
          </w:tcPr>
          <w:p w:rsidR="00B070BF" w:rsidRPr="009577DE" w:rsidRDefault="00B070BF" w:rsidP="00C33D4A">
            <w:pPr>
              <w:widowControl w:val="0"/>
              <w:jc w:val="center"/>
              <w:rPr>
                <w:b/>
                <w:sz w:val="16"/>
                <w:szCs w:val="16"/>
                <w:lang w:val="es-ES_tradnl"/>
              </w:rPr>
            </w:pPr>
            <w:r w:rsidRPr="009577DE">
              <w:rPr>
                <w:b/>
                <w:color w:val="008000"/>
                <w:sz w:val="16"/>
                <w:szCs w:val="16"/>
                <w:lang w:val="es-ES_tradnl"/>
              </w:rPr>
              <w:t>Progresa con normalidad</w:t>
            </w:r>
          </w:p>
          <w:p w:rsidR="00B070BF" w:rsidRPr="009577DE" w:rsidRDefault="00B070BF" w:rsidP="00C33D4A">
            <w:pPr>
              <w:widowControl w:val="0"/>
              <w:jc w:val="center"/>
              <w:rPr>
                <w:bCs/>
                <w:sz w:val="16"/>
                <w:szCs w:val="16"/>
                <w:lang w:val="es-ES_tradnl"/>
              </w:rPr>
            </w:pPr>
          </w:p>
          <w:p w:rsidR="00B070BF" w:rsidRPr="009577DE" w:rsidRDefault="00B070BF" w:rsidP="00C33D4A">
            <w:pPr>
              <w:widowControl w:val="0"/>
              <w:jc w:val="center"/>
              <w:rPr>
                <w:bCs/>
                <w:sz w:val="16"/>
                <w:szCs w:val="16"/>
                <w:lang w:val="es-ES_tradnl"/>
              </w:rPr>
            </w:pPr>
          </w:p>
        </w:tc>
      </w:tr>
      <w:tr w:rsidR="00B070BF" w:rsidRPr="009577DE" w:rsidTr="00C33D4A">
        <w:trPr>
          <w:cantSplit/>
        </w:trPr>
        <w:tc>
          <w:tcPr>
            <w:tcW w:w="1182" w:type="pct"/>
            <w:shd w:val="clear" w:color="auto" w:fill="auto"/>
          </w:tcPr>
          <w:p w:rsidR="00B070BF" w:rsidRPr="009577DE" w:rsidRDefault="00B070BF" w:rsidP="00C33D4A">
            <w:pPr>
              <w:widowControl w:val="0"/>
              <w:ind w:leftChars="-11" w:left="-24"/>
              <w:rPr>
                <w:sz w:val="16"/>
                <w:szCs w:val="16"/>
                <w:lang w:val="es-ES_tradnl"/>
              </w:rPr>
            </w:pPr>
            <w:r w:rsidRPr="009577DE">
              <w:rPr>
                <w:sz w:val="16"/>
                <w:szCs w:val="16"/>
                <w:lang w:val="es-ES_tradnl"/>
              </w:rPr>
              <w:t>Se mantiene actualizado el registro de riesgos relativo a la seguridad de la información.</w:t>
            </w:r>
          </w:p>
        </w:tc>
        <w:tc>
          <w:tcPr>
            <w:tcW w:w="754" w:type="pct"/>
            <w:shd w:val="clear" w:color="auto" w:fill="C0C0C0"/>
          </w:tcPr>
          <w:p w:rsidR="00B070BF" w:rsidRPr="009577DE" w:rsidRDefault="00B070BF" w:rsidP="00C33D4A">
            <w:pPr>
              <w:widowControl w:val="0"/>
              <w:ind w:leftChars="-11" w:left="-24"/>
              <w:rPr>
                <w:sz w:val="16"/>
                <w:szCs w:val="16"/>
                <w:lang w:val="es-ES_tradnl"/>
              </w:rPr>
            </w:pPr>
            <w:r w:rsidRPr="009577DE">
              <w:rPr>
                <w:sz w:val="16"/>
                <w:szCs w:val="16"/>
                <w:lang w:val="es-ES_tradnl"/>
              </w:rPr>
              <w:t xml:space="preserve">Creación del registro de riesgos </w:t>
            </w:r>
          </w:p>
        </w:tc>
        <w:tc>
          <w:tcPr>
            <w:tcW w:w="811" w:type="pct"/>
            <w:shd w:val="clear" w:color="auto" w:fill="auto"/>
            <w:tcMar>
              <w:top w:w="110" w:type="dxa"/>
            </w:tcMar>
          </w:tcPr>
          <w:p w:rsidR="00B070BF" w:rsidRPr="009577DE" w:rsidRDefault="00B070BF" w:rsidP="00C33D4A">
            <w:pPr>
              <w:widowControl w:val="0"/>
              <w:ind w:leftChars="54" w:left="119"/>
              <w:rPr>
                <w:sz w:val="16"/>
                <w:szCs w:val="16"/>
                <w:lang w:val="es-ES_tradnl"/>
              </w:rPr>
            </w:pPr>
          </w:p>
        </w:tc>
        <w:tc>
          <w:tcPr>
            <w:tcW w:w="1756" w:type="pct"/>
            <w:shd w:val="clear" w:color="auto" w:fill="FFFFFF"/>
            <w:tcMar>
              <w:top w:w="110" w:type="dxa"/>
            </w:tcMar>
          </w:tcPr>
          <w:p w:rsidR="00B070BF" w:rsidRPr="009577DE" w:rsidRDefault="00B070BF" w:rsidP="00C33D4A">
            <w:pPr>
              <w:widowControl w:val="0"/>
              <w:rPr>
                <w:sz w:val="16"/>
                <w:szCs w:val="16"/>
                <w:lang w:val="es-ES_tradnl"/>
              </w:rPr>
            </w:pPr>
            <w:r w:rsidRPr="009577DE">
              <w:rPr>
                <w:sz w:val="16"/>
                <w:szCs w:val="16"/>
                <w:lang w:val="es-ES_tradnl"/>
              </w:rPr>
              <w:t xml:space="preserve">Se ha creado y actualizado un registro de riesgos. </w:t>
            </w:r>
          </w:p>
        </w:tc>
        <w:tc>
          <w:tcPr>
            <w:tcW w:w="497" w:type="pct"/>
            <w:shd w:val="clear" w:color="auto" w:fill="auto"/>
            <w:tcMar>
              <w:top w:w="110" w:type="dxa"/>
            </w:tcMar>
          </w:tcPr>
          <w:p w:rsidR="00B070BF" w:rsidRPr="009577DE" w:rsidRDefault="00B070BF" w:rsidP="00C33D4A">
            <w:pPr>
              <w:widowControl w:val="0"/>
              <w:jc w:val="center"/>
              <w:rPr>
                <w:b/>
                <w:sz w:val="16"/>
                <w:szCs w:val="16"/>
                <w:lang w:val="es-ES_tradnl"/>
              </w:rPr>
            </w:pPr>
            <w:r w:rsidRPr="009577DE">
              <w:rPr>
                <w:b/>
                <w:color w:val="008000"/>
                <w:sz w:val="16"/>
                <w:szCs w:val="16"/>
                <w:lang w:val="es-ES_tradnl"/>
              </w:rPr>
              <w:t>Progresa con normalidad</w:t>
            </w:r>
          </w:p>
          <w:p w:rsidR="00B070BF" w:rsidRPr="009577DE" w:rsidRDefault="00B070BF" w:rsidP="00C33D4A">
            <w:pPr>
              <w:widowControl w:val="0"/>
              <w:jc w:val="center"/>
              <w:rPr>
                <w:b/>
                <w:sz w:val="16"/>
                <w:szCs w:val="16"/>
                <w:lang w:val="es-ES_tradnl"/>
              </w:rPr>
            </w:pPr>
          </w:p>
          <w:p w:rsidR="00B070BF" w:rsidRPr="009577DE" w:rsidRDefault="00B070BF" w:rsidP="00C33D4A">
            <w:pPr>
              <w:widowControl w:val="0"/>
              <w:jc w:val="center"/>
              <w:rPr>
                <w:bCs/>
                <w:sz w:val="16"/>
                <w:szCs w:val="16"/>
                <w:lang w:val="es-ES_tradnl"/>
              </w:rPr>
            </w:pPr>
          </w:p>
        </w:tc>
      </w:tr>
    </w:tbl>
    <w:p w:rsidR="00B070BF" w:rsidRPr="009577DE" w:rsidRDefault="00B070BF" w:rsidP="00B070BF">
      <w:pPr>
        <w:widowControl w:val="0"/>
        <w:rPr>
          <w:sz w:val="20"/>
          <w:lang w:val="es-ES_tradnl"/>
        </w:rPr>
      </w:pPr>
    </w:p>
    <w:p w:rsidR="00B070BF" w:rsidRPr="009577DE" w:rsidRDefault="00B070BF" w:rsidP="00B070BF">
      <w:pPr>
        <w:widowControl w:val="0"/>
        <w:rPr>
          <w:b/>
          <w:sz w:val="20"/>
          <w:lang w:val="es-ES_tradnl"/>
        </w:rPr>
      </w:pPr>
    </w:p>
    <w:p w:rsidR="00B070BF" w:rsidRPr="009577DE" w:rsidRDefault="00B070BF" w:rsidP="00B070BF">
      <w:pPr>
        <w:widowControl w:val="0"/>
        <w:rPr>
          <w:sz w:val="20"/>
          <w:lang w:val="es-ES_tradnl"/>
        </w:rPr>
      </w:pPr>
      <w:r w:rsidRPr="009577DE">
        <w:rPr>
          <w:sz w:val="20"/>
          <w:lang w:val="es-ES_tradnl"/>
        </w:rPr>
        <w:t>PRESUPUESTO Y GASTOS REALES</w:t>
      </w:r>
    </w:p>
    <w:p w:rsidR="00B070BF" w:rsidRPr="006964C6" w:rsidRDefault="00B070BF" w:rsidP="00B070BF">
      <w:pPr>
        <w:widowControl w:val="0"/>
        <w:rPr>
          <w:sz w:val="20"/>
          <w:lang w:val="es-ES_tradnl"/>
        </w:rPr>
      </w:pPr>
    </w:p>
    <w:p w:rsidR="00B070BF" w:rsidRPr="006964C6" w:rsidRDefault="00B070BF" w:rsidP="00B070BF">
      <w:pPr>
        <w:widowControl w:val="0"/>
        <w:jc w:val="center"/>
        <w:rPr>
          <w:sz w:val="20"/>
          <w:lang w:val="es-ES_tradnl"/>
        </w:rPr>
      </w:pPr>
      <w:r w:rsidRPr="006964C6">
        <w:rPr>
          <w:sz w:val="20"/>
          <w:lang w:val="es-ES_tradnl"/>
        </w:rPr>
        <w:t>Presupuesto y gastos reales (por resultado)</w:t>
      </w:r>
    </w:p>
    <w:p w:rsidR="00B070BF" w:rsidRPr="009577DE" w:rsidRDefault="00B070BF" w:rsidP="00B070BF">
      <w:pPr>
        <w:widowControl w:val="0"/>
        <w:jc w:val="center"/>
        <w:rPr>
          <w:sz w:val="20"/>
          <w:lang w:val="es-ES_tradnl"/>
        </w:rPr>
      </w:pPr>
      <w:r w:rsidRPr="006964C6">
        <w:rPr>
          <w:i/>
          <w:iCs/>
          <w:sz w:val="20"/>
          <w:lang w:val="es-ES_tradnl"/>
        </w:rPr>
        <w:t>(en miles de francos suizos)</w:t>
      </w:r>
      <w:r w:rsidRPr="006964C6">
        <w:rPr>
          <w:i/>
          <w:iCs/>
          <w:sz w:val="20"/>
          <w:lang w:val="es-ES_tradnl"/>
        </w:rPr>
        <w:br/>
      </w:r>
      <w:r w:rsidRPr="006964C6">
        <w:rPr>
          <w:i/>
          <w:iCs/>
          <w:sz w:val="20"/>
          <w:lang w:val="es-ES_tradnl"/>
        </w:rPr>
        <w:br/>
      </w:r>
      <w:r w:rsidRPr="009577DE">
        <w:rPr>
          <w:noProof/>
          <w:lang w:val="en-US" w:eastAsia="en-US"/>
        </w:rPr>
        <w:drawing>
          <wp:inline distT="0" distB="0" distL="0" distR="0" wp14:anchorId="0D3AB627" wp14:editId="206AACCB">
            <wp:extent cx="5902325" cy="1947545"/>
            <wp:effectExtent l="0" t="0" r="3175" b="0"/>
            <wp:docPr id="24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902325" cy="1947545"/>
                    </a:xfrm>
                    <a:prstGeom prst="rect">
                      <a:avLst/>
                    </a:prstGeom>
                    <a:noFill/>
                    <a:ln>
                      <a:noFill/>
                    </a:ln>
                  </pic:spPr>
                </pic:pic>
              </a:graphicData>
            </a:graphic>
          </wp:inline>
        </w:drawing>
      </w:r>
    </w:p>
    <w:p w:rsidR="00B070BF" w:rsidRPr="009577DE" w:rsidRDefault="00B070BF" w:rsidP="00B070BF">
      <w:pPr>
        <w:widowControl w:val="0"/>
        <w:jc w:val="center"/>
        <w:rPr>
          <w:szCs w:val="22"/>
          <w:lang w:val="es-ES_tradnl"/>
        </w:rPr>
      </w:pPr>
    </w:p>
    <w:p w:rsidR="00B070BF" w:rsidRDefault="00B070BF" w:rsidP="00B070BF">
      <w:pPr>
        <w:rPr>
          <w:sz w:val="20"/>
          <w:lang w:val="es-ES_tradnl"/>
        </w:rPr>
      </w:pPr>
      <w:r>
        <w:rPr>
          <w:sz w:val="20"/>
          <w:lang w:val="es-ES_tradnl"/>
        </w:rPr>
        <w:br w:type="page"/>
      </w:r>
    </w:p>
    <w:p w:rsidR="00B070BF" w:rsidRPr="006964C6" w:rsidRDefault="00B070BF" w:rsidP="00B070BF">
      <w:pPr>
        <w:widowControl w:val="0"/>
        <w:jc w:val="center"/>
        <w:rPr>
          <w:sz w:val="20"/>
          <w:lang w:val="es-ES_tradnl"/>
        </w:rPr>
      </w:pPr>
    </w:p>
    <w:p w:rsidR="00B070BF" w:rsidRPr="009577DE" w:rsidRDefault="00B070BF" w:rsidP="00B070BF">
      <w:pPr>
        <w:widowControl w:val="0"/>
        <w:jc w:val="center"/>
        <w:rPr>
          <w:sz w:val="20"/>
          <w:lang w:val="es-ES_tradnl"/>
        </w:rPr>
      </w:pPr>
      <w:r w:rsidRPr="006964C6">
        <w:rPr>
          <w:sz w:val="20"/>
          <w:lang w:val="es-ES_tradnl"/>
        </w:rPr>
        <w:t>Presupuesto y gastos reales (de personal y no relativos al personal)</w:t>
      </w:r>
      <w:r w:rsidRPr="006964C6">
        <w:rPr>
          <w:sz w:val="20"/>
          <w:lang w:val="es-ES_tradnl"/>
        </w:rPr>
        <w:br/>
      </w:r>
      <w:r w:rsidRPr="006964C6">
        <w:rPr>
          <w:i/>
          <w:sz w:val="20"/>
          <w:lang w:val="es-ES_tradnl"/>
        </w:rPr>
        <w:t>(en miles de francos suizos)</w:t>
      </w:r>
      <w:r w:rsidRPr="006964C6">
        <w:rPr>
          <w:sz w:val="20"/>
          <w:lang w:val="es-ES_tradnl"/>
        </w:rPr>
        <w:br/>
      </w:r>
      <w:r w:rsidRPr="006964C6">
        <w:rPr>
          <w:sz w:val="20"/>
          <w:lang w:val="es-ES_tradnl"/>
        </w:rPr>
        <w:br/>
      </w:r>
      <w:r w:rsidRPr="009577DE">
        <w:rPr>
          <w:noProof/>
          <w:lang w:val="en-US" w:eastAsia="en-US"/>
        </w:rPr>
        <w:drawing>
          <wp:inline distT="0" distB="0" distL="0" distR="0" wp14:anchorId="3773AB2F" wp14:editId="6B7AEFD5">
            <wp:extent cx="5902325" cy="1187450"/>
            <wp:effectExtent l="0" t="0" r="3175" b="0"/>
            <wp:docPr id="247" name="Pictur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5902325" cy="1187450"/>
                    </a:xfrm>
                    <a:prstGeom prst="rect">
                      <a:avLst/>
                    </a:prstGeom>
                    <a:noFill/>
                    <a:ln>
                      <a:noFill/>
                    </a:ln>
                  </pic:spPr>
                </pic:pic>
              </a:graphicData>
            </a:graphic>
          </wp:inline>
        </w:drawing>
      </w:r>
    </w:p>
    <w:p w:rsidR="00B070BF" w:rsidRPr="009577DE" w:rsidRDefault="00B070BF" w:rsidP="00B070BF">
      <w:pPr>
        <w:widowControl w:val="0"/>
        <w:rPr>
          <w:lang w:val="es-ES_tradnl"/>
        </w:rPr>
      </w:pPr>
    </w:p>
    <w:p w:rsidR="00B070BF" w:rsidRPr="009577DE" w:rsidRDefault="00B070BF" w:rsidP="00B070BF">
      <w:pPr>
        <w:widowControl w:val="0"/>
        <w:rPr>
          <w:sz w:val="20"/>
          <w:lang w:val="es-ES_tradnl"/>
        </w:rPr>
      </w:pPr>
    </w:p>
    <w:p w:rsidR="00B070BF" w:rsidRPr="009577DE" w:rsidRDefault="00B070BF" w:rsidP="00B070BF">
      <w:pPr>
        <w:widowControl w:val="0"/>
        <w:autoSpaceDE w:val="0"/>
        <w:autoSpaceDN w:val="0"/>
        <w:adjustRightInd w:val="0"/>
        <w:rPr>
          <w:sz w:val="16"/>
          <w:szCs w:val="16"/>
          <w:lang w:val="es-ES_tradnl"/>
        </w:rPr>
      </w:pPr>
      <w:r w:rsidRPr="007C3E0F">
        <w:rPr>
          <w:sz w:val="16"/>
          <w:szCs w:val="16"/>
          <w:lang w:val="es-ES_tradnl"/>
        </w:rPr>
        <w:t>NOTAS:</w:t>
      </w:r>
    </w:p>
    <w:p w:rsidR="00B070BF" w:rsidRPr="009577DE" w:rsidRDefault="00B070BF" w:rsidP="00B070BF">
      <w:pPr>
        <w:widowControl w:val="0"/>
        <w:autoSpaceDE w:val="0"/>
        <w:autoSpaceDN w:val="0"/>
        <w:adjustRightInd w:val="0"/>
        <w:rPr>
          <w:sz w:val="16"/>
          <w:szCs w:val="16"/>
          <w:lang w:val="es-ES_tradnl"/>
        </w:rPr>
      </w:pPr>
    </w:p>
    <w:p w:rsidR="00B070BF" w:rsidRPr="009577DE" w:rsidRDefault="00B070BF" w:rsidP="00B070BF">
      <w:pPr>
        <w:widowControl w:val="0"/>
        <w:autoSpaceDE w:val="0"/>
        <w:autoSpaceDN w:val="0"/>
        <w:adjustRightInd w:val="0"/>
        <w:rPr>
          <w:sz w:val="16"/>
          <w:szCs w:val="16"/>
          <w:lang w:val="es-ES_tradnl"/>
        </w:rPr>
      </w:pPr>
      <w:r w:rsidRPr="009577DE">
        <w:rPr>
          <w:sz w:val="16"/>
          <w:szCs w:val="16"/>
          <w:lang w:val="es-ES_tradnl"/>
        </w:rPr>
        <w:t>1) El presupuesto después de las transferencias refleja el presupuesto de los programas ajustado después de las transferencias efectuadas en 2012/13 en virtud del artículo 5.5 del Reglamento Financiero.</w:t>
      </w:r>
    </w:p>
    <w:p w:rsidR="00B070BF" w:rsidRPr="009577DE" w:rsidRDefault="00B070BF" w:rsidP="00B070BF">
      <w:pPr>
        <w:widowControl w:val="0"/>
        <w:autoSpaceDE w:val="0"/>
        <w:autoSpaceDN w:val="0"/>
        <w:adjustRightInd w:val="0"/>
        <w:rPr>
          <w:sz w:val="16"/>
          <w:szCs w:val="16"/>
          <w:lang w:val="es-ES_tradnl"/>
        </w:rPr>
      </w:pPr>
    </w:p>
    <w:p w:rsidR="00B070BF" w:rsidRPr="009577DE" w:rsidRDefault="00B070BF" w:rsidP="00B070BF">
      <w:pPr>
        <w:widowControl w:val="0"/>
        <w:autoSpaceDE w:val="0"/>
        <w:autoSpaceDN w:val="0"/>
        <w:adjustRightInd w:val="0"/>
        <w:rPr>
          <w:sz w:val="16"/>
          <w:szCs w:val="16"/>
          <w:lang w:val="es-ES_tradnl"/>
        </w:rPr>
      </w:pPr>
      <w:r w:rsidRPr="009577DE">
        <w:rPr>
          <w:sz w:val="16"/>
          <w:szCs w:val="16"/>
          <w:lang w:val="es-ES_tradnl"/>
        </w:rPr>
        <w:t xml:space="preserve">2) La asignación para el personal del presupuesto de 2012/13 después de las transferencias representa los gastos reales efectuados hasta el 31 de marzo de 2013 y los importes presupuestados para los nueve meses restantes de 2013, sobre la base de costos estándar. </w:t>
      </w:r>
    </w:p>
    <w:p w:rsidR="00B070BF" w:rsidRPr="009577DE" w:rsidRDefault="00B070BF" w:rsidP="00B070BF">
      <w:pPr>
        <w:widowControl w:val="0"/>
        <w:autoSpaceDE w:val="0"/>
        <w:autoSpaceDN w:val="0"/>
        <w:adjustRightInd w:val="0"/>
        <w:rPr>
          <w:sz w:val="16"/>
          <w:szCs w:val="16"/>
          <w:lang w:val="es-ES_tradnl"/>
        </w:rPr>
      </w:pPr>
    </w:p>
    <w:p w:rsidR="00B070BF" w:rsidRPr="009577DE" w:rsidRDefault="00B070BF" w:rsidP="00B070BF">
      <w:pPr>
        <w:widowControl w:val="0"/>
        <w:autoSpaceDE w:val="0"/>
        <w:autoSpaceDN w:val="0"/>
        <w:adjustRightInd w:val="0"/>
        <w:rPr>
          <w:sz w:val="16"/>
          <w:szCs w:val="16"/>
          <w:lang w:val="es-ES_tradnl"/>
        </w:rPr>
      </w:pPr>
      <w:r w:rsidRPr="009577DE">
        <w:rPr>
          <w:sz w:val="16"/>
          <w:szCs w:val="16"/>
          <w:lang w:val="es-ES_tradnl"/>
        </w:rPr>
        <w:t>3) La asignación no relativa al personal del presupuesto de 2012/13 después de las transferencias refleja los ajustes a la baja efectuados para aumentar la eficacia en función de los costos, de conformidad con el compromiso de la Organización de reducir gastos por un importe de 10,2 millones de francos suizos en el bienio 2012/13.</w:t>
      </w:r>
    </w:p>
    <w:p w:rsidR="00B070BF" w:rsidRPr="009577DE" w:rsidRDefault="00B070BF" w:rsidP="00B070BF">
      <w:pPr>
        <w:widowControl w:val="0"/>
        <w:rPr>
          <w:sz w:val="20"/>
          <w:lang w:val="es-ES_tradnl"/>
        </w:rPr>
      </w:pPr>
    </w:p>
    <w:p w:rsidR="00B070BF" w:rsidRPr="009577DE" w:rsidRDefault="00B070BF" w:rsidP="00B070BF">
      <w:pPr>
        <w:widowControl w:val="0"/>
        <w:rPr>
          <w:sz w:val="20"/>
          <w:lang w:val="es-ES_tradnl"/>
        </w:rPr>
      </w:pPr>
    </w:p>
    <w:p w:rsidR="00B070BF" w:rsidRPr="009577DE" w:rsidRDefault="00B070BF" w:rsidP="00B070BF">
      <w:pPr>
        <w:widowControl w:val="0"/>
        <w:rPr>
          <w:sz w:val="20"/>
          <w:u w:val="single"/>
          <w:lang w:val="es-ES_tradnl"/>
        </w:rPr>
      </w:pPr>
      <w:r>
        <w:rPr>
          <w:sz w:val="20"/>
          <w:lang w:val="es-ES_tradnl"/>
        </w:rPr>
        <w:t xml:space="preserve">A.  </w:t>
      </w:r>
      <w:r w:rsidRPr="009577DE">
        <w:rPr>
          <w:sz w:val="20"/>
          <w:u w:val="single"/>
          <w:lang w:val="es-ES_tradnl"/>
        </w:rPr>
        <w:t xml:space="preserve">Presupuesto </w:t>
      </w:r>
      <w:r>
        <w:rPr>
          <w:sz w:val="20"/>
          <w:u w:val="single"/>
          <w:lang w:val="es-ES_tradnl"/>
        </w:rPr>
        <w:t>2012/13</w:t>
      </w:r>
      <w:r w:rsidRPr="009577DE">
        <w:rPr>
          <w:sz w:val="20"/>
          <w:u w:val="single"/>
          <w:lang w:val="es-ES_tradnl"/>
        </w:rPr>
        <w:t xml:space="preserve"> después de las transferencias</w:t>
      </w:r>
    </w:p>
    <w:p w:rsidR="00B070BF" w:rsidRPr="009577DE" w:rsidRDefault="00B070BF" w:rsidP="00B070BF">
      <w:pPr>
        <w:widowControl w:val="0"/>
        <w:rPr>
          <w:b/>
          <w:bCs/>
          <w:sz w:val="20"/>
          <w:lang w:val="es-ES_tradnl"/>
        </w:rPr>
      </w:pPr>
    </w:p>
    <w:p w:rsidR="00B070BF" w:rsidRPr="009577DE" w:rsidRDefault="00B070BF" w:rsidP="00B070BF">
      <w:pPr>
        <w:widowControl w:val="0"/>
        <w:numPr>
          <w:ilvl w:val="0"/>
          <w:numId w:val="40"/>
        </w:numPr>
        <w:jc w:val="both"/>
        <w:rPr>
          <w:sz w:val="20"/>
          <w:lang w:val="es-ES_tradnl"/>
        </w:rPr>
      </w:pPr>
      <w:r w:rsidRPr="009577DE">
        <w:rPr>
          <w:sz w:val="20"/>
          <w:lang w:val="es-ES_tradnl"/>
        </w:rPr>
        <w:t>La disminución de los recursos asignados a los resultados IX.1 (Servicios de apoyo eficaces, eficientes, de calidad y orientados al cliente) y IX.4 (Una Organización responsable con el medio ambiente y la sociedad en la que se garantiza la seguridad del personal de la OMPI, los delegados, los visitantes, la información y los activos físicos) es reflejo del ahorro conseguido gracias a la eficacia en función de los costos relacionada con esos dos resultados.  La estructura de costos de este programa y, más específicamente, el resultado IX.1, que comprende los acuerdos de alojamiento con el Centro Internacional de Cálculos Electrónicos</w:t>
      </w:r>
      <w:r w:rsidRPr="009577DE">
        <w:rPr>
          <w:noProof/>
          <w:lang w:val="es-ES_tradnl" w:eastAsia="es-ES_tradnl"/>
        </w:rPr>
        <w:t xml:space="preserve"> (</w:t>
      </w:r>
      <w:r w:rsidRPr="009577DE">
        <w:rPr>
          <w:sz w:val="20"/>
          <w:lang w:val="es-ES_tradnl"/>
        </w:rPr>
        <w:t xml:space="preserve">CICE), los servicios de continuidad de las actividades y la asistencia técnica, se compone principalmente de costos no relativos al personal, lo que refleja la estrategia centrada en la subcontratación de servicios siempre que resulte adecuado y eficaz en función de los costos.  Por consiguiente, el ajuste a la baja de la eficacia en función de los costos efectuado al inicio del bienio se refleja íntegramente en los recursos asignados para el logro de estos resultados. </w:t>
      </w:r>
    </w:p>
    <w:p w:rsidR="00B070BF" w:rsidRPr="009577DE" w:rsidRDefault="00B070BF" w:rsidP="00B070BF">
      <w:pPr>
        <w:widowControl w:val="0"/>
        <w:jc w:val="both"/>
        <w:rPr>
          <w:rFonts w:eastAsia="Batang"/>
          <w:sz w:val="20"/>
          <w:lang w:val="es-ES_tradnl" w:eastAsia="ko-KR"/>
        </w:rPr>
      </w:pPr>
    </w:p>
    <w:p w:rsidR="00B070BF" w:rsidRPr="009577DE" w:rsidRDefault="00B070BF" w:rsidP="00B070BF">
      <w:pPr>
        <w:widowControl w:val="0"/>
        <w:jc w:val="both"/>
        <w:rPr>
          <w:rFonts w:eastAsia="Batang"/>
          <w:sz w:val="20"/>
          <w:lang w:val="es-ES_tradnl" w:eastAsia="ko-KR"/>
        </w:rPr>
      </w:pPr>
      <w:r w:rsidRPr="009577DE">
        <w:rPr>
          <w:rFonts w:eastAsia="Batang"/>
          <w:sz w:val="20"/>
          <w:lang w:val="es-ES_tradnl" w:eastAsia="ko-KR"/>
        </w:rPr>
        <w:t xml:space="preserve">B. </w:t>
      </w:r>
      <w:r>
        <w:rPr>
          <w:rFonts w:eastAsia="Batang"/>
          <w:sz w:val="20"/>
          <w:lang w:val="es-ES_tradnl" w:eastAsia="ko-KR"/>
        </w:rPr>
        <w:t xml:space="preserve"> </w:t>
      </w:r>
      <w:r w:rsidRPr="009577DE">
        <w:rPr>
          <w:rFonts w:eastAsia="Batang"/>
          <w:sz w:val="20"/>
          <w:u w:val="single"/>
          <w:lang w:val="es-ES_tradnl" w:eastAsia="ko-KR"/>
        </w:rPr>
        <w:t>Utilización del presupuesto 2012</w:t>
      </w:r>
    </w:p>
    <w:p w:rsidR="00B070BF" w:rsidRPr="009577DE" w:rsidRDefault="00B070BF" w:rsidP="00B070BF">
      <w:pPr>
        <w:widowControl w:val="0"/>
        <w:jc w:val="both"/>
        <w:rPr>
          <w:sz w:val="20"/>
          <w:lang w:val="es-ES_tradnl"/>
        </w:rPr>
      </w:pPr>
    </w:p>
    <w:p w:rsidR="00B070BF" w:rsidRPr="009577DE" w:rsidRDefault="00B070BF" w:rsidP="00B070BF">
      <w:pPr>
        <w:widowControl w:val="0"/>
        <w:numPr>
          <w:ilvl w:val="0"/>
          <w:numId w:val="40"/>
        </w:numPr>
        <w:jc w:val="both"/>
        <w:rPr>
          <w:sz w:val="20"/>
          <w:lang w:val="es-ES_tradnl"/>
        </w:rPr>
      </w:pPr>
      <w:r w:rsidRPr="009577DE">
        <w:rPr>
          <w:rFonts w:eastAsia="Batang"/>
          <w:sz w:val="20"/>
          <w:lang w:val="es-ES_tradnl" w:eastAsia="ko-KR"/>
        </w:rPr>
        <w:t>La utilización del presupuesto se mantiene entre el 40% y el 60% en el primer año del bienio y progresa con normalidad.</w:t>
      </w:r>
    </w:p>
    <w:p w:rsidR="00B070BF" w:rsidRPr="009577DE" w:rsidRDefault="00B070BF" w:rsidP="00B070BF">
      <w:pPr>
        <w:widowControl w:val="0"/>
        <w:rPr>
          <w:sz w:val="20"/>
          <w:lang w:val="es-ES_tradnl"/>
        </w:rPr>
      </w:pPr>
    </w:p>
    <w:p w:rsidR="00B070BF" w:rsidRPr="009577DE" w:rsidRDefault="00B070BF" w:rsidP="00B070BF">
      <w:pPr>
        <w:widowControl w:val="0"/>
        <w:rPr>
          <w:sz w:val="20"/>
          <w:lang w:val="es-ES_tradnl"/>
        </w:rPr>
      </w:pPr>
    </w:p>
    <w:p w:rsidR="00B070BF" w:rsidRPr="009577DE" w:rsidRDefault="00B070BF" w:rsidP="00B070BF">
      <w:pPr>
        <w:widowControl w:val="0"/>
        <w:ind w:left="2835" w:hanging="2835"/>
        <w:outlineLvl w:val="1"/>
        <w:rPr>
          <w:b/>
          <w:bCs/>
          <w:iCs/>
          <w:caps/>
          <w:szCs w:val="22"/>
          <w:lang w:val="es-ES_tradnl"/>
        </w:rPr>
      </w:pPr>
      <w:r w:rsidRPr="009577DE">
        <w:rPr>
          <w:bCs/>
          <w:iCs/>
          <w:caps/>
          <w:szCs w:val="28"/>
          <w:lang w:val="es-ES_tradnl"/>
        </w:rPr>
        <w:br w:type="page"/>
      </w:r>
      <w:bookmarkStart w:id="64" w:name="_Toc359846812"/>
      <w:bookmarkStart w:id="65" w:name="_Toc359949336"/>
      <w:r w:rsidRPr="009577DE">
        <w:rPr>
          <w:b/>
          <w:bCs/>
          <w:iCs/>
          <w:szCs w:val="22"/>
          <w:lang w:val="es-ES_tradnl"/>
        </w:rPr>
        <w:lastRenderedPageBreak/>
        <w:t>PROGRAMA 26</w:t>
      </w:r>
      <w:r w:rsidRPr="009577DE">
        <w:rPr>
          <w:bCs/>
          <w:iCs/>
          <w:szCs w:val="22"/>
          <w:lang w:val="es-ES_tradnl"/>
        </w:rPr>
        <w:tab/>
      </w:r>
      <w:r w:rsidRPr="009577DE">
        <w:rPr>
          <w:b/>
          <w:bCs/>
          <w:iCs/>
          <w:szCs w:val="22"/>
          <w:lang w:val="es-ES_tradnl"/>
        </w:rPr>
        <w:t>SUPERVISIÓN INTERNA</w:t>
      </w:r>
      <w:bookmarkEnd w:id="64"/>
      <w:bookmarkEnd w:id="65"/>
    </w:p>
    <w:p w:rsidR="00B070BF" w:rsidRPr="009577DE" w:rsidRDefault="00B070BF" w:rsidP="00B070BF">
      <w:pPr>
        <w:widowControl w:val="0"/>
        <w:rPr>
          <w:sz w:val="18"/>
          <w:szCs w:val="18"/>
          <w:lang w:val="es-ES_tradnl"/>
        </w:rPr>
      </w:pPr>
    </w:p>
    <w:p w:rsidR="00B070BF" w:rsidRPr="009577DE" w:rsidRDefault="00B070BF" w:rsidP="00B070BF">
      <w:pPr>
        <w:widowControl w:val="0"/>
        <w:rPr>
          <w:sz w:val="18"/>
          <w:szCs w:val="18"/>
          <w:lang w:val="es-ES_tradnl"/>
        </w:rPr>
      </w:pPr>
    </w:p>
    <w:p w:rsidR="00B070BF" w:rsidRPr="009577DE" w:rsidRDefault="00B070BF" w:rsidP="00B070BF">
      <w:pPr>
        <w:widowControl w:val="0"/>
        <w:tabs>
          <w:tab w:val="left" w:pos="2268"/>
        </w:tabs>
        <w:rPr>
          <w:b/>
          <w:szCs w:val="22"/>
          <w:lang w:val="es-ES_tradnl"/>
        </w:rPr>
      </w:pPr>
      <w:r w:rsidRPr="009577DE">
        <w:rPr>
          <w:b/>
          <w:szCs w:val="22"/>
          <w:lang w:val="es-ES_tradnl"/>
        </w:rPr>
        <w:t>Director del Programa</w:t>
      </w:r>
      <w:r w:rsidRPr="009577DE">
        <w:rPr>
          <w:szCs w:val="22"/>
          <w:lang w:val="es-ES_tradnl"/>
        </w:rPr>
        <w:tab/>
      </w:r>
      <w:r w:rsidRPr="009577DE">
        <w:rPr>
          <w:b/>
          <w:szCs w:val="22"/>
          <w:lang w:val="es-ES_tradnl"/>
        </w:rPr>
        <w:t xml:space="preserve">Sr. T. </w:t>
      </w:r>
      <w:proofErr w:type="spellStart"/>
      <w:r w:rsidRPr="009577DE">
        <w:rPr>
          <w:b/>
          <w:szCs w:val="22"/>
          <w:lang w:val="es-ES_tradnl"/>
        </w:rPr>
        <w:t>Rajaobelina</w:t>
      </w:r>
      <w:proofErr w:type="spellEnd"/>
    </w:p>
    <w:p w:rsidR="00B070BF" w:rsidRPr="009577DE" w:rsidRDefault="00B070BF" w:rsidP="00B070BF">
      <w:pPr>
        <w:widowControl w:val="0"/>
        <w:rPr>
          <w:sz w:val="20"/>
          <w:szCs w:val="12"/>
          <w:lang w:val="es-ES_tradnl"/>
        </w:rPr>
      </w:pPr>
    </w:p>
    <w:p w:rsidR="00B070BF" w:rsidRPr="009577DE" w:rsidRDefault="00B070BF" w:rsidP="00B070BF">
      <w:pPr>
        <w:widowControl w:val="0"/>
        <w:rPr>
          <w:bCs/>
          <w:sz w:val="20"/>
          <w:szCs w:val="12"/>
          <w:lang w:val="es-ES_tradnl"/>
        </w:rPr>
      </w:pPr>
    </w:p>
    <w:p w:rsidR="00B070BF" w:rsidRPr="009577DE" w:rsidRDefault="00B070BF" w:rsidP="00B070BF">
      <w:pPr>
        <w:widowControl w:val="0"/>
        <w:jc w:val="both"/>
        <w:rPr>
          <w:bCs/>
          <w:sz w:val="20"/>
          <w:lang w:val="es-ES_tradnl"/>
        </w:rPr>
      </w:pPr>
      <w:r w:rsidRPr="009577DE">
        <w:rPr>
          <w:bCs/>
          <w:sz w:val="20"/>
          <w:lang w:val="es-ES_tradnl"/>
        </w:rPr>
        <w:t>RESEÑA DE LOS AVANCES LOGRADOS EN 2012</w:t>
      </w:r>
    </w:p>
    <w:p w:rsidR="00B070BF" w:rsidRPr="009577DE" w:rsidRDefault="00B070BF" w:rsidP="00B070BF">
      <w:pPr>
        <w:widowControl w:val="0"/>
        <w:jc w:val="both"/>
        <w:rPr>
          <w:sz w:val="20"/>
          <w:lang w:val="es-ES_tradnl"/>
        </w:rPr>
      </w:pPr>
    </w:p>
    <w:p w:rsidR="00B070BF" w:rsidRPr="009577DE" w:rsidRDefault="00B070BF" w:rsidP="00B070BF">
      <w:pPr>
        <w:widowControl w:val="0"/>
        <w:numPr>
          <w:ilvl w:val="0"/>
          <w:numId w:val="41"/>
        </w:numPr>
        <w:jc w:val="both"/>
        <w:rPr>
          <w:sz w:val="20"/>
          <w:lang w:val="es-ES_tradnl"/>
        </w:rPr>
      </w:pPr>
      <w:r w:rsidRPr="009577DE">
        <w:rPr>
          <w:sz w:val="20"/>
          <w:lang w:val="es-ES_tradnl"/>
        </w:rPr>
        <w:t>La División de Auditoría y Supervisión Internas (DASI) experimentó importantes cambios de personal con la toma de posesión del nuevo director de la DASI y el nombramiento de un nuevo Jefe de la Sección de Investigación.  Otras contrataciones se culminaron también en 2012, quedando así provistas todas las vacantes a fin de año.  También se registraron novedades de importancia a raíz de la implantación y uso de un programa informático destinado a registrar las actividades realizadas y a organizar los datos disponibles en apoyo de las constataciones y recomendaciones.  La ejecución de dicho programa requirió un tiempo considerable, dando lugar a un ligero retraso de la puesta en práctica del plan de trabajo.  Sin embargo, se espera que el nuevo programa produzca una mejora de los procesos de trabajo.</w:t>
      </w:r>
    </w:p>
    <w:p w:rsidR="00B070BF" w:rsidRPr="009577DE" w:rsidRDefault="00B070BF" w:rsidP="00B070BF">
      <w:pPr>
        <w:widowControl w:val="0"/>
        <w:jc w:val="both"/>
        <w:rPr>
          <w:sz w:val="20"/>
          <w:lang w:val="es-ES_tradnl"/>
        </w:rPr>
      </w:pPr>
    </w:p>
    <w:p w:rsidR="00B070BF" w:rsidRPr="009577DE" w:rsidRDefault="00B070BF" w:rsidP="00B070BF">
      <w:pPr>
        <w:widowControl w:val="0"/>
        <w:numPr>
          <w:ilvl w:val="0"/>
          <w:numId w:val="41"/>
        </w:numPr>
        <w:jc w:val="both"/>
        <w:rPr>
          <w:sz w:val="20"/>
          <w:lang w:val="es-ES_tradnl"/>
        </w:rPr>
      </w:pPr>
      <w:r w:rsidRPr="009577DE">
        <w:rPr>
          <w:sz w:val="20"/>
          <w:lang w:val="es-ES_tradnl"/>
        </w:rPr>
        <w:t>La DASI publicó diez informes de auditoría y evaluación que contenían 96 recomendaciones de mejoras.  Las áreas seleccionadas para ser objeto de auditoría y evaluación se incluyeron en el Plan de supervisión elaborado a partir de la evaluación de riesgos realizada por la DASI con respecto a las entidades operativas de la OMPI y los correspondientes procesos de trabajo, así como la información recibida de los Estados miembros, la Comisión Consultiva Independiente de Supervisión de la OMPI (CCIS), el personal directivo superior y el Auditor Externo.  La auditoría y evaluación abarcó áreas tales como la gestión de programas y de proyectos (incluida la Agenda para el Desarrollo), la gestión por resultados, la gestión de los recursos humanos, las tecnologías de la información y de las comunicaciones, los viajes y los ingresos generados por el PCT.</w:t>
      </w:r>
    </w:p>
    <w:p w:rsidR="00B070BF" w:rsidRPr="009577DE" w:rsidRDefault="00B070BF" w:rsidP="00B070BF">
      <w:pPr>
        <w:widowControl w:val="0"/>
        <w:jc w:val="both"/>
        <w:rPr>
          <w:sz w:val="20"/>
          <w:lang w:val="es-ES_tradnl"/>
        </w:rPr>
      </w:pPr>
    </w:p>
    <w:p w:rsidR="00B070BF" w:rsidRPr="009577DE" w:rsidRDefault="00B070BF" w:rsidP="00B070BF">
      <w:pPr>
        <w:widowControl w:val="0"/>
        <w:numPr>
          <w:ilvl w:val="0"/>
          <w:numId w:val="41"/>
        </w:numPr>
        <w:jc w:val="both"/>
        <w:rPr>
          <w:sz w:val="20"/>
          <w:lang w:val="es-ES_tradnl"/>
        </w:rPr>
      </w:pPr>
      <w:r w:rsidRPr="009577DE">
        <w:rPr>
          <w:sz w:val="20"/>
          <w:lang w:val="es-ES_tradnl"/>
        </w:rPr>
        <w:t>La DASI contribuye a consolidar y mantener una cultura de aprendizaje y un firme empeño de rendición de cuentas a todos los niveles al tiempo que promueve la mejora de los procesos y operaciones de la Organización.</w:t>
      </w:r>
    </w:p>
    <w:p w:rsidR="00B070BF" w:rsidRPr="009577DE" w:rsidRDefault="00B070BF" w:rsidP="00B070BF">
      <w:pPr>
        <w:widowControl w:val="0"/>
        <w:jc w:val="both"/>
        <w:rPr>
          <w:sz w:val="20"/>
          <w:lang w:val="es-ES_tradnl"/>
        </w:rPr>
      </w:pPr>
    </w:p>
    <w:p w:rsidR="00B070BF" w:rsidRPr="009577DE" w:rsidRDefault="00B070BF" w:rsidP="00B070BF">
      <w:pPr>
        <w:widowControl w:val="0"/>
        <w:numPr>
          <w:ilvl w:val="0"/>
          <w:numId w:val="41"/>
        </w:numPr>
        <w:jc w:val="both"/>
        <w:rPr>
          <w:sz w:val="20"/>
          <w:lang w:val="es-ES_tradnl"/>
        </w:rPr>
      </w:pPr>
      <w:r w:rsidRPr="009577DE">
        <w:rPr>
          <w:sz w:val="20"/>
          <w:lang w:val="es-ES_tradnl"/>
        </w:rPr>
        <w:t>Se logró poner bajo control el volumen de casos de investigación pendientes sin comprometer el Plan de supervisión. La DASI continuará esmerándose por tratar sólo los casos incursos en su mandato y los casos que no puedan ser tratados más eficazmente por conductos alternativos o informales.</w:t>
      </w:r>
    </w:p>
    <w:p w:rsidR="00B070BF" w:rsidRPr="009577DE" w:rsidRDefault="00B070BF" w:rsidP="00B070BF">
      <w:pPr>
        <w:widowControl w:val="0"/>
        <w:jc w:val="both"/>
        <w:rPr>
          <w:sz w:val="20"/>
          <w:lang w:val="es-ES_tradnl"/>
        </w:rPr>
      </w:pPr>
    </w:p>
    <w:p w:rsidR="00B070BF" w:rsidRPr="009577DE" w:rsidRDefault="00B070BF" w:rsidP="00B070BF">
      <w:pPr>
        <w:widowControl w:val="0"/>
        <w:numPr>
          <w:ilvl w:val="0"/>
          <w:numId w:val="41"/>
        </w:numPr>
        <w:jc w:val="both"/>
        <w:rPr>
          <w:sz w:val="20"/>
          <w:lang w:val="es-ES_tradnl"/>
        </w:rPr>
      </w:pPr>
      <w:r w:rsidRPr="009577DE">
        <w:rPr>
          <w:sz w:val="20"/>
          <w:lang w:val="es-ES_tradnl"/>
        </w:rPr>
        <w:t>Para comprender mejor las expectativas de los colegas y recabar sus opiniones en torno a la labor de supervisión, la DASI comenzó en 2012 a realizar encuestas de satisfacción del cliente. Dichas encuestas ayudan a la DASI a identificar los aspectos necesitados de mejora.</w:t>
      </w:r>
    </w:p>
    <w:p w:rsidR="00B070BF" w:rsidRPr="009577DE" w:rsidRDefault="00B070BF" w:rsidP="00B070BF">
      <w:pPr>
        <w:widowControl w:val="0"/>
        <w:jc w:val="both"/>
        <w:rPr>
          <w:sz w:val="20"/>
          <w:lang w:val="es-ES_tradnl"/>
        </w:rPr>
      </w:pPr>
    </w:p>
    <w:p w:rsidR="00B070BF" w:rsidRPr="009577DE" w:rsidRDefault="00B070BF" w:rsidP="00B070BF">
      <w:pPr>
        <w:widowControl w:val="0"/>
        <w:numPr>
          <w:ilvl w:val="0"/>
          <w:numId w:val="41"/>
        </w:numPr>
        <w:jc w:val="both"/>
        <w:rPr>
          <w:sz w:val="20"/>
          <w:lang w:val="es-ES_tradnl"/>
        </w:rPr>
      </w:pPr>
      <w:r w:rsidRPr="009577DE">
        <w:rPr>
          <w:sz w:val="20"/>
          <w:lang w:val="es-ES_tradnl"/>
        </w:rPr>
        <w:t>La DASI continuó comunicando con el personal, la dirección y los Estados miembros.  Organizó también un seminario para promover la sensibilización hacia la función de evaluación en la OMPI y preconizó unas prácticas óptimas de evaluación por su utilidad para la gestión y la toma de decisiones.</w:t>
      </w:r>
    </w:p>
    <w:p w:rsidR="00B070BF" w:rsidRPr="009577DE" w:rsidRDefault="00B070BF" w:rsidP="00B070BF">
      <w:pPr>
        <w:widowControl w:val="0"/>
        <w:jc w:val="both"/>
        <w:rPr>
          <w:sz w:val="20"/>
          <w:lang w:val="es-ES_tradnl"/>
        </w:rPr>
      </w:pPr>
    </w:p>
    <w:p w:rsidR="00B070BF" w:rsidRPr="009577DE" w:rsidRDefault="00B070BF" w:rsidP="00B070BF">
      <w:pPr>
        <w:widowControl w:val="0"/>
        <w:numPr>
          <w:ilvl w:val="0"/>
          <w:numId w:val="41"/>
        </w:numPr>
        <w:jc w:val="both"/>
        <w:rPr>
          <w:sz w:val="20"/>
          <w:lang w:val="es-ES_tradnl"/>
        </w:rPr>
      </w:pPr>
      <w:r w:rsidRPr="009577DE">
        <w:rPr>
          <w:sz w:val="20"/>
          <w:lang w:val="es-ES_tradnl"/>
        </w:rPr>
        <w:t>La DASI efectuó un seguimiento de las recomendaciones formuladas en años anteriores para cerciorarse de que habían sido efectivamente puestas en práctica.  La dirección de la OMPI consulta también a la DASI en torno a otras cuestiones, por ejemplo la elaboración o revisión de políticas y la preparación de revisiones externas.</w:t>
      </w:r>
    </w:p>
    <w:p w:rsidR="00B070BF" w:rsidRPr="009577DE" w:rsidRDefault="00B070BF" w:rsidP="00B070BF">
      <w:pPr>
        <w:widowControl w:val="0"/>
        <w:jc w:val="both"/>
        <w:rPr>
          <w:sz w:val="20"/>
          <w:lang w:val="es-ES_tradnl"/>
        </w:rPr>
      </w:pPr>
    </w:p>
    <w:p w:rsidR="00B070BF" w:rsidRPr="009577DE" w:rsidRDefault="00B070BF" w:rsidP="00B070BF">
      <w:pPr>
        <w:widowControl w:val="0"/>
        <w:numPr>
          <w:ilvl w:val="0"/>
          <w:numId w:val="41"/>
        </w:numPr>
        <w:jc w:val="both"/>
        <w:rPr>
          <w:sz w:val="20"/>
          <w:lang w:val="es-ES_tradnl"/>
        </w:rPr>
      </w:pPr>
      <w:r w:rsidRPr="009577DE">
        <w:rPr>
          <w:sz w:val="20"/>
          <w:lang w:val="es-ES_tradnl"/>
        </w:rPr>
        <w:t>La CCIS siguió revisando atentamente las actividades de la DASI.  Desde su creación venía reiterando con frecuencia la inquietud que le causaban diversos temas del ámbito de la DASI como los puestos vacantes, los planes de trabajo y su aplicación, la insuficiente cobertura de los ámbitos de riesgo muy elevado y los métodos de seguimiento.  En el pasado la CCIS había calificado el funcionamiento de la DASI como de "elevado riesgo".  Pues bien, en su informe anual dirigido al Comité del Programa y Presupuesto en 2012</w:t>
      </w:r>
      <w:r w:rsidRPr="009577DE">
        <w:rPr>
          <w:sz w:val="20"/>
          <w:vertAlign w:val="superscript"/>
          <w:lang w:val="es-ES_tradnl"/>
        </w:rPr>
        <w:footnoteReference w:id="17"/>
      </w:r>
      <w:r w:rsidRPr="009577DE">
        <w:rPr>
          <w:sz w:val="20"/>
          <w:lang w:val="es-ES_tradnl"/>
        </w:rPr>
        <w:t>, la CCIS manifestó que los progresos realizados en orden a la corrección de las deficiencias señaladas habían bastado para reducir el nivel de riesgo del funcionamiento de la DASI.</w:t>
      </w:r>
    </w:p>
    <w:p w:rsidR="00B070BF" w:rsidRDefault="00B070BF" w:rsidP="00B070BF">
      <w:pPr>
        <w:widowControl w:val="0"/>
        <w:jc w:val="both"/>
        <w:rPr>
          <w:sz w:val="20"/>
          <w:szCs w:val="22"/>
          <w:lang w:val="es-ES_tradnl"/>
        </w:rPr>
      </w:pPr>
    </w:p>
    <w:p w:rsidR="00B070BF" w:rsidRPr="009577DE" w:rsidRDefault="00B070BF" w:rsidP="00B070BF">
      <w:pPr>
        <w:widowControl w:val="0"/>
        <w:jc w:val="both"/>
        <w:rPr>
          <w:sz w:val="20"/>
          <w:szCs w:val="22"/>
          <w:lang w:val="es-ES_tradnl"/>
        </w:rPr>
      </w:pPr>
    </w:p>
    <w:p w:rsidR="00B070BF" w:rsidRPr="009577DE" w:rsidRDefault="00B070BF" w:rsidP="00B070BF">
      <w:pPr>
        <w:keepNext/>
        <w:widowControl w:val="0"/>
        <w:jc w:val="both"/>
        <w:rPr>
          <w:sz w:val="20"/>
          <w:szCs w:val="22"/>
          <w:lang w:val="es-ES_tradnl"/>
        </w:rPr>
      </w:pPr>
      <w:r w:rsidRPr="008B2545">
        <w:rPr>
          <w:sz w:val="20"/>
          <w:szCs w:val="22"/>
          <w:lang w:val="es-ES_tradnl"/>
        </w:rPr>
        <w:lastRenderedPageBreak/>
        <w:t>DATOS SOBRE EL RENDIMIENTO</w:t>
      </w:r>
    </w:p>
    <w:p w:rsidR="00B070BF" w:rsidRPr="009577DE" w:rsidRDefault="00B070BF" w:rsidP="00B070BF">
      <w:pPr>
        <w:widowControl w:val="0"/>
        <w:jc w:val="both"/>
        <w:rPr>
          <w:sz w:val="20"/>
          <w:szCs w:val="22"/>
          <w:lang w:val="es-ES_tradnl"/>
        </w:rPr>
      </w:pPr>
    </w:p>
    <w:tbl>
      <w:tblPr>
        <w:tblW w:w="5000" w:type="pct"/>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630"/>
        <w:gridCol w:w="1498"/>
        <w:gridCol w:w="1710"/>
        <w:gridCol w:w="3494"/>
        <w:gridCol w:w="1239"/>
      </w:tblGrid>
      <w:tr w:rsidR="00B070BF" w:rsidRPr="009577DE" w:rsidTr="00C33D4A">
        <w:trPr>
          <w:cantSplit/>
          <w:trHeight w:val="645"/>
        </w:trPr>
        <w:tc>
          <w:tcPr>
            <w:tcW w:w="5000" w:type="pct"/>
            <w:gridSpan w:val="5"/>
            <w:tcBorders>
              <w:top w:val="single" w:sz="4" w:space="0" w:color="auto"/>
              <w:left w:val="single" w:sz="4" w:space="0" w:color="auto"/>
              <w:bottom w:val="nil"/>
              <w:right w:val="single" w:sz="4" w:space="0" w:color="auto"/>
            </w:tcBorders>
            <w:shd w:val="clear" w:color="auto" w:fill="CCFFFF"/>
            <w:vAlign w:val="center"/>
          </w:tcPr>
          <w:p w:rsidR="00B070BF" w:rsidRPr="009577DE" w:rsidRDefault="00B070BF" w:rsidP="00C33D4A">
            <w:pPr>
              <w:widowControl w:val="0"/>
              <w:tabs>
                <w:tab w:val="left" w:pos="1452"/>
              </w:tabs>
              <w:spacing w:before="120" w:after="120"/>
              <w:ind w:left="1452" w:hanging="1452"/>
              <w:rPr>
                <w:b/>
                <w:bCs/>
                <w:sz w:val="16"/>
                <w:szCs w:val="16"/>
                <w:lang w:val="es-ES_tradnl"/>
              </w:rPr>
            </w:pPr>
            <w:r w:rsidRPr="009577DE">
              <w:rPr>
                <w:b/>
                <w:bCs/>
                <w:sz w:val="16"/>
                <w:szCs w:val="16"/>
                <w:lang w:val="es-ES_tradnl"/>
              </w:rPr>
              <w:t>Resultado previsto:</w:t>
            </w:r>
            <w:r w:rsidRPr="009577DE">
              <w:rPr>
                <w:b/>
                <w:bCs/>
                <w:sz w:val="16"/>
                <w:szCs w:val="16"/>
                <w:lang w:val="es-ES_tradnl"/>
              </w:rPr>
              <w:tab/>
            </w:r>
            <w:r w:rsidRPr="009577DE">
              <w:rPr>
                <w:bCs/>
                <w:sz w:val="16"/>
                <w:szCs w:val="16"/>
                <w:lang w:val="es-ES_tradnl"/>
              </w:rPr>
              <w:t xml:space="preserve"> Instauración de un sistema eficaz y profesional de auditoría interna que abarca todas las esferas de alto riesgo.</w:t>
            </w:r>
          </w:p>
        </w:tc>
      </w:tr>
      <w:tr w:rsidR="00B070BF" w:rsidRPr="009577DE" w:rsidTr="00C33D4A">
        <w:trPr>
          <w:cantSplit/>
        </w:trPr>
        <w:tc>
          <w:tcPr>
            <w:tcW w:w="874" w:type="pct"/>
            <w:tcBorders>
              <w:top w:val="single" w:sz="4" w:space="0" w:color="auto"/>
              <w:left w:val="single" w:sz="4" w:space="0" w:color="auto"/>
              <w:bottom w:val="nil"/>
            </w:tcBorders>
            <w:shd w:val="clear" w:color="auto" w:fill="auto"/>
            <w:vAlign w:val="center"/>
          </w:tcPr>
          <w:p w:rsidR="00B070BF" w:rsidRPr="009577DE" w:rsidRDefault="00B070BF" w:rsidP="00C33D4A">
            <w:pPr>
              <w:widowControl w:val="0"/>
              <w:spacing w:after="120"/>
              <w:rPr>
                <w:sz w:val="16"/>
                <w:szCs w:val="16"/>
                <w:lang w:val="es-ES_tradnl"/>
              </w:rPr>
            </w:pPr>
            <w:r w:rsidRPr="009577DE">
              <w:rPr>
                <w:b/>
                <w:bCs/>
                <w:sz w:val="16"/>
                <w:szCs w:val="16"/>
                <w:lang w:val="es-ES_tradnl"/>
              </w:rPr>
              <w:t>Indicadores de rendimiento</w:t>
            </w:r>
          </w:p>
        </w:tc>
        <w:tc>
          <w:tcPr>
            <w:tcW w:w="805" w:type="pct"/>
            <w:tcBorders>
              <w:top w:val="single" w:sz="4" w:space="0" w:color="auto"/>
              <w:bottom w:val="nil"/>
            </w:tcBorders>
            <w:shd w:val="clear" w:color="auto" w:fill="C0C0C0"/>
          </w:tcPr>
          <w:p w:rsidR="00B070BF" w:rsidRPr="009577DE" w:rsidRDefault="00B070BF" w:rsidP="00C33D4A">
            <w:pPr>
              <w:widowControl w:val="0"/>
              <w:spacing w:after="120"/>
              <w:rPr>
                <w:b/>
                <w:bCs/>
                <w:sz w:val="16"/>
                <w:szCs w:val="16"/>
                <w:lang w:val="es-ES_tradnl"/>
              </w:rPr>
            </w:pPr>
            <w:r w:rsidRPr="009577DE">
              <w:rPr>
                <w:b/>
                <w:bCs/>
                <w:sz w:val="16"/>
                <w:szCs w:val="16"/>
                <w:lang w:val="es-ES_tradnl"/>
              </w:rPr>
              <w:t>Referencia (</w:t>
            </w:r>
            <w:proofErr w:type="spellStart"/>
            <w:r w:rsidRPr="009577DE">
              <w:rPr>
                <w:b/>
                <w:bCs/>
                <w:sz w:val="16"/>
                <w:szCs w:val="16"/>
                <w:lang w:val="es-ES_tradnl"/>
              </w:rPr>
              <w:t>Presup</w:t>
            </w:r>
            <w:proofErr w:type="spellEnd"/>
            <w:r w:rsidRPr="009577DE">
              <w:rPr>
                <w:b/>
                <w:bCs/>
                <w:sz w:val="16"/>
                <w:szCs w:val="16"/>
                <w:lang w:val="es-ES_tradnl"/>
              </w:rPr>
              <w:t xml:space="preserve">. por </w:t>
            </w:r>
            <w:proofErr w:type="spellStart"/>
            <w:r w:rsidRPr="009577DE">
              <w:rPr>
                <w:b/>
                <w:bCs/>
                <w:sz w:val="16"/>
                <w:szCs w:val="16"/>
                <w:lang w:val="es-ES_tradnl"/>
              </w:rPr>
              <w:t>prog</w:t>
            </w:r>
            <w:proofErr w:type="spellEnd"/>
            <w:r w:rsidRPr="009577DE">
              <w:rPr>
                <w:b/>
                <w:bCs/>
                <w:sz w:val="16"/>
                <w:szCs w:val="16"/>
                <w:lang w:val="es-ES_tradnl"/>
              </w:rPr>
              <w:t>. 2012/13)</w:t>
            </w:r>
          </w:p>
        </w:tc>
        <w:tc>
          <w:tcPr>
            <w:tcW w:w="916" w:type="pct"/>
            <w:tcBorders>
              <w:top w:val="single" w:sz="4" w:space="0" w:color="auto"/>
              <w:bottom w:val="nil"/>
            </w:tcBorders>
            <w:shd w:val="clear" w:color="auto" w:fill="auto"/>
            <w:tcMar>
              <w:top w:w="110" w:type="dxa"/>
            </w:tcMar>
            <w:vAlign w:val="center"/>
          </w:tcPr>
          <w:p w:rsidR="00B070BF" w:rsidRPr="009577DE" w:rsidRDefault="00B070BF" w:rsidP="00C33D4A">
            <w:pPr>
              <w:widowControl w:val="0"/>
              <w:spacing w:after="120"/>
              <w:rPr>
                <w:b/>
                <w:sz w:val="16"/>
                <w:szCs w:val="16"/>
                <w:lang w:val="es-ES_tradnl"/>
              </w:rPr>
            </w:pPr>
            <w:r w:rsidRPr="00BF138D">
              <w:rPr>
                <w:b/>
                <w:color w:val="993300"/>
                <w:sz w:val="16"/>
                <w:szCs w:val="16"/>
                <w:lang w:val="es-ES_tradnl"/>
              </w:rPr>
              <w:t>Referencia actualizada a finales de 2011</w:t>
            </w:r>
            <w:r w:rsidRPr="009577DE">
              <w:rPr>
                <w:b/>
                <w:sz w:val="16"/>
                <w:szCs w:val="16"/>
                <w:lang w:val="es-ES_tradnl"/>
              </w:rPr>
              <w:t xml:space="preserve"> </w:t>
            </w:r>
          </w:p>
        </w:tc>
        <w:tc>
          <w:tcPr>
            <w:tcW w:w="1848" w:type="pct"/>
            <w:tcBorders>
              <w:top w:val="single" w:sz="4" w:space="0" w:color="auto"/>
              <w:bottom w:val="nil"/>
            </w:tcBorders>
            <w:shd w:val="clear" w:color="auto" w:fill="FFFFFF"/>
            <w:tcMar>
              <w:top w:w="110" w:type="dxa"/>
            </w:tcMar>
            <w:vAlign w:val="center"/>
          </w:tcPr>
          <w:p w:rsidR="00B070BF" w:rsidRPr="009577DE" w:rsidRDefault="00B070BF" w:rsidP="00C33D4A">
            <w:pPr>
              <w:widowControl w:val="0"/>
              <w:spacing w:after="120"/>
              <w:rPr>
                <w:b/>
                <w:bCs/>
                <w:sz w:val="16"/>
                <w:szCs w:val="16"/>
                <w:lang w:val="es-ES_tradnl"/>
              </w:rPr>
            </w:pPr>
            <w:r w:rsidRPr="009577DE">
              <w:rPr>
                <w:b/>
                <w:bCs/>
                <w:sz w:val="16"/>
                <w:szCs w:val="16"/>
                <w:lang w:val="es-ES_tradnl"/>
              </w:rPr>
              <w:t>Datos sobre el rendimiento</w:t>
            </w:r>
          </w:p>
        </w:tc>
        <w:tc>
          <w:tcPr>
            <w:tcW w:w="557" w:type="pct"/>
            <w:tcBorders>
              <w:top w:val="single" w:sz="4" w:space="0" w:color="auto"/>
              <w:bottom w:val="nil"/>
              <w:right w:val="single" w:sz="4" w:space="0" w:color="auto"/>
            </w:tcBorders>
            <w:shd w:val="clear" w:color="auto" w:fill="auto"/>
            <w:tcMar>
              <w:top w:w="110" w:type="dxa"/>
            </w:tcMar>
            <w:vAlign w:val="center"/>
          </w:tcPr>
          <w:p w:rsidR="00B070BF" w:rsidRPr="009577DE" w:rsidRDefault="00B070BF" w:rsidP="00C33D4A">
            <w:pPr>
              <w:widowControl w:val="0"/>
              <w:spacing w:after="120"/>
              <w:jc w:val="center"/>
              <w:rPr>
                <w:b/>
                <w:bCs/>
                <w:sz w:val="16"/>
                <w:szCs w:val="16"/>
                <w:lang w:val="es-ES_tradnl"/>
              </w:rPr>
            </w:pPr>
            <w:r w:rsidRPr="009577DE">
              <w:rPr>
                <w:b/>
                <w:bCs/>
                <w:sz w:val="16"/>
                <w:szCs w:val="16"/>
                <w:lang w:val="es-ES_tradnl"/>
              </w:rPr>
              <w:t>Clave de colores</w:t>
            </w:r>
          </w:p>
        </w:tc>
      </w:tr>
      <w:tr w:rsidR="00B070BF" w:rsidRPr="009577DE" w:rsidTr="00C33D4A">
        <w:trPr>
          <w:cantSplit/>
        </w:trPr>
        <w:tc>
          <w:tcPr>
            <w:tcW w:w="874" w:type="pct"/>
            <w:tcBorders>
              <w:top w:val="nil"/>
              <w:left w:val="single" w:sz="4" w:space="0" w:color="auto"/>
              <w:bottom w:val="nil"/>
            </w:tcBorders>
            <w:shd w:val="clear" w:color="auto" w:fill="auto"/>
          </w:tcPr>
          <w:p w:rsidR="00B070BF" w:rsidRPr="009577DE" w:rsidRDefault="00B070BF" w:rsidP="00C33D4A">
            <w:pPr>
              <w:widowControl w:val="0"/>
              <w:rPr>
                <w:sz w:val="16"/>
                <w:szCs w:val="16"/>
                <w:lang w:val="es-ES_tradnl" w:bidi="th-TH"/>
              </w:rPr>
            </w:pPr>
            <w:r w:rsidRPr="009577DE">
              <w:rPr>
                <w:sz w:val="16"/>
                <w:szCs w:val="16"/>
                <w:lang w:val="es-ES_tradnl" w:bidi="th-TH"/>
              </w:rPr>
              <w:t xml:space="preserve">Número de auditorías realizadas en esferas de alto riesgo. </w:t>
            </w:r>
          </w:p>
        </w:tc>
        <w:tc>
          <w:tcPr>
            <w:tcW w:w="805" w:type="pct"/>
            <w:tcBorders>
              <w:top w:val="nil"/>
              <w:bottom w:val="nil"/>
            </w:tcBorders>
            <w:shd w:val="clear" w:color="auto" w:fill="C0C0C0"/>
          </w:tcPr>
          <w:p w:rsidR="00B070BF" w:rsidRPr="009577DE" w:rsidRDefault="00B070BF" w:rsidP="00C33D4A">
            <w:pPr>
              <w:widowControl w:val="0"/>
              <w:rPr>
                <w:sz w:val="16"/>
                <w:szCs w:val="16"/>
                <w:lang w:val="es-ES_tradnl" w:bidi="th-TH"/>
              </w:rPr>
            </w:pPr>
            <w:r w:rsidRPr="009577DE">
              <w:rPr>
                <w:sz w:val="16"/>
                <w:szCs w:val="16"/>
                <w:lang w:val="es-ES_tradnl" w:bidi="th-TH"/>
              </w:rPr>
              <w:t>Seis auditorías efectuadas (2010).</w:t>
            </w:r>
          </w:p>
        </w:tc>
        <w:tc>
          <w:tcPr>
            <w:tcW w:w="916" w:type="pct"/>
            <w:tcBorders>
              <w:top w:val="nil"/>
              <w:bottom w:val="nil"/>
            </w:tcBorders>
            <w:shd w:val="clear" w:color="auto" w:fill="auto"/>
            <w:tcMar>
              <w:top w:w="110" w:type="dxa"/>
            </w:tcMar>
          </w:tcPr>
          <w:p w:rsidR="00B070BF" w:rsidRPr="00F2661C" w:rsidRDefault="00B070BF" w:rsidP="00C33D4A">
            <w:pPr>
              <w:widowControl w:val="0"/>
              <w:rPr>
                <w:color w:val="993300"/>
                <w:sz w:val="16"/>
                <w:szCs w:val="16"/>
                <w:lang w:val="es-ES_tradnl" w:bidi="th-TH"/>
              </w:rPr>
            </w:pPr>
            <w:r w:rsidRPr="00F2661C">
              <w:rPr>
                <w:color w:val="993300"/>
                <w:sz w:val="16"/>
                <w:szCs w:val="16"/>
                <w:lang w:val="es-ES_tradnl" w:bidi="th-TH"/>
              </w:rPr>
              <w:t>Se terminaron seis auditorías de las esferas de alto riesgo.</w:t>
            </w:r>
          </w:p>
        </w:tc>
        <w:tc>
          <w:tcPr>
            <w:tcW w:w="1848" w:type="pct"/>
            <w:tcBorders>
              <w:top w:val="nil"/>
              <w:bottom w:val="nil"/>
            </w:tcBorders>
            <w:shd w:val="clear" w:color="auto" w:fill="FFFFFF"/>
            <w:tcMar>
              <w:top w:w="110" w:type="dxa"/>
            </w:tcMar>
          </w:tcPr>
          <w:p w:rsidR="00B070BF" w:rsidRPr="009577DE" w:rsidRDefault="00B070BF" w:rsidP="00C33D4A">
            <w:pPr>
              <w:widowControl w:val="0"/>
              <w:rPr>
                <w:sz w:val="16"/>
                <w:szCs w:val="16"/>
                <w:lang w:val="es-ES_tradnl" w:bidi="th-TH"/>
              </w:rPr>
            </w:pPr>
            <w:r w:rsidRPr="009577DE">
              <w:rPr>
                <w:sz w:val="16"/>
                <w:szCs w:val="16"/>
                <w:lang w:val="es-ES_tradnl" w:bidi="th-TH"/>
              </w:rPr>
              <w:t xml:space="preserve">En 2012 se terminaron 4 auditorías de las esferas de alto riesgo.  </w:t>
            </w:r>
          </w:p>
          <w:p w:rsidR="00B070BF" w:rsidRPr="009577DE" w:rsidRDefault="00B070BF" w:rsidP="00C33D4A">
            <w:pPr>
              <w:widowControl w:val="0"/>
              <w:rPr>
                <w:sz w:val="16"/>
                <w:szCs w:val="16"/>
                <w:lang w:val="es-ES_tradnl" w:bidi="th-TH"/>
              </w:rPr>
            </w:pPr>
          </w:p>
          <w:p w:rsidR="00B070BF" w:rsidRPr="009577DE" w:rsidRDefault="00B070BF" w:rsidP="00C33D4A">
            <w:pPr>
              <w:widowControl w:val="0"/>
              <w:rPr>
                <w:sz w:val="16"/>
                <w:szCs w:val="16"/>
                <w:lang w:val="es-ES_tradnl"/>
              </w:rPr>
            </w:pPr>
          </w:p>
        </w:tc>
        <w:tc>
          <w:tcPr>
            <w:tcW w:w="557" w:type="pct"/>
            <w:tcBorders>
              <w:top w:val="nil"/>
              <w:bottom w:val="nil"/>
              <w:right w:val="single" w:sz="4" w:space="0" w:color="auto"/>
            </w:tcBorders>
            <w:shd w:val="clear" w:color="auto" w:fill="auto"/>
            <w:tcMar>
              <w:top w:w="110" w:type="dxa"/>
            </w:tcMar>
          </w:tcPr>
          <w:p w:rsidR="00B070BF" w:rsidRPr="009577DE" w:rsidRDefault="00B070BF" w:rsidP="00C33D4A">
            <w:pPr>
              <w:widowControl w:val="0"/>
              <w:jc w:val="center"/>
              <w:rPr>
                <w:bCs/>
                <w:sz w:val="16"/>
                <w:szCs w:val="16"/>
                <w:lang w:val="es-ES_tradnl"/>
              </w:rPr>
            </w:pPr>
            <w:r w:rsidRPr="009577DE">
              <w:rPr>
                <w:b/>
                <w:bCs/>
                <w:color w:val="FF0000"/>
                <w:sz w:val="16"/>
                <w:szCs w:val="16"/>
                <w:lang w:val="es-ES_tradnl"/>
              </w:rPr>
              <w:t>Sin avances significativos</w:t>
            </w:r>
          </w:p>
          <w:p w:rsidR="00B070BF" w:rsidRPr="009577DE" w:rsidRDefault="00B070BF" w:rsidP="00C33D4A">
            <w:pPr>
              <w:widowControl w:val="0"/>
              <w:jc w:val="center"/>
              <w:rPr>
                <w:bCs/>
                <w:sz w:val="16"/>
                <w:szCs w:val="16"/>
                <w:lang w:val="es-ES_tradnl"/>
              </w:rPr>
            </w:pPr>
          </w:p>
        </w:tc>
      </w:tr>
      <w:tr w:rsidR="00B070BF" w:rsidRPr="009577DE" w:rsidTr="00C33D4A">
        <w:trPr>
          <w:cantSplit/>
        </w:trPr>
        <w:tc>
          <w:tcPr>
            <w:tcW w:w="874" w:type="pct"/>
            <w:tcBorders>
              <w:top w:val="nil"/>
              <w:left w:val="single" w:sz="4" w:space="0" w:color="auto"/>
              <w:bottom w:val="nil"/>
            </w:tcBorders>
            <w:shd w:val="clear" w:color="auto" w:fill="auto"/>
          </w:tcPr>
          <w:p w:rsidR="00B070BF" w:rsidRPr="009577DE" w:rsidRDefault="00B070BF" w:rsidP="00C33D4A">
            <w:pPr>
              <w:widowControl w:val="0"/>
              <w:rPr>
                <w:sz w:val="16"/>
                <w:szCs w:val="16"/>
                <w:lang w:val="es-ES_tradnl" w:bidi="th-TH"/>
              </w:rPr>
            </w:pPr>
            <w:r w:rsidRPr="009577DE">
              <w:rPr>
                <w:sz w:val="16"/>
                <w:szCs w:val="16"/>
                <w:lang w:val="es-ES_tradnl" w:bidi="th-TH"/>
              </w:rPr>
              <w:t>Se aplicarán las normas profesionales, el código de ética y los consejos para la práctica del Instituto de Auditores Internos.</w:t>
            </w:r>
          </w:p>
        </w:tc>
        <w:tc>
          <w:tcPr>
            <w:tcW w:w="805" w:type="pct"/>
            <w:tcBorders>
              <w:top w:val="nil"/>
              <w:bottom w:val="nil"/>
            </w:tcBorders>
            <w:shd w:val="clear" w:color="auto" w:fill="C0C0C0"/>
          </w:tcPr>
          <w:p w:rsidR="00B070BF" w:rsidRPr="009577DE" w:rsidRDefault="00B070BF" w:rsidP="00C33D4A">
            <w:pPr>
              <w:widowControl w:val="0"/>
              <w:rPr>
                <w:sz w:val="16"/>
                <w:szCs w:val="16"/>
                <w:lang w:val="es-ES_tradnl" w:bidi="th-TH"/>
              </w:rPr>
            </w:pPr>
            <w:r w:rsidRPr="009577DE">
              <w:rPr>
                <w:sz w:val="16"/>
                <w:szCs w:val="16"/>
                <w:lang w:val="es-ES_tradnl" w:bidi="th-TH"/>
              </w:rPr>
              <w:t>Las actividades de la Sección de Auditoría Interna se valoran de la siguiente manera “conformidad general con las normas del Instituto de Auditores Internos” (examen de aseguramiento de calidad de la Sección de Auditoría Interna realizado por el Auditor Externo en 2009).</w:t>
            </w:r>
          </w:p>
        </w:tc>
        <w:tc>
          <w:tcPr>
            <w:tcW w:w="916" w:type="pct"/>
            <w:tcBorders>
              <w:top w:val="nil"/>
              <w:bottom w:val="nil"/>
            </w:tcBorders>
            <w:shd w:val="clear" w:color="auto" w:fill="auto"/>
            <w:tcMar>
              <w:top w:w="110" w:type="dxa"/>
            </w:tcMar>
          </w:tcPr>
          <w:p w:rsidR="00B070BF" w:rsidRPr="00F2661C" w:rsidRDefault="00B070BF" w:rsidP="00C33D4A">
            <w:pPr>
              <w:widowControl w:val="0"/>
              <w:rPr>
                <w:color w:val="993300"/>
                <w:sz w:val="16"/>
                <w:szCs w:val="16"/>
                <w:lang w:val="es-ES_tradnl" w:bidi="th-TH"/>
              </w:rPr>
            </w:pPr>
            <w:r w:rsidRPr="00F2661C">
              <w:rPr>
                <w:color w:val="993300"/>
                <w:sz w:val="16"/>
                <w:szCs w:val="16"/>
                <w:lang w:val="es-ES_tradnl" w:bidi="th-TH"/>
              </w:rPr>
              <w:t xml:space="preserve">El Auditor Externo llevó a cabo el examen de aseguramiento de la calidad de la función de auditoría interna.  </w:t>
            </w:r>
          </w:p>
        </w:tc>
        <w:tc>
          <w:tcPr>
            <w:tcW w:w="1848" w:type="pct"/>
            <w:tcBorders>
              <w:top w:val="nil"/>
              <w:bottom w:val="nil"/>
            </w:tcBorders>
            <w:shd w:val="clear" w:color="auto" w:fill="FFFFFF"/>
            <w:tcMar>
              <w:top w:w="110" w:type="dxa"/>
            </w:tcMar>
          </w:tcPr>
          <w:p w:rsidR="00B070BF" w:rsidRPr="009577DE" w:rsidRDefault="00B070BF" w:rsidP="00C33D4A">
            <w:pPr>
              <w:widowControl w:val="0"/>
              <w:rPr>
                <w:sz w:val="16"/>
                <w:szCs w:val="16"/>
                <w:lang w:val="es-ES_tradnl" w:bidi="th-TH"/>
              </w:rPr>
            </w:pPr>
            <w:r w:rsidRPr="009577DE">
              <w:rPr>
                <w:sz w:val="16"/>
                <w:szCs w:val="16"/>
                <w:lang w:val="es-ES_tradnl" w:bidi="th-TH"/>
              </w:rPr>
              <w:t>La labor de auditoría está sujeta a dos niveles de supervisión y control de la calidad a fin de garantizar que se cumplen las normas y lo consejos para la práctica del Instituto de Auditores Internos.</w:t>
            </w:r>
          </w:p>
          <w:p w:rsidR="00B070BF" w:rsidRPr="009577DE" w:rsidRDefault="00B070BF" w:rsidP="00C33D4A">
            <w:pPr>
              <w:widowControl w:val="0"/>
              <w:rPr>
                <w:sz w:val="16"/>
                <w:szCs w:val="16"/>
                <w:lang w:val="es-ES_tradnl" w:bidi="th-TH"/>
              </w:rPr>
            </w:pPr>
          </w:p>
          <w:p w:rsidR="00B070BF" w:rsidRPr="009577DE" w:rsidRDefault="00B070BF" w:rsidP="00C33D4A">
            <w:pPr>
              <w:widowControl w:val="0"/>
              <w:rPr>
                <w:sz w:val="16"/>
                <w:szCs w:val="16"/>
                <w:lang w:val="es-ES_tradnl"/>
              </w:rPr>
            </w:pPr>
            <w:r w:rsidRPr="009577DE">
              <w:rPr>
                <w:sz w:val="16"/>
                <w:szCs w:val="16"/>
                <w:lang w:val="es-ES_tradnl" w:bidi="th-TH"/>
              </w:rPr>
              <w:t xml:space="preserve"> </w:t>
            </w:r>
          </w:p>
        </w:tc>
        <w:tc>
          <w:tcPr>
            <w:tcW w:w="557" w:type="pct"/>
            <w:tcBorders>
              <w:top w:val="nil"/>
              <w:bottom w:val="nil"/>
              <w:right w:val="single" w:sz="4" w:space="0" w:color="auto"/>
            </w:tcBorders>
            <w:shd w:val="clear" w:color="auto" w:fill="auto"/>
            <w:tcMar>
              <w:top w:w="110" w:type="dxa"/>
            </w:tcMar>
          </w:tcPr>
          <w:p w:rsidR="00B070BF" w:rsidRPr="009577DE" w:rsidRDefault="00B070BF" w:rsidP="00C33D4A">
            <w:pPr>
              <w:widowControl w:val="0"/>
              <w:jc w:val="center"/>
              <w:rPr>
                <w:b/>
                <w:bCs/>
                <w:sz w:val="16"/>
                <w:szCs w:val="16"/>
                <w:lang w:val="es-ES_tradnl"/>
              </w:rPr>
            </w:pPr>
            <w:r w:rsidRPr="009577DE">
              <w:rPr>
                <w:b/>
                <w:bCs/>
                <w:color w:val="008000"/>
                <w:sz w:val="16"/>
                <w:szCs w:val="16"/>
                <w:lang w:val="es-ES_tradnl"/>
              </w:rPr>
              <w:t>Progresa con normalidad</w:t>
            </w:r>
          </w:p>
          <w:p w:rsidR="00B070BF" w:rsidRPr="009577DE" w:rsidRDefault="00B070BF" w:rsidP="00C33D4A">
            <w:pPr>
              <w:widowControl w:val="0"/>
              <w:jc w:val="center"/>
              <w:rPr>
                <w:bCs/>
                <w:sz w:val="16"/>
                <w:szCs w:val="16"/>
                <w:lang w:val="es-ES_tradnl"/>
              </w:rPr>
            </w:pPr>
          </w:p>
          <w:p w:rsidR="00B070BF" w:rsidRPr="009577DE" w:rsidRDefault="00B070BF" w:rsidP="00C33D4A">
            <w:pPr>
              <w:widowControl w:val="0"/>
              <w:jc w:val="center"/>
              <w:rPr>
                <w:bCs/>
                <w:sz w:val="16"/>
                <w:szCs w:val="16"/>
                <w:lang w:val="es-ES_tradnl"/>
              </w:rPr>
            </w:pPr>
          </w:p>
        </w:tc>
      </w:tr>
      <w:tr w:rsidR="00B070BF" w:rsidRPr="009577DE" w:rsidTr="00C33D4A">
        <w:trPr>
          <w:cantSplit/>
        </w:trPr>
        <w:tc>
          <w:tcPr>
            <w:tcW w:w="874" w:type="pct"/>
            <w:tcBorders>
              <w:top w:val="nil"/>
              <w:left w:val="single" w:sz="4" w:space="0" w:color="auto"/>
              <w:bottom w:val="single" w:sz="4" w:space="0" w:color="auto"/>
            </w:tcBorders>
            <w:shd w:val="clear" w:color="auto" w:fill="auto"/>
          </w:tcPr>
          <w:p w:rsidR="00B070BF" w:rsidRPr="009577DE" w:rsidRDefault="00B070BF" w:rsidP="00C33D4A">
            <w:pPr>
              <w:widowControl w:val="0"/>
              <w:rPr>
                <w:sz w:val="16"/>
                <w:szCs w:val="16"/>
                <w:lang w:val="es-ES_tradnl" w:bidi="th-TH"/>
              </w:rPr>
            </w:pPr>
            <w:r w:rsidRPr="009577DE">
              <w:rPr>
                <w:sz w:val="16"/>
                <w:szCs w:val="16"/>
                <w:lang w:val="es-ES_tradnl" w:bidi="th-TH"/>
              </w:rPr>
              <w:t>Seguimiento exhaustivo y preciso de la aplicación de las recomendaciones de supervisión formuladas, señalando las anteriores recomendaciones, las nuevas que se han añadido y su situación.</w:t>
            </w:r>
          </w:p>
        </w:tc>
        <w:tc>
          <w:tcPr>
            <w:tcW w:w="805" w:type="pct"/>
            <w:tcBorders>
              <w:top w:val="nil"/>
              <w:bottom w:val="single" w:sz="4" w:space="0" w:color="auto"/>
            </w:tcBorders>
            <w:shd w:val="clear" w:color="auto" w:fill="C0C0C0"/>
          </w:tcPr>
          <w:p w:rsidR="00B070BF" w:rsidRPr="009577DE" w:rsidRDefault="00B070BF" w:rsidP="00C33D4A">
            <w:pPr>
              <w:widowControl w:val="0"/>
              <w:rPr>
                <w:sz w:val="16"/>
                <w:szCs w:val="16"/>
                <w:lang w:val="es-ES_tradnl" w:bidi="th-TH"/>
              </w:rPr>
            </w:pPr>
            <w:r w:rsidRPr="009577DE">
              <w:rPr>
                <w:sz w:val="16"/>
                <w:szCs w:val="16"/>
                <w:lang w:val="es-ES_tradnl" w:bidi="th-TH"/>
              </w:rPr>
              <w:t>La División de Auditoría y Supervisión Internas examinó dos veces la situación de aplicación de las recomendaciones de supervisión en 2010.</w:t>
            </w:r>
          </w:p>
        </w:tc>
        <w:tc>
          <w:tcPr>
            <w:tcW w:w="916" w:type="pct"/>
            <w:tcBorders>
              <w:top w:val="nil"/>
              <w:bottom w:val="single" w:sz="4" w:space="0" w:color="auto"/>
            </w:tcBorders>
            <w:shd w:val="clear" w:color="auto" w:fill="auto"/>
            <w:tcMar>
              <w:top w:w="110" w:type="dxa"/>
            </w:tcMar>
          </w:tcPr>
          <w:p w:rsidR="00B070BF" w:rsidRPr="00F2661C" w:rsidRDefault="00B070BF" w:rsidP="00C33D4A">
            <w:pPr>
              <w:widowControl w:val="0"/>
              <w:rPr>
                <w:color w:val="993300"/>
                <w:sz w:val="16"/>
                <w:szCs w:val="16"/>
                <w:lang w:val="es-ES_tradnl" w:bidi="th-TH"/>
              </w:rPr>
            </w:pPr>
            <w:r w:rsidRPr="00F2661C">
              <w:rPr>
                <w:color w:val="993300"/>
                <w:sz w:val="16"/>
                <w:szCs w:val="16"/>
                <w:lang w:val="es-ES_tradnl" w:bidi="th-TH"/>
              </w:rPr>
              <w:t>Presentación bianual de informes sobre la aplicación de las recomendaciones relativas a la supervisión.</w:t>
            </w:r>
          </w:p>
        </w:tc>
        <w:tc>
          <w:tcPr>
            <w:tcW w:w="1848" w:type="pct"/>
            <w:tcBorders>
              <w:top w:val="nil"/>
              <w:bottom w:val="single" w:sz="4" w:space="0" w:color="auto"/>
            </w:tcBorders>
            <w:shd w:val="clear" w:color="auto" w:fill="FFFFFF"/>
            <w:tcMar>
              <w:top w:w="110" w:type="dxa"/>
            </w:tcMar>
          </w:tcPr>
          <w:p w:rsidR="00B070BF" w:rsidRPr="009577DE" w:rsidRDefault="00B070BF" w:rsidP="00C33D4A">
            <w:pPr>
              <w:widowControl w:val="0"/>
              <w:rPr>
                <w:sz w:val="16"/>
                <w:szCs w:val="16"/>
                <w:lang w:val="es-ES_tradnl" w:bidi="th-TH"/>
              </w:rPr>
            </w:pPr>
            <w:r w:rsidRPr="009577DE">
              <w:rPr>
                <w:sz w:val="16"/>
                <w:szCs w:val="16"/>
                <w:lang w:val="es-ES_tradnl" w:bidi="th-TH"/>
              </w:rPr>
              <w:t>En la presentación bianual de informes al Director General se incluyeron todas las recomendaciones relativas a la supervisión.</w:t>
            </w:r>
          </w:p>
          <w:p w:rsidR="00B070BF" w:rsidRPr="009577DE" w:rsidRDefault="00B070BF" w:rsidP="00C33D4A">
            <w:pPr>
              <w:widowControl w:val="0"/>
              <w:rPr>
                <w:sz w:val="16"/>
                <w:szCs w:val="16"/>
                <w:lang w:val="es-ES_tradnl" w:bidi="th-TH"/>
              </w:rPr>
            </w:pPr>
          </w:p>
          <w:p w:rsidR="00B070BF" w:rsidRPr="009577DE" w:rsidRDefault="00B070BF" w:rsidP="00C33D4A">
            <w:pPr>
              <w:widowControl w:val="0"/>
              <w:rPr>
                <w:sz w:val="16"/>
                <w:szCs w:val="16"/>
                <w:lang w:val="es-ES_tradnl" w:bidi="th-TH"/>
              </w:rPr>
            </w:pPr>
          </w:p>
          <w:p w:rsidR="00B070BF" w:rsidRPr="009577DE" w:rsidRDefault="00B070BF" w:rsidP="00C33D4A">
            <w:pPr>
              <w:widowControl w:val="0"/>
              <w:rPr>
                <w:sz w:val="16"/>
                <w:szCs w:val="16"/>
                <w:lang w:val="es-ES_tradnl" w:bidi="th-TH"/>
              </w:rPr>
            </w:pPr>
          </w:p>
          <w:p w:rsidR="00B070BF" w:rsidRPr="009577DE" w:rsidRDefault="00B070BF" w:rsidP="00C33D4A">
            <w:pPr>
              <w:widowControl w:val="0"/>
              <w:rPr>
                <w:sz w:val="16"/>
                <w:szCs w:val="16"/>
                <w:lang w:val="es-ES_tradnl" w:bidi="th-TH"/>
              </w:rPr>
            </w:pPr>
          </w:p>
          <w:p w:rsidR="00B070BF" w:rsidRPr="009577DE" w:rsidRDefault="00B070BF" w:rsidP="00C33D4A">
            <w:pPr>
              <w:widowControl w:val="0"/>
              <w:rPr>
                <w:sz w:val="16"/>
                <w:szCs w:val="16"/>
                <w:lang w:val="es-ES_tradnl"/>
              </w:rPr>
            </w:pPr>
          </w:p>
        </w:tc>
        <w:tc>
          <w:tcPr>
            <w:tcW w:w="557" w:type="pct"/>
            <w:tcBorders>
              <w:top w:val="nil"/>
              <w:bottom w:val="single" w:sz="4" w:space="0" w:color="auto"/>
              <w:right w:val="single" w:sz="4" w:space="0" w:color="auto"/>
            </w:tcBorders>
            <w:shd w:val="clear" w:color="auto" w:fill="auto"/>
            <w:tcMar>
              <w:top w:w="110" w:type="dxa"/>
            </w:tcMar>
          </w:tcPr>
          <w:p w:rsidR="00B070BF" w:rsidRPr="009577DE" w:rsidRDefault="00B070BF" w:rsidP="00C33D4A">
            <w:pPr>
              <w:widowControl w:val="0"/>
              <w:jc w:val="center"/>
              <w:rPr>
                <w:b/>
                <w:bCs/>
                <w:sz w:val="16"/>
                <w:szCs w:val="16"/>
                <w:lang w:val="es-ES_tradnl"/>
              </w:rPr>
            </w:pPr>
            <w:r w:rsidRPr="009577DE">
              <w:rPr>
                <w:b/>
                <w:bCs/>
                <w:color w:val="008000"/>
                <w:sz w:val="16"/>
                <w:szCs w:val="16"/>
                <w:lang w:val="es-ES_tradnl"/>
              </w:rPr>
              <w:t>Progresa con normalidad</w:t>
            </w:r>
          </w:p>
          <w:p w:rsidR="00B070BF" w:rsidRPr="009577DE" w:rsidRDefault="00B070BF" w:rsidP="00C33D4A">
            <w:pPr>
              <w:widowControl w:val="0"/>
              <w:rPr>
                <w:bCs/>
                <w:sz w:val="16"/>
                <w:szCs w:val="16"/>
                <w:lang w:val="es-ES_tradnl"/>
              </w:rPr>
            </w:pPr>
          </w:p>
          <w:p w:rsidR="00B070BF" w:rsidRPr="009577DE" w:rsidRDefault="00B070BF" w:rsidP="00C33D4A">
            <w:pPr>
              <w:widowControl w:val="0"/>
              <w:jc w:val="center"/>
              <w:rPr>
                <w:bCs/>
                <w:sz w:val="16"/>
                <w:szCs w:val="16"/>
                <w:lang w:val="es-ES_tradnl"/>
              </w:rPr>
            </w:pPr>
          </w:p>
        </w:tc>
      </w:tr>
      <w:tr w:rsidR="00B070BF" w:rsidRPr="009577DE" w:rsidTr="00C33D4A">
        <w:trPr>
          <w:cantSplit/>
        </w:trPr>
        <w:tc>
          <w:tcPr>
            <w:tcW w:w="5000" w:type="pct"/>
            <w:gridSpan w:val="5"/>
            <w:tcBorders>
              <w:top w:val="single" w:sz="4" w:space="0" w:color="auto"/>
              <w:left w:val="single" w:sz="4" w:space="0" w:color="auto"/>
              <w:bottom w:val="nil"/>
              <w:right w:val="single" w:sz="4" w:space="0" w:color="auto"/>
            </w:tcBorders>
            <w:shd w:val="clear" w:color="auto" w:fill="CCFFFF"/>
            <w:vAlign w:val="center"/>
          </w:tcPr>
          <w:p w:rsidR="00B070BF" w:rsidRPr="009577DE" w:rsidRDefault="00B070BF" w:rsidP="00C33D4A">
            <w:pPr>
              <w:keepNext/>
              <w:widowControl w:val="0"/>
              <w:tabs>
                <w:tab w:val="left" w:pos="1452"/>
              </w:tabs>
              <w:spacing w:before="120" w:after="120"/>
              <w:ind w:left="1452" w:hanging="1452"/>
              <w:rPr>
                <w:b/>
                <w:bCs/>
                <w:sz w:val="16"/>
                <w:szCs w:val="16"/>
                <w:lang w:val="es-ES_tradnl"/>
              </w:rPr>
            </w:pPr>
            <w:r w:rsidRPr="009577DE">
              <w:rPr>
                <w:b/>
                <w:bCs/>
                <w:sz w:val="16"/>
                <w:szCs w:val="16"/>
                <w:lang w:val="es-ES_tradnl"/>
              </w:rPr>
              <w:t>Resultado previsto:</w:t>
            </w:r>
            <w:r w:rsidRPr="009577DE">
              <w:rPr>
                <w:b/>
                <w:bCs/>
                <w:sz w:val="16"/>
                <w:szCs w:val="16"/>
                <w:lang w:val="es-ES_tradnl"/>
              </w:rPr>
              <w:tab/>
            </w:r>
            <w:r w:rsidRPr="009577DE">
              <w:rPr>
                <w:bCs/>
                <w:sz w:val="16"/>
                <w:szCs w:val="16"/>
                <w:lang w:val="es-ES_tradnl"/>
              </w:rPr>
              <w:t xml:space="preserve"> Los informes de investigación constituyen una base sólida para la toma de decisiones por parte del Director General.</w:t>
            </w:r>
          </w:p>
        </w:tc>
      </w:tr>
      <w:tr w:rsidR="00B070BF" w:rsidRPr="009577DE" w:rsidTr="00C33D4A">
        <w:trPr>
          <w:cantSplit/>
        </w:trPr>
        <w:tc>
          <w:tcPr>
            <w:tcW w:w="874" w:type="pct"/>
            <w:tcBorders>
              <w:top w:val="single" w:sz="4" w:space="0" w:color="auto"/>
              <w:left w:val="single" w:sz="4" w:space="0" w:color="auto"/>
              <w:bottom w:val="nil"/>
            </w:tcBorders>
            <w:shd w:val="clear" w:color="auto" w:fill="auto"/>
            <w:vAlign w:val="center"/>
          </w:tcPr>
          <w:p w:rsidR="00B070BF" w:rsidRPr="009577DE" w:rsidRDefault="00B070BF" w:rsidP="00C33D4A">
            <w:pPr>
              <w:keepNext/>
              <w:widowControl w:val="0"/>
              <w:spacing w:after="120"/>
              <w:rPr>
                <w:sz w:val="16"/>
                <w:szCs w:val="16"/>
                <w:lang w:val="es-ES_tradnl"/>
              </w:rPr>
            </w:pPr>
            <w:r w:rsidRPr="009577DE">
              <w:rPr>
                <w:b/>
                <w:bCs/>
                <w:sz w:val="16"/>
                <w:szCs w:val="16"/>
                <w:lang w:val="es-ES_tradnl"/>
              </w:rPr>
              <w:t>Indicadores de rendimiento</w:t>
            </w:r>
          </w:p>
        </w:tc>
        <w:tc>
          <w:tcPr>
            <w:tcW w:w="805" w:type="pct"/>
            <w:tcBorders>
              <w:top w:val="single" w:sz="4" w:space="0" w:color="auto"/>
              <w:bottom w:val="nil"/>
            </w:tcBorders>
            <w:shd w:val="clear" w:color="auto" w:fill="C0C0C0"/>
          </w:tcPr>
          <w:p w:rsidR="00B070BF" w:rsidRPr="009577DE" w:rsidRDefault="00B070BF" w:rsidP="00C33D4A">
            <w:pPr>
              <w:keepNext/>
              <w:widowControl w:val="0"/>
              <w:spacing w:after="120"/>
              <w:rPr>
                <w:b/>
                <w:bCs/>
                <w:sz w:val="16"/>
                <w:szCs w:val="16"/>
                <w:lang w:val="es-ES_tradnl"/>
              </w:rPr>
            </w:pPr>
            <w:r w:rsidRPr="009577DE">
              <w:rPr>
                <w:b/>
                <w:bCs/>
                <w:sz w:val="16"/>
                <w:szCs w:val="16"/>
                <w:lang w:val="es-ES_tradnl"/>
              </w:rPr>
              <w:t>Referencia (</w:t>
            </w:r>
            <w:proofErr w:type="spellStart"/>
            <w:r w:rsidRPr="009577DE">
              <w:rPr>
                <w:b/>
                <w:bCs/>
                <w:sz w:val="16"/>
                <w:szCs w:val="16"/>
                <w:lang w:val="es-ES_tradnl"/>
              </w:rPr>
              <w:t>Presup</w:t>
            </w:r>
            <w:proofErr w:type="spellEnd"/>
            <w:r w:rsidRPr="009577DE">
              <w:rPr>
                <w:b/>
                <w:bCs/>
                <w:sz w:val="16"/>
                <w:szCs w:val="16"/>
                <w:lang w:val="es-ES_tradnl"/>
              </w:rPr>
              <w:t xml:space="preserve">. por </w:t>
            </w:r>
            <w:proofErr w:type="spellStart"/>
            <w:r w:rsidRPr="009577DE">
              <w:rPr>
                <w:b/>
                <w:bCs/>
                <w:sz w:val="16"/>
                <w:szCs w:val="16"/>
                <w:lang w:val="es-ES_tradnl"/>
              </w:rPr>
              <w:t>prog</w:t>
            </w:r>
            <w:proofErr w:type="spellEnd"/>
            <w:r w:rsidRPr="009577DE">
              <w:rPr>
                <w:b/>
                <w:bCs/>
                <w:sz w:val="16"/>
                <w:szCs w:val="16"/>
                <w:lang w:val="es-ES_tradnl"/>
              </w:rPr>
              <w:t>. 2012/13)</w:t>
            </w:r>
          </w:p>
        </w:tc>
        <w:tc>
          <w:tcPr>
            <w:tcW w:w="916" w:type="pct"/>
            <w:tcBorders>
              <w:top w:val="single" w:sz="4" w:space="0" w:color="auto"/>
              <w:bottom w:val="nil"/>
            </w:tcBorders>
            <w:shd w:val="clear" w:color="auto" w:fill="auto"/>
            <w:tcMar>
              <w:top w:w="110" w:type="dxa"/>
            </w:tcMar>
            <w:vAlign w:val="center"/>
          </w:tcPr>
          <w:p w:rsidR="00B070BF" w:rsidRPr="009577DE" w:rsidRDefault="00B070BF" w:rsidP="00C33D4A">
            <w:pPr>
              <w:keepNext/>
              <w:widowControl w:val="0"/>
              <w:spacing w:after="120"/>
              <w:rPr>
                <w:b/>
                <w:sz w:val="16"/>
                <w:szCs w:val="16"/>
                <w:lang w:val="es-ES_tradnl"/>
              </w:rPr>
            </w:pPr>
            <w:r w:rsidRPr="00BF138D">
              <w:rPr>
                <w:b/>
                <w:color w:val="993300"/>
                <w:sz w:val="16"/>
                <w:szCs w:val="16"/>
                <w:lang w:val="es-ES_tradnl"/>
              </w:rPr>
              <w:t>Referencia actualizada a finales de 2011</w:t>
            </w:r>
            <w:r w:rsidRPr="009577DE">
              <w:rPr>
                <w:b/>
                <w:sz w:val="16"/>
                <w:szCs w:val="16"/>
                <w:lang w:val="es-ES_tradnl"/>
              </w:rPr>
              <w:t xml:space="preserve"> </w:t>
            </w:r>
          </w:p>
        </w:tc>
        <w:tc>
          <w:tcPr>
            <w:tcW w:w="1848" w:type="pct"/>
            <w:tcBorders>
              <w:top w:val="single" w:sz="4" w:space="0" w:color="auto"/>
              <w:bottom w:val="nil"/>
            </w:tcBorders>
            <w:shd w:val="clear" w:color="auto" w:fill="FFFFFF"/>
            <w:tcMar>
              <w:top w:w="110" w:type="dxa"/>
            </w:tcMar>
            <w:vAlign w:val="center"/>
          </w:tcPr>
          <w:p w:rsidR="00B070BF" w:rsidRPr="009577DE" w:rsidRDefault="00B070BF" w:rsidP="00C33D4A">
            <w:pPr>
              <w:keepNext/>
              <w:widowControl w:val="0"/>
              <w:spacing w:after="120"/>
              <w:rPr>
                <w:sz w:val="16"/>
                <w:szCs w:val="16"/>
                <w:lang w:val="es-ES_tradnl"/>
              </w:rPr>
            </w:pPr>
            <w:r w:rsidRPr="009577DE">
              <w:rPr>
                <w:b/>
                <w:bCs/>
                <w:sz w:val="16"/>
                <w:szCs w:val="16"/>
                <w:lang w:val="es-ES_tradnl"/>
              </w:rPr>
              <w:t>Datos sobre el rendimiento</w:t>
            </w:r>
          </w:p>
        </w:tc>
        <w:tc>
          <w:tcPr>
            <w:tcW w:w="557" w:type="pct"/>
            <w:tcBorders>
              <w:top w:val="single" w:sz="4" w:space="0" w:color="auto"/>
              <w:bottom w:val="nil"/>
              <w:right w:val="single" w:sz="4" w:space="0" w:color="auto"/>
            </w:tcBorders>
            <w:shd w:val="clear" w:color="auto" w:fill="auto"/>
            <w:tcMar>
              <w:top w:w="110" w:type="dxa"/>
            </w:tcMar>
            <w:vAlign w:val="center"/>
          </w:tcPr>
          <w:p w:rsidR="00B070BF" w:rsidRPr="009577DE" w:rsidRDefault="00B070BF" w:rsidP="00C33D4A">
            <w:pPr>
              <w:keepNext/>
              <w:widowControl w:val="0"/>
              <w:spacing w:after="120"/>
              <w:jc w:val="center"/>
              <w:rPr>
                <w:b/>
                <w:bCs/>
                <w:sz w:val="16"/>
                <w:szCs w:val="16"/>
                <w:lang w:val="es-ES_tradnl"/>
              </w:rPr>
            </w:pPr>
            <w:r w:rsidRPr="009577DE">
              <w:rPr>
                <w:b/>
                <w:bCs/>
                <w:sz w:val="16"/>
                <w:szCs w:val="16"/>
                <w:lang w:val="es-ES_tradnl"/>
              </w:rPr>
              <w:t>Clave de colores</w:t>
            </w:r>
          </w:p>
        </w:tc>
      </w:tr>
      <w:tr w:rsidR="00B070BF" w:rsidRPr="009577DE" w:rsidTr="00C33D4A">
        <w:trPr>
          <w:cantSplit/>
        </w:trPr>
        <w:tc>
          <w:tcPr>
            <w:tcW w:w="874" w:type="pct"/>
            <w:tcBorders>
              <w:top w:val="nil"/>
              <w:left w:val="single" w:sz="4" w:space="0" w:color="auto"/>
              <w:bottom w:val="single" w:sz="4" w:space="0" w:color="auto"/>
            </w:tcBorders>
            <w:shd w:val="clear" w:color="auto" w:fill="auto"/>
          </w:tcPr>
          <w:p w:rsidR="00B070BF" w:rsidRPr="009577DE" w:rsidRDefault="00B070BF" w:rsidP="00C33D4A">
            <w:pPr>
              <w:widowControl w:val="0"/>
              <w:rPr>
                <w:sz w:val="16"/>
                <w:szCs w:val="16"/>
                <w:lang w:val="es-ES_tradnl" w:bidi="th-TH"/>
              </w:rPr>
            </w:pPr>
            <w:r w:rsidRPr="009577DE">
              <w:rPr>
                <w:sz w:val="16"/>
                <w:szCs w:val="16"/>
                <w:lang w:val="es-ES_tradnl" w:bidi="th-TH"/>
              </w:rPr>
              <w:t>Las investigaciones se realizarán de conformidad con lo estipulado en la Carta de Supervisión Interna, las Directrices uniformes de las NN.UU. para las investigaciones, el Manual sobre los procedimientos de investigación y la Política de Investigación (en curso de elaboración).</w:t>
            </w:r>
          </w:p>
        </w:tc>
        <w:tc>
          <w:tcPr>
            <w:tcW w:w="805" w:type="pct"/>
            <w:tcBorders>
              <w:top w:val="nil"/>
              <w:bottom w:val="single" w:sz="4" w:space="0" w:color="auto"/>
            </w:tcBorders>
            <w:shd w:val="clear" w:color="auto" w:fill="C0C0C0"/>
          </w:tcPr>
          <w:p w:rsidR="00B070BF" w:rsidRPr="009577DE" w:rsidRDefault="00B070BF" w:rsidP="00C33D4A">
            <w:pPr>
              <w:widowControl w:val="0"/>
              <w:rPr>
                <w:sz w:val="16"/>
                <w:szCs w:val="16"/>
                <w:lang w:val="es-ES_tradnl" w:bidi="th-TH"/>
              </w:rPr>
            </w:pPr>
            <w:r w:rsidRPr="009577DE">
              <w:rPr>
                <w:sz w:val="16"/>
                <w:szCs w:val="16"/>
                <w:lang w:val="es-ES_tradnl" w:bidi="th-TH"/>
              </w:rPr>
              <w:t>Las investigaciones se realizan con puntualidad de conformidad con lo estipulado en la Carta de Supervisión Interna, las Directrices uniformes para las investigaciones de las Naciones Unidas para las investigaciones y el Manual sobre los procedimientos de investigación.</w:t>
            </w:r>
          </w:p>
        </w:tc>
        <w:tc>
          <w:tcPr>
            <w:tcW w:w="916" w:type="pct"/>
            <w:tcBorders>
              <w:top w:val="nil"/>
              <w:bottom w:val="single" w:sz="4" w:space="0" w:color="auto"/>
            </w:tcBorders>
            <w:shd w:val="clear" w:color="auto" w:fill="auto"/>
            <w:tcMar>
              <w:top w:w="110" w:type="dxa"/>
            </w:tcMar>
          </w:tcPr>
          <w:p w:rsidR="00B070BF" w:rsidRPr="009577DE" w:rsidRDefault="00B070BF" w:rsidP="00C33D4A">
            <w:pPr>
              <w:widowControl w:val="0"/>
              <w:rPr>
                <w:sz w:val="16"/>
                <w:szCs w:val="16"/>
                <w:lang w:val="es-ES_tradnl" w:bidi="th-TH"/>
              </w:rPr>
            </w:pPr>
            <w:r w:rsidRPr="00F2661C">
              <w:rPr>
                <w:color w:val="993300"/>
                <w:sz w:val="16"/>
                <w:szCs w:val="16"/>
                <w:lang w:val="es-ES_tradnl"/>
              </w:rPr>
              <w:t>12 meses</w:t>
            </w:r>
          </w:p>
        </w:tc>
        <w:tc>
          <w:tcPr>
            <w:tcW w:w="1848" w:type="pct"/>
            <w:tcBorders>
              <w:top w:val="nil"/>
              <w:bottom w:val="single" w:sz="4" w:space="0" w:color="auto"/>
            </w:tcBorders>
            <w:shd w:val="clear" w:color="auto" w:fill="FFFFFF"/>
            <w:tcMar>
              <w:top w:w="110" w:type="dxa"/>
            </w:tcMar>
          </w:tcPr>
          <w:p w:rsidR="00B070BF" w:rsidRPr="009577DE" w:rsidRDefault="00B070BF" w:rsidP="00C33D4A">
            <w:pPr>
              <w:widowControl w:val="0"/>
              <w:rPr>
                <w:sz w:val="16"/>
                <w:szCs w:val="16"/>
                <w:lang w:val="es-ES_tradnl" w:bidi="th-TH"/>
              </w:rPr>
            </w:pPr>
            <w:r w:rsidRPr="009577DE">
              <w:rPr>
                <w:sz w:val="16"/>
                <w:szCs w:val="16"/>
                <w:lang w:val="es-ES_tradnl" w:bidi="th-TH"/>
              </w:rPr>
              <w:t>En 2012 se iniciaron 21 investigaciones, en comparación con 11 en 2011 y 13 en 2010.</w:t>
            </w:r>
          </w:p>
          <w:p w:rsidR="00B070BF" w:rsidRPr="009577DE" w:rsidRDefault="00B070BF" w:rsidP="00C33D4A">
            <w:pPr>
              <w:widowControl w:val="0"/>
              <w:rPr>
                <w:sz w:val="16"/>
                <w:szCs w:val="16"/>
                <w:lang w:val="es-ES_tradnl" w:bidi="th-TH"/>
              </w:rPr>
            </w:pPr>
          </w:p>
          <w:p w:rsidR="00B070BF" w:rsidRPr="009577DE" w:rsidRDefault="00B070BF" w:rsidP="00C33D4A">
            <w:pPr>
              <w:widowControl w:val="0"/>
              <w:rPr>
                <w:sz w:val="16"/>
                <w:szCs w:val="16"/>
                <w:lang w:val="es-ES_tradnl" w:bidi="th-TH"/>
              </w:rPr>
            </w:pPr>
            <w:r w:rsidRPr="009577DE">
              <w:rPr>
                <w:sz w:val="16"/>
                <w:szCs w:val="16"/>
                <w:lang w:val="es-ES_tradnl" w:bidi="th-TH"/>
              </w:rPr>
              <w:t>A pesar del aumento del volumen de trabajo, se concluyeron 25 investigaciones en 2012, en comparación con 15 en 2011 y 23 en 2010.</w:t>
            </w:r>
          </w:p>
          <w:p w:rsidR="00B070BF" w:rsidRPr="009577DE" w:rsidRDefault="00B070BF" w:rsidP="00C33D4A">
            <w:pPr>
              <w:widowControl w:val="0"/>
              <w:rPr>
                <w:sz w:val="16"/>
                <w:szCs w:val="16"/>
                <w:lang w:val="es-ES_tradnl" w:bidi="th-TH"/>
              </w:rPr>
            </w:pPr>
          </w:p>
          <w:p w:rsidR="00B070BF" w:rsidRPr="009577DE" w:rsidRDefault="00B070BF" w:rsidP="00C33D4A">
            <w:pPr>
              <w:widowControl w:val="0"/>
              <w:rPr>
                <w:sz w:val="16"/>
                <w:szCs w:val="16"/>
                <w:lang w:val="es-ES_tradnl" w:bidi="th-TH"/>
              </w:rPr>
            </w:pPr>
            <w:r w:rsidRPr="009577DE">
              <w:rPr>
                <w:sz w:val="16"/>
                <w:szCs w:val="16"/>
                <w:lang w:val="es-ES_tradnl" w:bidi="th-TH"/>
              </w:rPr>
              <w:t>También a pesar del mayor volumen de trabajo, las investigaciones concluidas en 2012 se terminaron en un promedio de 10 meses (8,5 meses si no se tiene en cuenta un caso que llevaba pendiente 48 meses debido a circunstancias ajenas a la voluntad de la División de Auditoría y Supervisión Internas (DASI)), en comparación con 18 meses en 2011 y 17,5 meses en 2010.</w:t>
            </w:r>
          </w:p>
          <w:p w:rsidR="00B070BF" w:rsidRPr="009577DE" w:rsidRDefault="00B070BF" w:rsidP="00C33D4A">
            <w:pPr>
              <w:widowControl w:val="0"/>
              <w:rPr>
                <w:sz w:val="16"/>
                <w:szCs w:val="16"/>
                <w:lang w:val="es-ES_tradnl"/>
              </w:rPr>
            </w:pPr>
          </w:p>
        </w:tc>
        <w:tc>
          <w:tcPr>
            <w:tcW w:w="557" w:type="pct"/>
            <w:tcBorders>
              <w:top w:val="nil"/>
              <w:bottom w:val="single" w:sz="4" w:space="0" w:color="auto"/>
              <w:right w:val="single" w:sz="4" w:space="0" w:color="auto"/>
            </w:tcBorders>
            <w:shd w:val="clear" w:color="auto" w:fill="auto"/>
            <w:tcMar>
              <w:top w:w="110" w:type="dxa"/>
            </w:tcMar>
          </w:tcPr>
          <w:p w:rsidR="00B070BF" w:rsidRPr="009577DE" w:rsidRDefault="00B070BF" w:rsidP="00C33D4A">
            <w:pPr>
              <w:widowControl w:val="0"/>
              <w:jc w:val="center"/>
              <w:rPr>
                <w:bCs/>
                <w:sz w:val="16"/>
                <w:szCs w:val="16"/>
                <w:lang w:val="es-ES_tradnl"/>
              </w:rPr>
            </w:pPr>
            <w:r w:rsidRPr="009577DE">
              <w:rPr>
                <w:b/>
                <w:bCs/>
                <w:color w:val="008000"/>
                <w:sz w:val="16"/>
                <w:szCs w:val="16"/>
                <w:lang w:val="es-ES_tradnl"/>
              </w:rPr>
              <w:t>Progresa con normalidad</w:t>
            </w:r>
          </w:p>
          <w:p w:rsidR="00B070BF" w:rsidRPr="009577DE" w:rsidRDefault="00B070BF" w:rsidP="00C33D4A">
            <w:pPr>
              <w:widowControl w:val="0"/>
              <w:jc w:val="center"/>
              <w:rPr>
                <w:bCs/>
                <w:sz w:val="16"/>
                <w:szCs w:val="16"/>
                <w:lang w:val="es-ES_tradnl"/>
              </w:rPr>
            </w:pPr>
          </w:p>
          <w:p w:rsidR="00B070BF" w:rsidRPr="009577DE" w:rsidRDefault="00B070BF" w:rsidP="00C33D4A">
            <w:pPr>
              <w:widowControl w:val="0"/>
              <w:jc w:val="center"/>
              <w:rPr>
                <w:bCs/>
                <w:sz w:val="16"/>
                <w:szCs w:val="16"/>
                <w:lang w:val="es-ES_tradnl"/>
              </w:rPr>
            </w:pPr>
          </w:p>
        </w:tc>
      </w:tr>
      <w:tr w:rsidR="00B070BF" w:rsidRPr="009577DE" w:rsidTr="00C33D4A">
        <w:trPr>
          <w:cantSplit/>
        </w:trPr>
        <w:tc>
          <w:tcPr>
            <w:tcW w:w="5000" w:type="pct"/>
            <w:gridSpan w:val="5"/>
            <w:tcBorders>
              <w:top w:val="single" w:sz="4" w:space="0" w:color="auto"/>
              <w:left w:val="single" w:sz="4" w:space="0" w:color="auto"/>
              <w:bottom w:val="nil"/>
              <w:right w:val="single" w:sz="4" w:space="0" w:color="auto"/>
            </w:tcBorders>
            <w:shd w:val="clear" w:color="auto" w:fill="CCFFFF"/>
            <w:vAlign w:val="center"/>
          </w:tcPr>
          <w:p w:rsidR="00B070BF" w:rsidRPr="009577DE" w:rsidRDefault="00B070BF" w:rsidP="00C33D4A">
            <w:pPr>
              <w:widowControl w:val="0"/>
              <w:tabs>
                <w:tab w:val="left" w:pos="1452"/>
              </w:tabs>
              <w:spacing w:before="120" w:after="120"/>
              <w:ind w:left="1452" w:hanging="1452"/>
              <w:rPr>
                <w:b/>
                <w:bCs/>
                <w:sz w:val="16"/>
                <w:szCs w:val="16"/>
                <w:lang w:val="es-ES_tradnl"/>
              </w:rPr>
            </w:pPr>
            <w:r w:rsidRPr="009577DE">
              <w:rPr>
                <w:b/>
                <w:bCs/>
                <w:sz w:val="16"/>
                <w:szCs w:val="16"/>
                <w:lang w:val="es-ES_tradnl"/>
              </w:rPr>
              <w:lastRenderedPageBreak/>
              <w:t>Resultado previsto:</w:t>
            </w:r>
            <w:r w:rsidRPr="009577DE">
              <w:rPr>
                <w:b/>
                <w:bCs/>
                <w:sz w:val="16"/>
                <w:szCs w:val="16"/>
                <w:lang w:val="es-ES_tradnl"/>
              </w:rPr>
              <w:tab/>
            </w:r>
            <w:r w:rsidRPr="009577DE">
              <w:rPr>
                <w:bCs/>
                <w:sz w:val="16"/>
                <w:szCs w:val="16"/>
                <w:lang w:val="es-ES_tradnl"/>
              </w:rPr>
              <w:t xml:space="preserve"> El personal directivo superior, los directores de programa y los Estados miembros tienen a su disposición informaciones basadas en datos fidedignos para tomar decisiones.</w:t>
            </w:r>
          </w:p>
        </w:tc>
      </w:tr>
      <w:tr w:rsidR="00B070BF" w:rsidRPr="009577DE" w:rsidTr="00C33D4A">
        <w:trPr>
          <w:cantSplit/>
        </w:trPr>
        <w:tc>
          <w:tcPr>
            <w:tcW w:w="874" w:type="pct"/>
            <w:tcBorders>
              <w:top w:val="single" w:sz="4" w:space="0" w:color="auto"/>
              <w:left w:val="single" w:sz="4" w:space="0" w:color="auto"/>
              <w:bottom w:val="nil"/>
            </w:tcBorders>
            <w:shd w:val="clear" w:color="auto" w:fill="auto"/>
            <w:vAlign w:val="center"/>
          </w:tcPr>
          <w:p w:rsidR="00B070BF" w:rsidRPr="009577DE" w:rsidRDefault="00B070BF" w:rsidP="00C33D4A">
            <w:pPr>
              <w:widowControl w:val="0"/>
              <w:spacing w:after="120"/>
              <w:rPr>
                <w:sz w:val="16"/>
                <w:szCs w:val="16"/>
                <w:lang w:val="es-ES_tradnl"/>
              </w:rPr>
            </w:pPr>
            <w:r w:rsidRPr="009577DE">
              <w:rPr>
                <w:b/>
                <w:bCs/>
                <w:sz w:val="16"/>
                <w:szCs w:val="16"/>
                <w:lang w:val="es-ES_tradnl"/>
              </w:rPr>
              <w:t>Indicadores de rendimiento</w:t>
            </w:r>
          </w:p>
        </w:tc>
        <w:tc>
          <w:tcPr>
            <w:tcW w:w="805" w:type="pct"/>
            <w:tcBorders>
              <w:top w:val="single" w:sz="4" w:space="0" w:color="auto"/>
              <w:bottom w:val="nil"/>
            </w:tcBorders>
            <w:shd w:val="clear" w:color="auto" w:fill="C0C0C0"/>
          </w:tcPr>
          <w:p w:rsidR="00B070BF" w:rsidRPr="009577DE" w:rsidRDefault="00B070BF" w:rsidP="00C33D4A">
            <w:pPr>
              <w:widowControl w:val="0"/>
              <w:spacing w:after="120"/>
              <w:rPr>
                <w:b/>
                <w:bCs/>
                <w:sz w:val="16"/>
                <w:szCs w:val="16"/>
                <w:lang w:val="es-ES_tradnl"/>
              </w:rPr>
            </w:pPr>
            <w:r w:rsidRPr="009577DE">
              <w:rPr>
                <w:b/>
                <w:bCs/>
                <w:sz w:val="16"/>
                <w:szCs w:val="16"/>
                <w:lang w:val="es-ES_tradnl"/>
              </w:rPr>
              <w:t>Referencia (</w:t>
            </w:r>
            <w:proofErr w:type="spellStart"/>
            <w:r w:rsidRPr="009577DE">
              <w:rPr>
                <w:b/>
                <w:bCs/>
                <w:sz w:val="16"/>
                <w:szCs w:val="16"/>
                <w:lang w:val="es-ES_tradnl"/>
              </w:rPr>
              <w:t>Presup</w:t>
            </w:r>
            <w:proofErr w:type="spellEnd"/>
            <w:r w:rsidRPr="009577DE">
              <w:rPr>
                <w:b/>
                <w:bCs/>
                <w:sz w:val="16"/>
                <w:szCs w:val="16"/>
                <w:lang w:val="es-ES_tradnl"/>
              </w:rPr>
              <w:t xml:space="preserve">. por </w:t>
            </w:r>
            <w:proofErr w:type="spellStart"/>
            <w:r w:rsidRPr="009577DE">
              <w:rPr>
                <w:b/>
                <w:bCs/>
                <w:sz w:val="16"/>
                <w:szCs w:val="16"/>
                <w:lang w:val="es-ES_tradnl"/>
              </w:rPr>
              <w:t>prog</w:t>
            </w:r>
            <w:proofErr w:type="spellEnd"/>
            <w:r w:rsidRPr="009577DE">
              <w:rPr>
                <w:b/>
                <w:bCs/>
                <w:sz w:val="16"/>
                <w:szCs w:val="16"/>
                <w:lang w:val="es-ES_tradnl"/>
              </w:rPr>
              <w:t>. 2012/13)</w:t>
            </w:r>
          </w:p>
        </w:tc>
        <w:tc>
          <w:tcPr>
            <w:tcW w:w="916" w:type="pct"/>
            <w:tcBorders>
              <w:top w:val="single" w:sz="4" w:space="0" w:color="auto"/>
              <w:bottom w:val="nil"/>
            </w:tcBorders>
            <w:shd w:val="clear" w:color="auto" w:fill="auto"/>
            <w:tcMar>
              <w:top w:w="110" w:type="dxa"/>
            </w:tcMar>
            <w:vAlign w:val="center"/>
          </w:tcPr>
          <w:p w:rsidR="00B070BF" w:rsidRPr="009577DE" w:rsidRDefault="00B070BF" w:rsidP="00C33D4A">
            <w:pPr>
              <w:widowControl w:val="0"/>
              <w:spacing w:after="120"/>
              <w:rPr>
                <w:b/>
                <w:sz w:val="16"/>
                <w:szCs w:val="16"/>
                <w:lang w:val="es-ES_tradnl"/>
              </w:rPr>
            </w:pPr>
            <w:r w:rsidRPr="00BF138D">
              <w:rPr>
                <w:b/>
                <w:color w:val="993300"/>
                <w:sz w:val="16"/>
                <w:szCs w:val="16"/>
                <w:lang w:val="es-ES_tradnl"/>
              </w:rPr>
              <w:t>Referencia actualizada a finales de 2011</w:t>
            </w:r>
            <w:r w:rsidRPr="009577DE">
              <w:rPr>
                <w:b/>
                <w:sz w:val="16"/>
                <w:szCs w:val="16"/>
                <w:lang w:val="es-ES_tradnl"/>
              </w:rPr>
              <w:t xml:space="preserve"> </w:t>
            </w:r>
          </w:p>
        </w:tc>
        <w:tc>
          <w:tcPr>
            <w:tcW w:w="1848" w:type="pct"/>
            <w:tcBorders>
              <w:top w:val="single" w:sz="4" w:space="0" w:color="auto"/>
              <w:bottom w:val="nil"/>
            </w:tcBorders>
            <w:shd w:val="clear" w:color="auto" w:fill="FFFFFF"/>
            <w:tcMar>
              <w:top w:w="110" w:type="dxa"/>
            </w:tcMar>
            <w:vAlign w:val="center"/>
          </w:tcPr>
          <w:p w:rsidR="00B070BF" w:rsidRPr="009577DE" w:rsidRDefault="00B070BF" w:rsidP="00C33D4A">
            <w:pPr>
              <w:widowControl w:val="0"/>
              <w:spacing w:after="120"/>
              <w:rPr>
                <w:sz w:val="16"/>
                <w:szCs w:val="16"/>
                <w:lang w:val="es-ES_tradnl"/>
              </w:rPr>
            </w:pPr>
            <w:r w:rsidRPr="009577DE">
              <w:rPr>
                <w:b/>
                <w:bCs/>
                <w:sz w:val="16"/>
                <w:szCs w:val="16"/>
                <w:lang w:val="es-ES_tradnl"/>
              </w:rPr>
              <w:t>Datos sobre el rendimiento</w:t>
            </w:r>
          </w:p>
        </w:tc>
        <w:tc>
          <w:tcPr>
            <w:tcW w:w="557" w:type="pct"/>
            <w:tcBorders>
              <w:top w:val="single" w:sz="4" w:space="0" w:color="auto"/>
              <w:bottom w:val="nil"/>
              <w:right w:val="single" w:sz="4" w:space="0" w:color="auto"/>
            </w:tcBorders>
            <w:shd w:val="clear" w:color="auto" w:fill="auto"/>
            <w:tcMar>
              <w:top w:w="110" w:type="dxa"/>
            </w:tcMar>
            <w:vAlign w:val="center"/>
          </w:tcPr>
          <w:p w:rsidR="00B070BF" w:rsidRPr="009577DE" w:rsidRDefault="00B070BF" w:rsidP="00C33D4A">
            <w:pPr>
              <w:widowControl w:val="0"/>
              <w:spacing w:after="120"/>
              <w:jc w:val="center"/>
              <w:rPr>
                <w:b/>
                <w:bCs/>
                <w:sz w:val="16"/>
                <w:szCs w:val="16"/>
                <w:lang w:val="es-ES_tradnl"/>
              </w:rPr>
            </w:pPr>
            <w:r w:rsidRPr="009577DE">
              <w:rPr>
                <w:b/>
                <w:bCs/>
                <w:sz w:val="16"/>
                <w:szCs w:val="16"/>
                <w:lang w:val="es-ES_tradnl"/>
              </w:rPr>
              <w:t>Clave de colores</w:t>
            </w:r>
          </w:p>
        </w:tc>
      </w:tr>
      <w:tr w:rsidR="00B070BF" w:rsidRPr="009577DE" w:rsidTr="00C33D4A">
        <w:trPr>
          <w:cantSplit/>
        </w:trPr>
        <w:tc>
          <w:tcPr>
            <w:tcW w:w="874" w:type="pct"/>
            <w:tcBorders>
              <w:top w:val="nil"/>
              <w:left w:val="single" w:sz="4" w:space="0" w:color="auto"/>
              <w:bottom w:val="single" w:sz="4" w:space="0" w:color="auto"/>
            </w:tcBorders>
            <w:shd w:val="clear" w:color="auto" w:fill="auto"/>
          </w:tcPr>
          <w:p w:rsidR="00B070BF" w:rsidRPr="009577DE" w:rsidRDefault="00B070BF" w:rsidP="00C33D4A">
            <w:pPr>
              <w:widowControl w:val="0"/>
              <w:rPr>
                <w:sz w:val="16"/>
                <w:szCs w:val="16"/>
                <w:lang w:val="es-ES_tradnl" w:bidi="th-TH"/>
              </w:rPr>
            </w:pPr>
            <w:r w:rsidRPr="009577DE">
              <w:rPr>
                <w:sz w:val="16"/>
                <w:szCs w:val="16"/>
                <w:lang w:val="es-ES_tradnl" w:bidi="th-TH"/>
              </w:rPr>
              <w:t>Las evaluaciones se realizan de conformidad con lo establecido en la Política de Evaluación y el Manual sobre los procedimientos de evaluación.</w:t>
            </w:r>
          </w:p>
        </w:tc>
        <w:tc>
          <w:tcPr>
            <w:tcW w:w="805" w:type="pct"/>
            <w:tcBorders>
              <w:top w:val="nil"/>
              <w:bottom w:val="single" w:sz="4" w:space="0" w:color="auto"/>
            </w:tcBorders>
            <w:shd w:val="clear" w:color="auto" w:fill="C0C0C0"/>
          </w:tcPr>
          <w:p w:rsidR="00B070BF" w:rsidRPr="009577DE" w:rsidRDefault="00B070BF" w:rsidP="00C33D4A">
            <w:pPr>
              <w:widowControl w:val="0"/>
              <w:rPr>
                <w:sz w:val="16"/>
                <w:szCs w:val="16"/>
                <w:lang w:val="es-ES_tradnl" w:bidi="th-TH"/>
              </w:rPr>
            </w:pPr>
            <w:r w:rsidRPr="009577DE">
              <w:rPr>
                <w:sz w:val="16"/>
                <w:szCs w:val="16"/>
                <w:lang w:val="es-ES_tradnl" w:bidi="th-TH"/>
              </w:rPr>
              <w:t>La Política de Evaluación se aplicará progresivamente a lo largo de 2012 y 2013.</w:t>
            </w:r>
          </w:p>
        </w:tc>
        <w:tc>
          <w:tcPr>
            <w:tcW w:w="916" w:type="pct"/>
            <w:tcBorders>
              <w:top w:val="nil"/>
              <w:bottom w:val="single" w:sz="4" w:space="0" w:color="auto"/>
            </w:tcBorders>
            <w:shd w:val="clear" w:color="auto" w:fill="auto"/>
            <w:tcMar>
              <w:top w:w="110" w:type="dxa"/>
            </w:tcMar>
          </w:tcPr>
          <w:p w:rsidR="00B070BF" w:rsidRPr="009577DE" w:rsidRDefault="00B070BF" w:rsidP="00C33D4A">
            <w:pPr>
              <w:widowControl w:val="0"/>
              <w:rPr>
                <w:sz w:val="16"/>
                <w:szCs w:val="16"/>
                <w:lang w:val="es-ES_tradnl" w:bidi="th-TH"/>
              </w:rPr>
            </w:pPr>
            <w:r w:rsidRPr="00F2661C">
              <w:rPr>
                <w:color w:val="993300"/>
                <w:sz w:val="16"/>
                <w:szCs w:val="16"/>
                <w:lang w:val="es-ES_tradnl" w:bidi="th-TH"/>
              </w:rPr>
              <w:t>Casi se terminó una evaluación de la cartera de proyectos por país (</w:t>
            </w:r>
            <w:proofErr w:type="spellStart"/>
            <w:r w:rsidRPr="00F2661C">
              <w:rPr>
                <w:color w:val="993300"/>
                <w:sz w:val="16"/>
                <w:szCs w:val="16"/>
                <w:lang w:val="es-ES_tradnl" w:bidi="th-TH"/>
              </w:rPr>
              <w:t>Kenya</w:t>
            </w:r>
            <w:proofErr w:type="spellEnd"/>
            <w:r w:rsidRPr="00F2661C">
              <w:rPr>
                <w:color w:val="993300"/>
                <w:sz w:val="16"/>
                <w:szCs w:val="16"/>
                <w:lang w:val="es-ES_tradnl" w:bidi="th-TH"/>
              </w:rPr>
              <w:t>) (se recibió el proyecto de informe final).</w:t>
            </w:r>
          </w:p>
        </w:tc>
        <w:tc>
          <w:tcPr>
            <w:tcW w:w="1848" w:type="pct"/>
            <w:tcBorders>
              <w:top w:val="nil"/>
              <w:bottom w:val="single" w:sz="4" w:space="0" w:color="auto"/>
            </w:tcBorders>
            <w:shd w:val="clear" w:color="auto" w:fill="FFFFFF"/>
            <w:tcMar>
              <w:top w:w="110" w:type="dxa"/>
            </w:tcMar>
          </w:tcPr>
          <w:p w:rsidR="00B070BF" w:rsidRPr="009577DE" w:rsidRDefault="00B070BF" w:rsidP="00C33D4A">
            <w:pPr>
              <w:widowControl w:val="0"/>
              <w:rPr>
                <w:sz w:val="16"/>
                <w:szCs w:val="16"/>
                <w:lang w:val="es-ES_tradnl" w:bidi="th-TH"/>
              </w:rPr>
            </w:pPr>
            <w:r w:rsidRPr="009577DE">
              <w:rPr>
                <w:sz w:val="16"/>
                <w:szCs w:val="16"/>
                <w:lang w:val="es-ES_tradnl" w:bidi="th-TH"/>
              </w:rPr>
              <w:t>Se completó la evaluación de la cartera de proyectos por país (</w:t>
            </w:r>
            <w:proofErr w:type="spellStart"/>
            <w:r w:rsidRPr="009577DE">
              <w:rPr>
                <w:sz w:val="16"/>
                <w:szCs w:val="16"/>
                <w:lang w:val="es-ES_tradnl" w:bidi="th-TH"/>
              </w:rPr>
              <w:t>Kenya</w:t>
            </w:r>
            <w:proofErr w:type="spellEnd"/>
            <w:r w:rsidRPr="009577DE">
              <w:rPr>
                <w:sz w:val="16"/>
                <w:szCs w:val="16"/>
                <w:lang w:val="es-ES_tradnl" w:bidi="th-TH"/>
              </w:rPr>
              <w:t>) y el informe de validación del informe sobre el rendimiento de los programas (PPR) de 2010/11 (en colaboración con la Sección de Auditoría Interna), además de finalizarse/presentarse al CDIP cuatro evaluaciones de proyectos de la Agenda para el Desarrollo que eran conformes con las recomendaciones principales o las aplicaban.</w:t>
            </w:r>
          </w:p>
          <w:p w:rsidR="00B070BF" w:rsidRPr="009577DE" w:rsidRDefault="00B070BF" w:rsidP="00C33D4A">
            <w:pPr>
              <w:widowControl w:val="0"/>
              <w:rPr>
                <w:sz w:val="16"/>
                <w:szCs w:val="16"/>
                <w:lang w:val="es-ES_tradnl" w:bidi="th-TH"/>
              </w:rPr>
            </w:pPr>
          </w:p>
          <w:p w:rsidR="00B070BF" w:rsidRPr="009577DE" w:rsidRDefault="00B070BF" w:rsidP="00C33D4A">
            <w:pPr>
              <w:widowControl w:val="0"/>
              <w:rPr>
                <w:sz w:val="16"/>
                <w:szCs w:val="16"/>
                <w:lang w:val="es-ES_tradnl" w:bidi="th-TH"/>
              </w:rPr>
            </w:pPr>
            <w:r w:rsidRPr="009577DE">
              <w:rPr>
                <w:sz w:val="16"/>
                <w:szCs w:val="16"/>
                <w:lang w:val="es-ES_tradnl" w:bidi="th-TH"/>
              </w:rPr>
              <w:t>Toda la labor de evaluación se realizó de conformidad con los principios y procedimientos de la Política de Evaluación, la estrategia de evaluación y el Manual.</w:t>
            </w:r>
          </w:p>
          <w:p w:rsidR="00B070BF" w:rsidRPr="009577DE" w:rsidRDefault="00B070BF" w:rsidP="00C33D4A">
            <w:pPr>
              <w:widowControl w:val="0"/>
              <w:rPr>
                <w:sz w:val="16"/>
                <w:szCs w:val="16"/>
                <w:lang w:val="es-ES_tradnl"/>
              </w:rPr>
            </w:pPr>
          </w:p>
        </w:tc>
        <w:tc>
          <w:tcPr>
            <w:tcW w:w="557" w:type="pct"/>
            <w:tcBorders>
              <w:top w:val="nil"/>
              <w:bottom w:val="single" w:sz="4" w:space="0" w:color="auto"/>
              <w:right w:val="single" w:sz="4" w:space="0" w:color="auto"/>
            </w:tcBorders>
            <w:shd w:val="clear" w:color="auto" w:fill="auto"/>
            <w:tcMar>
              <w:top w:w="110" w:type="dxa"/>
            </w:tcMar>
          </w:tcPr>
          <w:p w:rsidR="00B070BF" w:rsidRPr="009577DE" w:rsidRDefault="00B070BF" w:rsidP="00C33D4A">
            <w:pPr>
              <w:widowControl w:val="0"/>
              <w:jc w:val="center"/>
              <w:rPr>
                <w:b/>
                <w:bCs/>
                <w:sz w:val="16"/>
                <w:szCs w:val="16"/>
                <w:lang w:val="es-ES_tradnl"/>
              </w:rPr>
            </w:pPr>
            <w:r w:rsidRPr="009577DE">
              <w:rPr>
                <w:b/>
                <w:bCs/>
                <w:color w:val="008000"/>
                <w:sz w:val="16"/>
                <w:szCs w:val="16"/>
                <w:lang w:val="es-ES_tradnl"/>
              </w:rPr>
              <w:t>Progresa con normalidad</w:t>
            </w:r>
          </w:p>
          <w:p w:rsidR="00B070BF" w:rsidRPr="009577DE" w:rsidRDefault="00B070BF" w:rsidP="00C33D4A">
            <w:pPr>
              <w:widowControl w:val="0"/>
              <w:jc w:val="center"/>
              <w:rPr>
                <w:bCs/>
                <w:sz w:val="16"/>
                <w:szCs w:val="16"/>
                <w:lang w:val="es-ES_tradnl"/>
              </w:rPr>
            </w:pPr>
          </w:p>
          <w:p w:rsidR="00B070BF" w:rsidRPr="009577DE" w:rsidRDefault="00B070BF" w:rsidP="00C33D4A">
            <w:pPr>
              <w:widowControl w:val="0"/>
              <w:jc w:val="center"/>
              <w:rPr>
                <w:bCs/>
                <w:sz w:val="16"/>
                <w:szCs w:val="16"/>
                <w:lang w:val="es-ES_tradnl"/>
              </w:rPr>
            </w:pPr>
          </w:p>
        </w:tc>
      </w:tr>
    </w:tbl>
    <w:p w:rsidR="00B070BF" w:rsidRPr="009577DE" w:rsidRDefault="00B070BF" w:rsidP="00B070BF">
      <w:pPr>
        <w:widowControl w:val="0"/>
        <w:jc w:val="both"/>
        <w:rPr>
          <w:sz w:val="20"/>
          <w:szCs w:val="22"/>
          <w:lang w:val="es-ES_tradnl"/>
        </w:rPr>
      </w:pPr>
    </w:p>
    <w:p w:rsidR="00B070BF" w:rsidRPr="009577DE" w:rsidRDefault="00B070BF" w:rsidP="00B070BF">
      <w:pPr>
        <w:widowControl w:val="0"/>
        <w:rPr>
          <w:b/>
          <w:sz w:val="18"/>
          <w:szCs w:val="18"/>
          <w:lang w:val="es-ES_tradnl"/>
        </w:rPr>
      </w:pPr>
    </w:p>
    <w:p w:rsidR="00B070BF" w:rsidRPr="009577DE" w:rsidRDefault="00B070BF" w:rsidP="00B070BF">
      <w:pPr>
        <w:widowControl w:val="0"/>
        <w:rPr>
          <w:sz w:val="20"/>
          <w:szCs w:val="22"/>
          <w:lang w:val="es-ES_tradnl"/>
        </w:rPr>
      </w:pPr>
      <w:r w:rsidRPr="009577DE">
        <w:rPr>
          <w:sz w:val="20"/>
          <w:szCs w:val="22"/>
          <w:lang w:val="es-ES_tradnl"/>
        </w:rPr>
        <w:t>PRESUPUESTO Y GASTOS REALES</w:t>
      </w:r>
    </w:p>
    <w:p w:rsidR="00B070BF" w:rsidRPr="009577DE" w:rsidRDefault="00B070BF" w:rsidP="00B070BF">
      <w:pPr>
        <w:widowControl w:val="0"/>
        <w:rPr>
          <w:sz w:val="20"/>
          <w:szCs w:val="22"/>
          <w:lang w:val="es-ES_tradnl"/>
        </w:rPr>
      </w:pPr>
    </w:p>
    <w:p w:rsidR="00B070BF" w:rsidRPr="006964C6" w:rsidRDefault="00B070BF" w:rsidP="00B070BF">
      <w:pPr>
        <w:widowControl w:val="0"/>
        <w:jc w:val="center"/>
        <w:rPr>
          <w:sz w:val="20"/>
          <w:lang w:val="es-ES_tradnl"/>
        </w:rPr>
      </w:pPr>
      <w:r w:rsidRPr="006964C6">
        <w:rPr>
          <w:sz w:val="20"/>
          <w:lang w:val="es-ES_tradnl"/>
        </w:rPr>
        <w:t>Presupuesto y gastos reales (por resultado)</w:t>
      </w:r>
    </w:p>
    <w:p w:rsidR="00B070BF" w:rsidRPr="009577DE" w:rsidRDefault="00B070BF" w:rsidP="00B070BF">
      <w:pPr>
        <w:widowControl w:val="0"/>
        <w:jc w:val="center"/>
        <w:rPr>
          <w:sz w:val="20"/>
          <w:szCs w:val="22"/>
          <w:lang w:val="es-ES_tradnl"/>
        </w:rPr>
      </w:pPr>
      <w:r w:rsidRPr="006964C6">
        <w:rPr>
          <w:i/>
          <w:iCs/>
          <w:sz w:val="20"/>
          <w:lang w:val="es-ES_tradnl"/>
        </w:rPr>
        <w:t>(en miles de francos suizos)</w:t>
      </w:r>
      <w:r w:rsidRPr="006964C6">
        <w:rPr>
          <w:i/>
          <w:iCs/>
          <w:sz w:val="20"/>
          <w:lang w:val="es-ES_tradnl"/>
        </w:rPr>
        <w:br/>
      </w:r>
      <w:r w:rsidRPr="006964C6">
        <w:rPr>
          <w:i/>
          <w:iCs/>
          <w:sz w:val="20"/>
          <w:lang w:val="es-ES_tradnl"/>
        </w:rPr>
        <w:br/>
      </w:r>
      <w:r w:rsidRPr="009577DE">
        <w:rPr>
          <w:noProof/>
          <w:lang w:val="en-US" w:eastAsia="en-US"/>
        </w:rPr>
        <w:drawing>
          <wp:inline distT="0" distB="0" distL="0" distR="0" wp14:anchorId="664F9C56" wp14:editId="172D86E8">
            <wp:extent cx="5902325" cy="1840865"/>
            <wp:effectExtent l="0" t="0" r="3175" b="6985"/>
            <wp:docPr id="250" name="Picture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5902325" cy="1840865"/>
                    </a:xfrm>
                    <a:prstGeom prst="rect">
                      <a:avLst/>
                    </a:prstGeom>
                    <a:noFill/>
                    <a:ln>
                      <a:noFill/>
                    </a:ln>
                  </pic:spPr>
                </pic:pic>
              </a:graphicData>
            </a:graphic>
          </wp:inline>
        </w:drawing>
      </w:r>
    </w:p>
    <w:p w:rsidR="00B070BF" w:rsidRPr="009577DE" w:rsidRDefault="00B070BF" w:rsidP="00B070BF">
      <w:pPr>
        <w:widowControl w:val="0"/>
        <w:jc w:val="center"/>
        <w:rPr>
          <w:szCs w:val="22"/>
          <w:lang w:val="es-ES_tradnl"/>
        </w:rPr>
      </w:pPr>
    </w:p>
    <w:p w:rsidR="00B070BF" w:rsidRPr="006964C6" w:rsidRDefault="00B070BF" w:rsidP="00B070BF">
      <w:pPr>
        <w:widowControl w:val="0"/>
        <w:jc w:val="center"/>
        <w:rPr>
          <w:sz w:val="20"/>
          <w:lang w:val="es-ES_tradnl"/>
        </w:rPr>
      </w:pPr>
    </w:p>
    <w:p w:rsidR="00B070BF" w:rsidRPr="009577DE" w:rsidRDefault="00B070BF" w:rsidP="00B070BF">
      <w:pPr>
        <w:widowControl w:val="0"/>
        <w:spacing w:before="100" w:after="100"/>
        <w:jc w:val="center"/>
        <w:rPr>
          <w:lang w:val="es-ES_tradnl"/>
        </w:rPr>
      </w:pPr>
      <w:r w:rsidRPr="006964C6">
        <w:rPr>
          <w:sz w:val="20"/>
          <w:lang w:val="es-ES_tradnl"/>
        </w:rPr>
        <w:t>Presupuesto y gastos reales (de personal y no relativos al personal)</w:t>
      </w:r>
      <w:r w:rsidRPr="006964C6">
        <w:rPr>
          <w:sz w:val="20"/>
          <w:lang w:val="es-ES_tradnl"/>
        </w:rPr>
        <w:br/>
      </w:r>
      <w:r w:rsidRPr="006964C6">
        <w:rPr>
          <w:i/>
          <w:sz w:val="20"/>
          <w:lang w:val="es-ES_tradnl"/>
        </w:rPr>
        <w:t>(en miles de francos suizos)</w:t>
      </w:r>
      <w:r w:rsidRPr="006964C6">
        <w:rPr>
          <w:i/>
          <w:sz w:val="20"/>
          <w:lang w:val="es-ES_tradnl"/>
        </w:rPr>
        <w:br/>
      </w:r>
      <w:r w:rsidRPr="006964C6">
        <w:rPr>
          <w:sz w:val="20"/>
          <w:lang w:val="es-ES_tradnl"/>
        </w:rPr>
        <w:br/>
      </w:r>
      <w:r w:rsidRPr="009577DE">
        <w:rPr>
          <w:noProof/>
          <w:lang w:val="en-US" w:eastAsia="en-US"/>
        </w:rPr>
        <w:drawing>
          <wp:inline distT="0" distB="0" distL="0" distR="0" wp14:anchorId="489D28D4" wp14:editId="50342FD8">
            <wp:extent cx="5902325" cy="1211580"/>
            <wp:effectExtent l="0" t="0" r="3175" b="7620"/>
            <wp:docPr id="249"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5902325" cy="1211580"/>
                    </a:xfrm>
                    <a:prstGeom prst="rect">
                      <a:avLst/>
                    </a:prstGeom>
                    <a:noFill/>
                    <a:ln>
                      <a:noFill/>
                    </a:ln>
                  </pic:spPr>
                </pic:pic>
              </a:graphicData>
            </a:graphic>
          </wp:inline>
        </w:drawing>
      </w:r>
      <w:r w:rsidRPr="009577DE">
        <w:rPr>
          <w:lang w:val="es-ES_tradnl"/>
        </w:rPr>
        <w:br/>
      </w:r>
    </w:p>
    <w:p w:rsidR="00B070BF" w:rsidRPr="009577DE" w:rsidRDefault="00B070BF" w:rsidP="00B070BF">
      <w:pPr>
        <w:widowControl w:val="0"/>
        <w:autoSpaceDE w:val="0"/>
        <w:autoSpaceDN w:val="0"/>
        <w:adjustRightInd w:val="0"/>
        <w:rPr>
          <w:sz w:val="16"/>
          <w:szCs w:val="16"/>
          <w:lang w:val="es-ES_tradnl"/>
        </w:rPr>
      </w:pPr>
      <w:r w:rsidRPr="007C3E0F">
        <w:rPr>
          <w:sz w:val="16"/>
          <w:szCs w:val="16"/>
          <w:lang w:val="es-ES_tradnl"/>
        </w:rPr>
        <w:t>NOTAS:</w:t>
      </w:r>
    </w:p>
    <w:p w:rsidR="00B070BF" w:rsidRPr="009577DE" w:rsidRDefault="00B070BF" w:rsidP="00B070BF">
      <w:pPr>
        <w:widowControl w:val="0"/>
        <w:autoSpaceDE w:val="0"/>
        <w:autoSpaceDN w:val="0"/>
        <w:adjustRightInd w:val="0"/>
        <w:rPr>
          <w:sz w:val="16"/>
          <w:szCs w:val="16"/>
          <w:lang w:val="es-ES_tradnl"/>
        </w:rPr>
      </w:pPr>
    </w:p>
    <w:p w:rsidR="00B070BF" w:rsidRPr="009577DE" w:rsidRDefault="00B070BF" w:rsidP="00B070BF">
      <w:pPr>
        <w:widowControl w:val="0"/>
        <w:autoSpaceDE w:val="0"/>
        <w:autoSpaceDN w:val="0"/>
        <w:adjustRightInd w:val="0"/>
        <w:rPr>
          <w:sz w:val="16"/>
          <w:szCs w:val="16"/>
          <w:lang w:val="es-ES_tradnl"/>
        </w:rPr>
      </w:pPr>
      <w:r w:rsidRPr="009577DE">
        <w:rPr>
          <w:sz w:val="16"/>
          <w:szCs w:val="16"/>
          <w:lang w:val="es-ES_tradnl"/>
        </w:rPr>
        <w:t>1) El presupuesto después de las transferencias refleja el presupuesto de los programas ajustado después de las transferencias efectuadas en 2012/13 en virtud del artículo 5.5 del Reglamento Financiero.</w:t>
      </w:r>
    </w:p>
    <w:p w:rsidR="00B070BF" w:rsidRPr="009577DE" w:rsidRDefault="00B070BF" w:rsidP="00B070BF">
      <w:pPr>
        <w:widowControl w:val="0"/>
        <w:autoSpaceDE w:val="0"/>
        <w:autoSpaceDN w:val="0"/>
        <w:adjustRightInd w:val="0"/>
        <w:rPr>
          <w:sz w:val="16"/>
          <w:szCs w:val="16"/>
          <w:lang w:val="es-ES_tradnl"/>
        </w:rPr>
      </w:pPr>
    </w:p>
    <w:p w:rsidR="00B070BF" w:rsidRPr="009577DE" w:rsidRDefault="00B070BF" w:rsidP="00B070BF">
      <w:pPr>
        <w:widowControl w:val="0"/>
        <w:autoSpaceDE w:val="0"/>
        <w:autoSpaceDN w:val="0"/>
        <w:adjustRightInd w:val="0"/>
        <w:rPr>
          <w:sz w:val="16"/>
          <w:szCs w:val="16"/>
          <w:lang w:val="es-ES_tradnl"/>
        </w:rPr>
      </w:pPr>
      <w:r w:rsidRPr="009577DE">
        <w:rPr>
          <w:sz w:val="16"/>
          <w:szCs w:val="16"/>
          <w:lang w:val="es-ES_tradnl"/>
        </w:rPr>
        <w:t xml:space="preserve">2) La asignación para el personal del presupuesto de 2012/13 después de las transferencias representa los gastos reales efectuados hasta el 31 de marzo de 2013 y los importes presupuestados para los nueve meses restantes de 2013, sobre la base de costos estándar. </w:t>
      </w:r>
    </w:p>
    <w:p w:rsidR="00B070BF" w:rsidRPr="009577DE" w:rsidRDefault="00B070BF" w:rsidP="00B070BF">
      <w:pPr>
        <w:widowControl w:val="0"/>
        <w:autoSpaceDE w:val="0"/>
        <w:autoSpaceDN w:val="0"/>
        <w:adjustRightInd w:val="0"/>
        <w:rPr>
          <w:sz w:val="16"/>
          <w:szCs w:val="16"/>
          <w:lang w:val="es-ES_tradnl"/>
        </w:rPr>
      </w:pPr>
    </w:p>
    <w:p w:rsidR="00B070BF" w:rsidRPr="009577DE" w:rsidRDefault="00B070BF" w:rsidP="00B070BF">
      <w:pPr>
        <w:widowControl w:val="0"/>
        <w:autoSpaceDE w:val="0"/>
        <w:autoSpaceDN w:val="0"/>
        <w:adjustRightInd w:val="0"/>
        <w:rPr>
          <w:sz w:val="16"/>
          <w:szCs w:val="16"/>
          <w:lang w:val="es-ES_tradnl"/>
        </w:rPr>
      </w:pPr>
      <w:r w:rsidRPr="009577DE">
        <w:rPr>
          <w:sz w:val="16"/>
          <w:szCs w:val="16"/>
          <w:lang w:val="es-ES_tradnl"/>
        </w:rPr>
        <w:t xml:space="preserve">3) La asignación no relativa al personal del presupuesto de 2012/13 después de las transferencias refleja los ajustes a la baja </w:t>
      </w:r>
      <w:r w:rsidRPr="009577DE">
        <w:rPr>
          <w:sz w:val="16"/>
          <w:szCs w:val="16"/>
          <w:lang w:val="es-ES_tradnl"/>
        </w:rPr>
        <w:lastRenderedPageBreak/>
        <w:t>efectuados para aumentar la eficacia en función de los costos, de conformidad con el compromiso de la Organización de reducir gastos por un importe de 10,2 millones de francos suizos en el bienio 2012/13.</w:t>
      </w:r>
    </w:p>
    <w:p w:rsidR="00B070BF" w:rsidRPr="009577DE" w:rsidRDefault="00B070BF" w:rsidP="00B070BF">
      <w:pPr>
        <w:widowControl w:val="0"/>
        <w:rPr>
          <w:sz w:val="20"/>
          <w:lang w:val="es-ES_tradnl"/>
        </w:rPr>
      </w:pPr>
    </w:p>
    <w:p w:rsidR="00B070BF" w:rsidRPr="009577DE" w:rsidRDefault="00B070BF" w:rsidP="00B070BF">
      <w:pPr>
        <w:widowControl w:val="0"/>
        <w:rPr>
          <w:sz w:val="20"/>
          <w:lang w:val="es-ES_tradnl"/>
        </w:rPr>
      </w:pPr>
    </w:p>
    <w:p w:rsidR="00B070BF" w:rsidRPr="009577DE" w:rsidRDefault="00B070BF" w:rsidP="00B070BF">
      <w:pPr>
        <w:widowControl w:val="0"/>
        <w:rPr>
          <w:sz w:val="20"/>
          <w:u w:val="single"/>
          <w:lang w:val="es-ES_tradnl"/>
        </w:rPr>
      </w:pPr>
      <w:r>
        <w:rPr>
          <w:sz w:val="20"/>
          <w:lang w:val="es-ES_tradnl"/>
        </w:rPr>
        <w:t xml:space="preserve">A.  </w:t>
      </w:r>
      <w:r w:rsidRPr="009577DE">
        <w:rPr>
          <w:sz w:val="20"/>
          <w:u w:val="single"/>
          <w:lang w:val="es-ES_tradnl"/>
        </w:rPr>
        <w:t xml:space="preserve">Presupuesto </w:t>
      </w:r>
      <w:r>
        <w:rPr>
          <w:sz w:val="20"/>
          <w:u w:val="single"/>
          <w:lang w:val="es-ES_tradnl"/>
        </w:rPr>
        <w:t>2012/13</w:t>
      </w:r>
      <w:r w:rsidRPr="009577DE">
        <w:rPr>
          <w:sz w:val="20"/>
          <w:u w:val="single"/>
          <w:lang w:val="es-ES_tradnl"/>
        </w:rPr>
        <w:t xml:space="preserve"> después de las transferencias</w:t>
      </w:r>
    </w:p>
    <w:p w:rsidR="00B070BF" w:rsidRPr="009577DE" w:rsidRDefault="00B070BF" w:rsidP="00B070BF">
      <w:pPr>
        <w:widowControl w:val="0"/>
        <w:jc w:val="both"/>
        <w:rPr>
          <w:sz w:val="20"/>
          <w:lang w:val="es-ES_tradnl"/>
        </w:rPr>
      </w:pPr>
    </w:p>
    <w:p w:rsidR="00B070BF" w:rsidRPr="009577DE" w:rsidRDefault="00B070BF" w:rsidP="00B070BF">
      <w:pPr>
        <w:widowControl w:val="0"/>
        <w:numPr>
          <w:ilvl w:val="0"/>
          <w:numId w:val="41"/>
        </w:numPr>
        <w:jc w:val="both"/>
        <w:rPr>
          <w:sz w:val="20"/>
          <w:lang w:val="es-ES_tradnl"/>
        </w:rPr>
      </w:pPr>
      <w:r w:rsidRPr="009577DE">
        <w:rPr>
          <w:sz w:val="20"/>
          <w:lang w:val="es-ES_tradnl"/>
        </w:rPr>
        <w:t>El presupuesto de 2012/13 después de las transferencias refleja los ajustes que se detallan en las notas precedentes.</w:t>
      </w:r>
    </w:p>
    <w:p w:rsidR="00B070BF" w:rsidRPr="009577DE" w:rsidRDefault="00B070BF" w:rsidP="00B070BF">
      <w:pPr>
        <w:widowControl w:val="0"/>
        <w:jc w:val="both"/>
        <w:rPr>
          <w:rFonts w:eastAsia="Batang"/>
          <w:sz w:val="20"/>
          <w:lang w:val="es-ES_tradnl" w:eastAsia="ko-KR"/>
        </w:rPr>
      </w:pPr>
    </w:p>
    <w:p w:rsidR="00B070BF" w:rsidRPr="009577DE" w:rsidRDefault="00B070BF" w:rsidP="00B070BF">
      <w:pPr>
        <w:widowControl w:val="0"/>
        <w:jc w:val="both"/>
        <w:rPr>
          <w:rFonts w:eastAsia="Batang"/>
          <w:sz w:val="20"/>
          <w:u w:val="single"/>
          <w:lang w:val="es-ES_tradnl" w:eastAsia="ko-KR"/>
        </w:rPr>
      </w:pPr>
      <w:r w:rsidRPr="009577DE">
        <w:rPr>
          <w:rFonts w:eastAsia="Batang"/>
          <w:sz w:val="20"/>
          <w:lang w:val="es-ES_tradnl" w:eastAsia="ko-KR"/>
        </w:rPr>
        <w:t xml:space="preserve">B. </w:t>
      </w:r>
      <w:r>
        <w:rPr>
          <w:rFonts w:eastAsia="Batang"/>
          <w:sz w:val="20"/>
          <w:lang w:val="es-ES_tradnl" w:eastAsia="ko-KR"/>
        </w:rPr>
        <w:t xml:space="preserve"> </w:t>
      </w:r>
      <w:r w:rsidRPr="009577DE">
        <w:rPr>
          <w:rFonts w:eastAsia="Batang"/>
          <w:sz w:val="20"/>
          <w:u w:val="single"/>
          <w:lang w:val="es-ES_tradnl" w:eastAsia="ko-KR"/>
        </w:rPr>
        <w:t>Utilización del presupuesto 2012</w:t>
      </w:r>
    </w:p>
    <w:p w:rsidR="00B070BF" w:rsidRPr="009577DE" w:rsidRDefault="00B070BF" w:rsidP="00B070BF">
      <w:pPr>
        <w:widowControl w:val="0"/>
        <w:jc w:val="both"/>
        <w:rPr>
          <w:rFonts w:eastAsia="Batang"/>
          <w:sz w:val="20"/>
          <w:lang w:val="es-ES_tradnl" w:eastAsia="ko-KR"/>
        </w:rPr>
      </w:pPr>
    </w:p>
    <w:p w:rsidR="00B070BF" w:rsidRPr="009577DE" w:rsidRDefault="00B070BF" w:rsidP="00B070BF">
      <w:pPr>
        <w:widowControl w:val="0"/>
        <w:numPr>
          <w:ilvl w:val="0"/>
          <w:numId w:val="41"/>
        </w:numPr>
        <w:jc w:val="both"/>
        <w:rPr>
          <w:rFonts w:eastAsia="Batang"/>
          <w:sz w:val="20"/>
          <w:lang w:val="es-ES_tradnl" w:eastAsia="ko-KR"/>
        </w:rPr>
      </w:pPr>
      <w:r w:rsidRPr="009577DE">
        <w:rPr>
          <w:sz w:val="20"/>
          <w:lang w:val="es-ES_tradnl"/>
        </w:rPr>
        <w:t>La utilización del presupuesto se mantiene entre el 40% y el 60% en el primer año del bienio y progresa con normalidad.</w:t>
      </w:r>
    </w:p>
    <w:p w:rsidR="00B070BF" w:rsidRPr="009577DE" w:rsidRDefault="00B070BF" w:rsidP="00B070BF">
      <w:pPr>
        <w:widowControl w:val="0"/>
        <w:rPr>
          <w:lang w:val="es-ES_tradnl"/>
        </w:rPr>
      </w:pPr>
    </w:p>
    <w:p w:rsidR="00B070BF" w:rsidRPr="009577DE" w:rsidRDefault="00B070BF" w:rsidP="00B070BF">
      <w:pPr>
        <w:widowControl w:val="0"/>
        <w:jc w:val="both"/>
        <w:rPr>
          <w:sz w:val="20"/>
          <w:szCs w:val="22"/>
          <w:lang w:val="es-ES_tradnl"/>
        </w:rPr>
      </w:pPr>
    </w:p>
    <w:p w:rsidR="00B070BF" w:rsidRPr="009577DE" w:rsidRDefault="00B070BF" w:rsidP="00B070BF">
      <w:pPr>
        <w:widowControl w:val="0"/>
        <w:spacing w:before="240" w:after="60"/>
        <w:ind w:left="2835" w:hanging="2835"/>
        <w:outlineLvl w:val="1"/>
        <w:rPr>
          <w:b/>
          <w:bCs/>
          <w:iCs/>
          <w:caps/>
          <w:szCs w:val="22"/>
          <w:lang w:val="es-ES_tradnl"/>
        </w:rPr>
      </w:pPr>
      <w:r w:rsidRPr="009577DE">
        <w:rPr>
          <w:bCs/>
          <w:iCs/>
          <w:caps/>
          <w:szCs w:val="28"/>
          <w:lang w:val="es-ES_tradnl"/>
        </w:rPr>
        <w:br w:type="page"/>
      </w:r>
      <w:bookmarkStart w:id="66" w:name="_Toc359846813"/>
      <w:bookmarkStart w:id="67" w:name="_Toc359949337"/>
      <w:r w:rsidRPr="009577DE">
        <w:rPr>
          <w:b/>
          <w:bCs/>
          <w:iCs/>
          <w:szCs w:val="22"/>
          <w:lang w:val="es-ES_tradnl"/>
        </w:rPr>
        <w:lastRenderedPageBreak/>
        <w:t>PROGRAMA 27</w:t>
      </w:r>
      <w:r w:rsidRPr="009577DE">
        <w:rPr>
          <w:b/>
          <w:bCs/>
          <w:iCs/>
          <w:szCs w:val="22"/>
          <w:lang w:val="es-ES_tradnl"/>
        </w:rPr>
        <w:tab/>
        <w:t>SERVICIOS DE CONFERENCIA Y LINGÜÍSTICOS</w:t>
      </w:r>
      <w:bookmarkEnd w:id="66"/>
      <w:bookmarkEnd w:id="67"/>
    </w:p>
    <w:p w:rsidR="00B070BF" w:rsidRPr="009577DE" w:rsidRDefault="00B070BF" w:rsidP="00B070BF">
      <w:pPr>
        <w:widowControl w:val="0"/>
        <w:rPr>
          <w:b/>
          <w:sz w:val="18"/>
          <w:szCs w:val="18"/>
          <w:lang w:val="es-ES_tradnl"/>
        </w:rPr>
      </w:pPr>
    </w:p>
    <w:p w:rsidR="00B070BF" w:rsidRPr="009577DE" w:rsidRDefault="00B070BF" w:rsidP="00B070BF">
      <w:pPr>
        <w:widowControl w:val="0"/>
        <w:rPr>
          <w:b/>
          <w:sz w:val="18"/>
          <w:szCs w:val="18"/>
          <w:lang w:val="es-ES_tradnl"/>
        </w:rPr>
      </w:pPr>
    </w:p>
    <w:p w:rsidR="00B070BF" w:rsidRPr="009577DE" w:rsidRDefault="00B070BF" w:rsidP="00B070BF">
      <w:pPr>
        <w:widowControl w:val="0"/>
        <w:tabs>
          <w:tab w:val="left" w:pos="2268"/>
        </w:tabs>
        <w:rPr>
          <w:b/>
          <w:szCs w:val="22"/>
          <w:lang w:val="es-ES_tradnl"/>
        </w:rPr>
      </w:pPr>
      <w:r w:rsidRPr="009577DE">
        <w:rPr>
          <w:b/>
          <w:szCs w:val="22"/>
          <w:lang w:val="es-ES_tradnl"/>
        </w:rPr>
        <w:t>Director del Programa</w:t>
      </w:r>
      <w:r w:rsidRPr="009577DE">
        <w:rPr>
          <w:szCs w:val="22"/>
          <w:lang w:val="es-ES_tradnl"/>
        </w:rPr>
        <w:tab/>
      </w:r>
      <w:r w:rsidRPr="009577DE">
        <w:rPr>
          <w:b/>
          <w:szCs w:val="22"/>
          <w:lang w:val="es-ES_tradnl"/>
        </w:rPr>
        <w:t>Sr. A. Sundaram</w:t>
      </w:r>
    </w:p>
    <w:p w:rsidR="00B070BF" w:rsidRPr="009577DE" w:rsidRDefault="00B070BF" w:rsidP="00B070BF">
      <w:pPr>
        <w:widowControl w:val="0"/>
        <w:rPr>
          <w:sz w:val="20"/>
          <w:lang w:val="es-ES_tradnl"/>
        </w:rPr>
      </w:pPr>
    </w:p>
    <w:p w:rsidR="00B070BF" w:rsidRPr="009577DE" w:rsidRDefault="00B070BF" w:rsidP="00B070BF">
      <w:pPr>
        <w:widowControl w:val="0"/>
        <w:jc w:val="both"/>
        <w:rPr>
          <w:bCs/>
          <w:sz w:val="20"/>
          <w:lang w:val="es-ES_tradnl"/>
        </w:rPr>
      </w:pPr>
    </w:p>
    <w:p w:rsidR="00B070BF" w:rsidRPr="009577DE" w:rsidRDefault="00B070BF" w:rsidP="00B070BF">
      <w:pPr>
        <w:widowControl w:val="0"/>
        <w:spacing w:line="260" w:lineRule="atLeast"/>
        <w:jc w:val="both"/>
        <w:rPr>
          <w:bCs/>
          <w:sz w:val="20"/>
          <w:lang w:val="es-ES_tradnl"/>
        </w:rPr>
      </w:pPr>
      <w:r w:rsidRPr="009577DE">
        <w:rPr>
          <w:bCs/>
          <w:sz w:val="20"/>
          <w:lang w:val="es-ES_tradnl"/>
        </w:rPr>
        <w:t>RESEÑA DE LOS AVANCES LOGRADOS EN 2012</w:t>
      </w:r>
    </w:p>
    <w:p w:rsidR="00B070BF" w:rsidRPr="009577DE" w:rsidRDefault="00B070BF" w:rsidP="00B070BF">
      <w:pPr>
        <w:widowControl w:val="0"/>
        <w:jc w:val="both"/>
        <w:rPr>
          <w:sz w:val="20"/>
          <w:lang w:val="es-ES_tradnl"/>
        </w:rPr>
      </w:pPr>
    </w:p>
    <w:p w:rsidR="00B070BF" w:rsidRPr="009577DE" w:rsidRDefault="00B070BF" w:rsidP="00B070BF">
      <w:pPr>
        <w:widowControl w:val="0"/>
        <w:numPr>
          <w:ilvl w:val="0"/>
          <w:numId w:val="42"/>
        </w:numPr>
        <w:autoSpaceDE w:val="0"/>
        <w:autoSpaceDN w:val="0"/>
        <w:adjustRightInd w:val="0"/>
        <w:jc w:val="both"/>
        <w:rPr>
          <w:sz w:val="20"/>
          <w:lang w:val="es-ES_tradnl" w:bidi="he-IL"/>
        </w:rPr>
      </w:pPr>
      <w:r w:rsidRPr="009577DE">
        <w:rPr>
          <w:sz w:val="20"/>
          <w:lang w:val="es-ES_tradnl"/>
        </w:rPr>
        <w:t>Este programa facilita las actividades de la Organización ofreciendo servicios eficaces y eficientes de conferencia, traducción, interpretación, gestión y archivado de documentos, impresión y despacho postal;  trata de la formulación, adopción e implementación de cuestiones de política conexas;  y gestiona proyectos de T.I. tendentes a racionalizar y mejorar el funcionamiento de dichas áreas.</w:t>
      </w:r>
      <w:r w:rsidRPr="009577DE">
        <w:rPr>
          <w:sz w:val="20"/>
          <w:lang w:val="es-ES_tradnl" w:bidi="he-IL"/>
        </w:rPr>
        <w:t xml:space="preserve"> </w:t>
      </w:r>
    </w:p>
    <w:p w:rsidR="00B070BF" w:rsidRPr="009577DE" w:rsidRDefault="00B070BF" w:rsidP="00B070BF">
      <w:pPr>
        <w:widowControl w:val="0"/>
        <w:autoSpaceDE w:val="0"/>
        <w:autoSpaceDN w:val="0"/>
        <w:adjustRightInd w:val="0"/>
        <w:jc w:val="both"/>
        <w:rPr>
          <w:sz w:val="20"/>
          <w:lang w:val="es-ES_tradnl"/>
        </w:rPr>
      </w:pPr>
    </w:p>
    <w:p w:rsidR="00B070BF" w:rsidRPr="009577DE" w:rsidRDefault="00B070BF" w:rsidP="00B070BF">
      <w:pPr>
        <w:widowControl w:val="0"/>
        <w:numPr>
          <w:ilvl w:val="0"/>
          <w:numId w:val="42"/>
        </w:numPr>
        <w:jc w:val="both"/>
        <w:rPr>
          <w:bCs/>
          <w:sz w:val="20"/>
          <w:lang w:val="es-ES_tradnl"/>
        </w:rPr>
      </w:pPr>
      <w:r w:rsidRPr="009577DE">
        <w:rPr>
          <w:bCs/>
          <w:sz w:val="20"/>
          <w:lang w:val="es-ES_tradnl"/>
        </w:rPr>
        <w:t xml:space="preserve">La Política Lingüística de la OMPI, adoptada por los Estados miembros en las Asambleas de 2011, comenzó a aplicarse en 2012 con una cobertura de seis idiomas para la documentación destinada a las reuniones de todos los comités de la OMPI y de la mayoría de sus órganos principales.  A raíz de la ampliación de la cobertura lingüística, los volúmenes de traducción experimentaron un notable crecimiento en 2012.  En comparación con un total de 11,93 millones de palabras traducido en 2011 (unas 36.000 páginas estándar de las NN.UU.), el Programa tradujo en 2012 un total de 18,24 millones de palabras (55.000 páginas estándar de las NN.UU.), lo que representa un crecimiento del 53%.  La Secretaría continuó esforzándose por limitar el tamaño de los documentos a base de medidas de racionalización y control.  Para hacer frente al crecimiento del volumen de trabajo se adoptó un modelo operativo que recurre en mayor medida a la externalización de los servicios de traducción. Para garantizar el mantenimiento de los niveles de calidad, el programa preconizaba el concepto de "calidad en origen", comenzando por la contratación de traductores competentes y el fortalecimiento del equipo interno de traductores y revisores. </w:t>
      </w:r>
    </w:p>
    <w:p w:rsidR="00B070BF" w:rsidRPr="009577DE" w:rsidRDefault="00B070BF" w:rsidP="00B070BF">
      <w:pPr>
        <w:widowControl w:val="0"/>
        <w:jc w:val="both"/>
        <w:rPr>
          <w:bCs/>
          <w:sz w:val="20"/>
          <w:lang w:val="es-ES_tradnl"/>
        </w:rPr>
      </w:pPr>
    </w:p>
    <w:p w:rsidR="00B070BF" w:rsidRPr="009577DE" w:rsidRDefault="00B070BF" w:rsidP="00B070BF">
      <w:pPr>
        <w:widowControl w:val="0"/>
        <w:numPr>
          <w:ilvl w:val="0"/>
          <w:numId w:val="42"/>
        </w:numPr>
        <w:jc w:val="both"/>
        <w:rPr>
          <w:bCs/>
          <w:sz w:val="20"/>
          <w:lang w:val="es-ES_tradnl"/>
        </w:rPr>
      </w:pPr>
      <w:r w:rsidRPr="009577DE">
        <w:rPr>
          <w:bCs/>
          <w:sz w:val="20"/>
          <w:lang w:val="es-ES_tradnl"/>
        </w:rPr>
        <w:t xml:space="preserve">Para mejorar la calidad de la traducción, simplificar los procedimientos de trabajo y desarrollar bases de datos terminológicas multilingües se identificaron herramientas apropiadas de traducción asistida por computadora a fines de 2012, habiéndose previsto su despliegue para 2013. </w:t>
      </w:r>
    </w:p>
    <w:p w:rsidR="00B070BF" w:rsidRPr="009577DE" w:rsidRDefault="00B070BF" w:rsidP="00B070BF">
      <w:pPr>
        <w:widowControl w:val="0"/>
        <w:jc w:val="both"/>
        <w:rPr>
          <w:bCs/>
          <w:sz w:val="20"/>
          <w:lang w:val="es-ES_tradnl"/>
        </w:rPr>
      </w:pPr>
    </w:p>
    <w:p w:rsidR="00B070BF" w:rsidRPr="009577DE" w:rsidRDefault="00B070BF" w:rsidP="00B070BF">
      <w:pPr>
        <w:widowControl w:val="0"/>
        <w:numPr>
          <w:ilvl w:val="0"/>
          <w:numId w:val="42"/>
        </w:numPr>
        <w:jc w:val="both"/>
        <w:rPr>
          <w:sz w:val="20"/>
          <w:lang w:val="es-ES_tradnl"/>
        </w:rPr>
      </w:pPr>
      <w:r w:rsidRPr="009577DE">
        <w:rPr>
          <w:sz w:val="20"/>
          <w:lang w:val="es-ES_tradnl"/>
        </w:rPr>
        <w:t xml:space="preserve">Se continuó suministrando servicios de interpretación para todas las reuniones de la OMPI celebradas en la Sede o en otros lugares, según las necesidades.  Algunas de dichas reuniones se convocan con un mínimo de antelación. </w:t>
      </w:r>
    </w:p>
    <w:p w:rsidR="00B070BF" w:rsidRPr="009577DE" w:rsidRDefault="00B070BF" w:rsidP="00B070BF">
      <w:pPr>
        <w:widowControl w:val="0"/>
        <w:autoSpaceDE w:val="0"/>
        <w:autoSpaceDN w:val="0"/>
        <w:adjustRightInd w:val="0"/>
        <w:jc w:val="both"/>
        <w:rPr>
          <w:bCs/>
          <w:sz w:val="20"/>
          <w:lang w:val="es-ES_tradnl"/>
        </w:rPr>
      </w:pPr>
    </w:p>
    <w:p w:rsidR="00B070BF" w:rsidRPr="009577DE" w:rsidRDefault="00B070BF" w:rsidP="00B070BF">
      <w:pPr>
        <w:widowControl w:val="0"/>
        <w:numPr>
          <w:ilvl w:val="0"/>
          <w:numId w:val="42"/>
        </w:numPr>
        <w:autoSpaceDE w:val="0"/>
        <w:autoSpaceDN w:val="0"/>
        <w:adjustRightInd w:val="0"/>
        <w:jc w:val="both"/>
        <w:rPr>
          <w:rFonts w:eastAsia="Batang"/>
          <w:sz w:val="20"/>
          <w:lang w:val="es-ES_tradnl" w:eastAsia="ja-JP"/>
        </w:rPr>
      </w:pPr>
      <w:r w:rsidRPr="009577DE">
        <w:rPr>
          <w:rFonts w:eastAsia="Batang"/>
          <w:sz w:val="20"/>
          <w:lang w:val="es-ES_tradnl" w:eastAsia="ja-JP"/>
        </w:rPr>
        <w:t>El programa intervino activamente en la organización de la Conferencia Diplomática sobre la protección de las interpretaciones o ejecuciones audiovisuales celebrada en Beijing (China), en junio de 2012, habiendo suministrado servicios de conferencia, traducción e interpretación para dicho evento, al que asistieron alrededor de 900 participantes.</w:t>
      </w:r>
    </w:p>
    <w:p w:rsidR="00B070BF" w:rsidRPr="009577DE" w:rsidRDefault="00B070BF" w:rsidP="00B070BF">
      <w:pPr>
        <w:widowControl w:val="0"/>
        <w:autoSpaceDE w:val="0"/>
        <w:autoSpaceDN w:val="0"/>
        <w:adjustRightInd w:val="0"/>
        <w:jc w:val="both"/>
        <w:rPr>
          <w:rFonts w:eastAsia="Batang"/>
          <w:sz w:val="20"/>
          <w:lang w:val="es-ES_tradnl" w:eastAsia="ja-JP"/>
        </w:rPr>
      </w:pPr>
    </w:p>
    <w:p w:rsidR="00B070BF" w:rsidRPr="009577DE" w:rsidRDefault="00B070BF" w:rsidP="00B070BF">
      <w:pPr>
        <w:widowControl w:val="0"/>
        <w:numPr>
          <w:ilvl w:val="0"/>
          <w:numId w:val="42"/>
        </w:numPr>
        <w:autoSpaceDE w:val="0"/>
        <w:autoSpaceDN w:val="0"/>
        <w:adjustRightInd w:val="0"/>
        <w:jc w:val="both"/>
        <w:rPr>
          <w:rFonts w:eastAsia="Batang"/>
          <w:sz w:val="20"/>
          <w:lang w:val="es-ES_tradnl" w:eastAsia="ja-JP"/>
        </w:rPr>
      </w:pPr>
      <w:r w:rsidRPr="009577DE">
        <w:rPr>
          <w:rFonts w:eastAsia="Batang"/>
          <w:sz w:val="20"/>
          <w:lang w:val="es-ES_tradnl" w:eastAsia="ja-JP"/>
        </w:rPr>
        <w:t xml:space="preserve">Durante el año siguieron mejorándose los servicios para los delegados (difusión por Internet, video previa solicitud, inscripción en línea, etc.). </w:t>
      </w:r>
    </w:p>
    <w:p w:rsidR="00B070BF" w:rsidRPr="009577DE" w:rsidRDefault="00B070BF" w:rsidP="00B070BF">
      <w:pPr>
        <w:widowControl w:val="0"/>
        <w:autoSpaceDE w:val="0"/>
        <w:autoSpaceDN w:val="0"/>
        <w:adjustRightInd w:val="0"/>
        <w:jc w:val="both"/>
        <w:rPr>
          <w:rFonts w:eastAsia="Batang"/>
          <w:sz w:val="20"/>
          <w:lang w:val="es-ES_tradnl" w:eastAsia="ja-JP"/>
        </w:rPr>
      </w:pPr>
    </w:p>
    <w:p w:rsidR="00B070BF" w:rsidRPr="009577DE" w:rsidRDefault="00B070BF" w:rsidP="00B070BF">
      <w:pPr>
        <w:widowControl w:val="0"/>
        <w:numPr>
          <w:ilvl w:val="0"/>
          <w:numId w:val="42"/>
        </w:numPr>
        <w:autoSpaceDE w:val="0"/>
        <w:autoSpaceDN w:val="0"/>
        <w:adjustRightInd w:val="0"/>
        <w:jc w:val="both"/>
        <w:rPr>
          <w:rFonts w:eastAsia="Batang"/>
          <w:sz w:val="20"/>
          <w:lang w:val="es-ES_tradnl" w:eastAsia="ja-JP"/>
        </w:rPr>
      </w:pPr>
      <w:r w:rsidRPr="009577DE">
        <w:rPr>
          <w:rFonts w:eastAsia="Batang"/>
          <w:sz w:val="20"/>
          <w:lang w:val="es-ES_tradnl" w:eastAsia="ja-JP"/>
        </w:rPr>
        <w:t xml:space="preserve">Durante el período considerado se celebraron en Ginebra unas 152 reuniones intergubernamentales, en comparación con 123 en 2011.  El número de reuniones </w:t>
      </w:r>
      <w:r w:rsidRPr="009577DE">
        <w:rPr>
          <w:rFonts w:eastAsia="Batang"/>
          <w:i/>
          <w:sz w:val="20"/>
          <w:lang w:val="es-ES_tradnl" w:eastAsia="ja-JP"/>
        </w:rPr>
        <w:t>ad hoc</w:t>
      </w:r>
      <w:r w:rsidRPr="009577DE">
        <w:rPr>
          <w:rFonts w:eastAsia="Batang"/>
          <w:sz w:val="20"/>
          <w:lang w:val="es-ES_tradnl" w:eastAsia="ja-JP"/>
        </w:rPr>
        <w:t xml:space="preserve"> atendidas (visitas de estudio, consultas, grupos, ponencias, reuniones internas), se elevó a 5.700, en comparación con 3.900 en </w:t>
      </w:r>
      <w:r w:rsidRPr="009577DE">
        <w:rPr>
          <w:rFonts w:eastAsia="Batang"/>
          <w:bCs/>
          <w:sz w:val="20"/>
          <w:lang w:val="es-ES_tradnl" w:eastAsia="ja-JP"/>
        </w:rPr>
        <w:t xml:space="preserve">2011.  </w:t>
      </w:r>
      <w:r w:rsidRPr="009577DE">
        <w:rPr>
          <w:rFonts w:eastAsia="Batang"/>
          <w:sz w:val="20"/>
          <w:lang w:val="es-ES_tradnl" w:eastAsia="ja-JP"/>
        </w:rPr>
        <w:t xml:space="preserve">En esta cifra se incluyen 140 reuniones bilaterales organizadas durante las Asambleas y celebradas en el Centro Internacional de Conferencias de Ginebra (en comparación con unas 100 en el pasado año), así como las sesiones organizadas durante la Conferencia Diplomática de Beijing. </w:t>
      </w:r>
    </w:p>
    <w:p w:rsidR="00B070BF" w:rsidRPr="009577DE" w:rsidRDefault="00B070BF" w:rsidP="00B070BF">
      <w:pPr>
        <w:widowControl w:val="0"/>
        <w:autoSpaceDE w:val="0"/>
        <w:autoSpaceDN w:val="0"/>
        <w:adjustRightInd w:val="0"/>
        <w:jc w:val="both"/>
        <w:rPr>
          <w:bCs/>
          <w:sz w:val="20"/>
          <w:lang w:val="es-ES_tradnl"/>
        </w:rPr>
      </w:pPr>
    </w:p>
    <w:p w:rsidR="00B070BF" w:rsidRPr="009577DE" w:rsidRDefault="00B070BF" w:rsidP="00B070BF">
      <w:pPr>
        <w:widowControl w:val="0"/>
        <w:numPr>
          <w:ilvl w:val="0"/>
          <w:numId w:val="42"/>
        </w:numPr>
        <w:autoSpaceDE w:val="0"/>
        <w:autoSpaceDN w:val="0"/>
        <w:adjustRightInd w:val="0"/>
        <w:jc w:val="both"/>
        <w:rPr>
          <w:bCs/>
          <w:sz w:val="20"/>
          <w:lang w:val="es-ES_tradnl"/>
        </w:rPr>
      </w:pPr>
      <w:r w:rsidRPr="009577DE">
        <w:rPr>
          <w:bCs/>
          <w:sz w:val="20"/>
          <w:lang w:val="es-ES_tradnl"/>
        </w:rPr>
        <w:t>La Política de gestión y archivado de documentos fue adoptada en 2012.  Su finalidad estriba en definir principios y directrices para regular estas actividades de la OMPI a nivel de la Organización.  La Política sirve como marco general para el futuro desarrollo de los procedimientos y calendarios de retención aplicables al uso, control, seguridad, conservación y disposición de los documentos de la OMPI.</w:t>
      </w:r>
    </w:p>
    <w:p w:rsidR="00B070BF" w:rsidRPr="009577DE" w:rsidRDefault="00B070BF" w:rsidP="00B070BF">
      <w:pPr>
        <w:widowControl w:val="0"/>
        <w:jc w:val="both"/>
        <w:rPr>
          <w:bCs/>
          <w:sz w:val="20"/>
          <w:lang w:val="es-ES_tradnl"/>
        </w:rPr>
      </w:pPr>
    </w:p>
    <w:p w:rsidR="00B070BF" w:rsidRPr="009577DE" w:rsidRDefault="00B070BF" w:rsidP="00B070BF">
      <w:pPr>
        <w:widowControl w:val="0"/>
        <w:numPr>
          <w:ilvl w:val="0"/>
          <w:numId w:val="42"/>
        </w:numPr>
        <w:jc w:val="both"/>
        <w:rPr>
          <w:sz w:val="20"/>
          <w:lang w:val="es-ES_tradnl"/>
        </w:rPr>
      </w:pPr>
      <w:r w:rsidRPr="009577DE">
        <w:rPr>
          <w:sz w:val="20"/>
          <w:lang w:val="es-ES_tradnl"/>
        </w:rPr>
        <w:t xml:space="preserve">Guiándose por la campaña de la OMPI en pro de una mayor eficiencia, la Unidad de Despacho del Correo continuó negociando tarifas con colaboradores externos para reducir los precios de los servicios postales.  En 2012 la Unidad despachó 1,8 millones de artículos por un costo total de 2,2 millones de francos suizos, en comparación con 1,7 millones de artículos por un costo total de 2,5 </w:t>
      </w:r>
      <w:r w:rsidRPr="009577DE">
        <w:rPr>
          <w:sz w:val="20"/>
          <w:lang w:val="es-ES_tradnl"/>
        </w:rPr>
        <w:lastRenderedPageBreak/>
        <w:t xml:space="preserve">millones de francos suizos en el año anterior. </w:t>
      </w:r>
    </w:p>
    <w:p w:rsidR="00B070BF" w:rsidRPr="009577DE" w:rsidRDefault="00B070BF" w:rsidP="00B070BF">
      <w:pPr>
        <w:widowControl w:val="0"/>
        <w:jc w:val="both"/>
        <w:rPr>
          <w:bCs/>
          <w:sz w:val="20"/>
          <w:lang w:val="es-ES_tradnl"/>
        </w:rPr>
      </w:pPr>
    </w:p>
    <w:p w:rsidR="00B070BF" w:rsidRPr="009577DE" w:rsidRDefault="00B070BF" w:rsidP="00B070BF">
      <w:pPr>
        <w:widowControl w:val="0"/>
        <w:numPr>
          <w:ilvl w:val="0"/>
          <w:numId w:val="42"/>
        </w:numPr>
        <w:jc w:val="both"/>
        <w:rPr>
          <w:bCs/>
          <w:sz w:val="20"/>
          <w:lang w:val="es-ES_tradnl"/>
        </w:rPr>
      </w:pPr>
      <w:r w:rsidRPr="009577DE">
        <w:rPr>
          <w:bCs/>
          <w:sz w:val="20"/>
          <w:lang w:val="es-ES_tradnl"/>
        </w:rPr>
        <w:t xml:space="preserve">La Sección de Impresión y Producción de Publicaciones continuó prestando sus servicios con eficiencia y puntualidad. </w:t>
      </w:r>
    </w:p>
    <w:p w:rsidR="00B070BF" w:rsidRPr="009577DE" w:rsidRDefault="00B070BF" w:rsidP="00B070BF">
      <w:pPr>
        <w:widowControl w:val="0"/>
        <w:jc w:val="both"/>
        <w:rPr>
          <w:bCs/>
          <w:sz w:val="20"/>
          <w:lang w:val="es-ES_tradnl"/>
        </w:rPr>
      </w:pPr>
    </w:p>
    <w:p w:rsidR="00B070BF" w:rsidRPr="009577DE" w:rsidRDefault="00B070BF" w:rsidP="00B070BF">
      <w:pPr>
        <w:widowControl w:val="0"/>
        <w:jc w:val="both"/>
        <w:rPr>
          <w:szCs w:val="22"/>
          <w:lang w:val="es-ES_tradnl"/>
        </w:rPr>
      </w:pPr>
    </w:p>
    <w:p w:rsidR="00B070BF" w:rsidRPr="009577DE" w:rsidRDefault="00B070BF" w:rsidP="00B070BF">
      <w:pPr>
        <w:widowControl w:val="0"/>
        <w:jc w:val="both"/>
        <w:rPr>
          <w:sz w:val="20"/>
          <w:lang w:val="es-ES_tradnl"/>
        </w:rPr>
      </w:pPr>
      <w:r w:rsidRPr="008B2545">
        <w:rPr>
          <w:sz w:val="20"/>
          <w:lang w:val="es-ES_tradnl"/>
        </w:rPr>
        <w:t>DATOS SOBRE EL RENDIMIENTO</w:t>
      </w:r>
    </w:p>
    <w:p w:rsidR="00B070BF" w:rsidRPr="009577DE" w:rsidRDefault="00B070BF" w:rsidP="00B070BF">
      <w:pPr>
        <w:widowControl w:val="0"/>
        <w:jc w:val="both"/>
        <w:rPr>
          <w:sz w:val="20"/>
          <w:lang w:val="es-ES_tradnl"/>
        </w:rPr>
      </w:pPr>
    </w:p>
    <w:tbl>
      <w:tblPr>
        <w:tblW w:w="5000" w:type="pct"/>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670"/>
        <w:gridCol w:w="1538"/>
        <w:gridCol w:w="1750"/>
        <w:gridCol w:w="3534"/>
        <w:gridCol w:w="1079"/>
      </w:tblGrid>
      <w:tr w:rsidR="00B070BF" w:rsidRPr="009577DE" w:rsidTr="00C33D4A">
        <w:trPr>
          <w:cantSplit/>
        </w:trPr>
        <w:tc>
          <w:tcPr>
            <w:tcW w:w="5000" w:type="pct"/>
            <w:gridSpan w:val="5"/>
            <w:tcBorders>
              <w:top w:val="single" w:sz="4" w:space="0" w:color="auto"/>
              <w:bottom w:val="single" w:sz="4" w:space="0" w:color="auto"/>
            </w:tcBorders>
            <w:shd w:val="clear" w:color="auto" w:fill="CCFFFF"/>
            <w:vAlign w:val="center"/>
          </w:tcPr>
          <w:p w:rsidR="00B070BF" w:rsidRPr="009577DE" w:rsidRDefault="00B070BF" w:rsidP="00C33D4A">
            <w:pPr>
              <w:widowControl w:val="0"/>
              <w:spacing w:before="120" w:after="120"/>
              <w:ind w:left="1735" w:hanging="1735"/>
              <w:rPr>
                <w:b/>
                <w:bCs/>
                <w:sz w:val="16"/>
                <w:szCs w:val="16"/>
                <w:lang w:val="es-ES_tradnl"/>
              </w:rPr>
            </w:pPr>
            <w:r w:rsidRPr="009577DE">
              <w:rPr>
                <w:b/>
                <w:bCs/>
                <w:sz w:val="16"/>
                <w:szCs w:val="16"/>
                <w:lang w:val="es-ES_tradnl"/>
              </w:rPr>
              <w:t>Resultado previsto:</w:t>
            </w:r>
            <w:r w:rsidRPr="009577DE">
              <w:rPr>
                <w:b/>
                <w:bCs/>
                <w:sz w:val="16"/>
                <w:szCs w:val="16"/>
                <w:lang w:val="es-ES_tradnl"/>
              </w:rPr>
              <w:tab/>
            </w:r>
            <w:r w:rsidRPr="009577DE">
              <w:rPr>
                <w:bCs/>
                <w:sz w:val="16"/>
                <w:szCs w:val="16"/>
                <w:lang w:val="es-ES_tradnl"/>
              </w:rPr>
              <w:t>Servicios de apoyo eficaces, eficientes, de calidad y orientados al cliente, tanto a los clientes internos como a las partes interesadas externas (recursos humanos, T.I., servicios de conferencias y lingüísticos, compras, viajes, impresión y publicación, gestión de locales)</w:t>
            </w:r>
          </w:p>
        </w:tc>
      </w:tr>
      <w:tr w:rsidR="00B070BF" w:rsidRPr="009577DE" w:rsidTr="00C33D4A">
        <w:trPr>
          <w:cantSplit/>
        </w:trPr>
        <w:tc>
          <w:tcPr>
            <w:tcW w:w="874" w:type="pct"/>
            <w:tcBorders>
              <w:top w:val="single" w:sz="4" w:space="0" w:color="auto"/>
            </w:tcBorders>
            <w:shd w:val="clear" w:color="auto" w:fill="auto"/>
            <w:vAlign w:val="center"/>
          </w:tcPr>
          <w:p w:rsidR="00B070BF" w:rsidRPr="009577DE" w:rsidRDefault="00B070BF" w:rsidP="00C33D4A">
            <w:pPr>
              <w:widowControl w:val="0"/>
              <w:spacing w:after="120"/>
              <w:rPr>
                <w:sz w:val="16"/>
                <w:szCs w:val="16"/>
                <w:lang w:val="es-ES_tradnl"/>
              </w:rPr>
            </w:pPr>
            <w:r w:rsidRPr="009577DE">
              <w:rPr>
                <w:b/>
                <w:bCs/>
                <w:sz w:val="16"/>
                <w:szCs w:val="16"/>
                <w:lang w:val="es-ES_tradnl"/>
              </w:rPr>
              <w:t>Indicadores de rendimiento</w:t>
            </w:r>
          </w:p>
        </w:tc>
        <w:tc>
          <w:tcPr>
            <w:tcW w:w="805" w:type="pct"/>
            <w:tcBorders>
              <w:top w:val="single" w:sz="4" w:space="0" w:color="auto"/>
            </w:tcBorders>
            <w:shd w:val="clear" w:color="auto" w:fill="C0C0C0"/>
          </w:tcPr>
          <w:p w:rsidR="00B070BF" w:rsidRPr="009577DE" w:rsidRDefault="00B070BF" w:rsidP="00C33D4A">
            <w:pPr>
              <w:widowControl w:val="0"/>
              <w:spacing w:after="120"/>
              <w:rPr>
                <w:b/>
                <w:bCs/>
                <w:sz w:val="16"/>
                <w:szCs w:val="16"/>
                <w:lang w:val="es-ES_tradnl"/>
              </w:rPr>
            </w:pPr>
            <w:r w:rsidRPr="009577DE">
              <w:rPr>
                <w:b/>
                <w:bCs/>
                <w:sz w:val="16"/>
                <w:szCs w:val="16"/>
                <w:lang w:val="es-ES_tradnl"/>
              </w:rPr>
              <w:t>Referencia (</w:t>
            </w:r>
            <w:proofErr w:type="spellStart"/>
            <w:r w:rsidRPr="009577DE">
              <w:rPr>
                <w:b/>
                <w:bCs/>
                <w:sz w:val="16"/>
                <w:szCs w:val="16"/>
                <w:lang w:val="es-ES_tradnl"/>
              </w:rPr>
              <w:t>Presup</w:t>
            </w:r>
            <w:proofErr w:type="spellEnd"/>
            <w:r w:rsidRPr="009577DE">
              <w:rPr>
                <w:b/>
                <w:bCs/>
                <w:sz w:val="16"/>
                <w:szCs w:val="16"/>
                <w:lang w:val="es-ES_tradnl"/>
              </w:rPr>
              <w:t xml:space="preserve">. por </w:t>
            </w:r>
            <w:proofErr w:type="spellStart"/>
            <w:r w:rsidRPr="009577DE">
              <w:rPr>
                <w:b/>
                <w:bCs/>
                <w:sz w:val="16"/>
                <w:szCs w:val="16"/>
                <w:lang w:val="es-ES_tradnl"/>
              </w:rPr>
              <w:t>prog</w:t>
            </w:r>
            <w:proofErr w:type="spellEnd"/>
            <w:r w:rsidRPr="009577DE">
              <w:rPr>
                <w:b/>
                <w:bCs/>
                <w:sz w:val="16"/>
                <w:szCs w:val="16"/>
                <w:lang w:val="es-ES_tradnl"/>
              </w:rPr>
              <w:t>. 2012/13)</w:t>
            </w:r>
          </w:p>
        </w:tc>
        <w:tc>
          <w:tcPr>
            <w:tcW w:w="916" w:type="pct"/>
            <w:tcBorders>
              <w:top w:val="single" w:sz="4" w:space="0" w:color="auto"/>
            </w:tcBorders>
            <w:shd w:val="clear" w:color="auto" w:fill="auto"/>
            <w:tcMar>
              <w:top w:w="110" w:type="dxa"/>
            </w:tcMar>
            <w:vAlign w:val="center"/>
          </w:tcPr>
          <w:p w:rsidR="00B070BF" w:rsidRPr="009577DE" w:rsidRDefault="00B070BF" w:rsidP="00C33D4A">
            <w:pPr>
              <w:widowControl w:val="0"/>
              <w:spacing w:after="120"/>
              <w:rPr>
                <w:b/>
                <w:sz w:val="16"/>
                <w:szCs w:val="16"/>
                <w:lang w:val="es-ES_tradnl"/>
              </w:rPr>
            </w:pPr>
            <w:r w:rsidRPr="00BF138D">
              <w:rPr>
                <w:b/>
                <w:color w:val="993300"/>
                <w:sz w:val="16"/>
                <w:szCs w:val="16"/>
                <w:lang w:val="es-ES_tradnl"/>
              </w:rPr>
              <w:t>Referencia actualizada a finales de 2011</w:t>
            </w:r>
            <w:r w:rsidRPr="009577DE">
              <w:rPr>
                <w:b/>
                <w:sz w:val="16"/>
                <w:szCs w:val="16"/>
                <w:lang w:val="es-ES_tradnl"/>
              </w:rPr>
              <w:t xml:space="preserve"> </w:t>
            </w:r>
          </w:p>
        </w:tc>
        <w:tc>
          <w:tcPr>
            <w:tcW w:w="1848" w:type="pct"/>
            <w:tcBorders>
              <w:top w:val="single" w:sz="4" w:space="0" w:color="auto"/>
            </w:tcBorders>
            <w:shd w:val="clear" w:color="auto" w:fill="FFFFFF"/>
            <w:tcMar>
              <w:top w:w="110" w:type="dxa"/>
            </w:tcMar>
            <w:vAlign w:val="center"/>
          </w:tcPr>
          <w:p w:rsidR="00B070BF" w:rsidRPr="009577DE" w:rsidRDefault="00B070BF" w:rsidP="00C33D4A">
            <w:pPr>
              <w:widowControl w:val="0"/>
              <w:spacing w:after="120"/>
              <w:rPr>
                <w:sz w:val="16"/>
                <w:szCs w:val="16"/>
                <w:lang w:val="es-ES_tradnl"/>
              </w:rPr>
            </w:pPr>
            <w:r w:rsidRPr="009577DE">
              <w:rPr>
                <w:b/>
                <w:bCs/>
                <w:sz w:val="16"/>
                <w:szCs w:val="16"/>
                <w:lang w:val="es-ES_tradnl"/>
              </w:rPr>
              <w:t>Datos sobre el rendimiento</w:t>
            </w:r>
          </w:p>
        </w:tc>
        <w:tc>
          <w:tcPr>
            <w:tcW w:w="557" w:type="pct"/>
            <w:tcBorders>
              <w:top w:val="single" w:sz="4" w:space="0" w:color="auto"/>
            </w:tcBorders>
            <w:shd w:val="clear" w:color="auto" w:fill="auto"/>
            <w:tcMar>
              <w:top w:w="110" w:type="dxa"/>
            </w:tcMar>
            <w:vAlign w:val="center"/>
          </w:tcPr>
          <w:p w:rsidR="00B070BF" w:rsidRPr="009577DE" w:rsidRDefault="00B070BF" w:rsidP="00C33D4A">
            <w:pPr>
              <w:widowControl w:val="0"/>
              <w:spacing w:after="120"/>
              <w:jc w:val="center"/>
              <w:rPr>
                <w:b/>
                <w:bCs/>
                <w:sz w:val="16"/>
                <w:szCs w:val="16"/>
                <w:lang w:val="es-ES_tradnl"/>
              </w:rPr>
            </w:pPr>
            <w:r w:rsidRPr="009577DE">
              <w:rPr>
                <w:b/>
                <w:bCs/>
                <w:sz w:val="16"/>
                <w:szCs w:val="16"/>
                <w:lang w:val="es-ES_tradnl"/>
              </w:rPr>
              <w:t>Clave de colores</w:t>
            </w:r>
          </w:p>
        </w:tc>
      </w:tr>
      <w:tr w:rsidR="00B070BF" w:rsidRPr="009577DE" w:rsidTr="00C33D4A">
        <w:trPr>
          <w:cantSplit/>
        </w:trPr>
        <w:tc>
          <w:tcPr>
            <w:tcW w:w="874" w:type="pct"/>
            <w:shd w:val="clear" w:color="auto" w:fill="auto"/>
          </w:tcPr>
          <w:p w:rsidR="00B070BF" w:rsidRPr="009577DE" w:rsidRDefault="00B070BF" w:rsidP="00C33D4A">
            <w:pPr>
              <w:widowControl w:val="0"/>
              <w:ind w:leftChars="-1" w:left="1" w:hangingChars="2" w:hanging="3"/>
              <w:rPr>
                <w:sz w:val="16"/>
                <w:szCs w:val="16"/>
                <w:lang w:val="es-ES_tradnl"/>
              </w:rPr>
            </w:pPr>
            <w:r w:rsidRPr="009577DE">
              <w:rPr>
                <w:sz w:val="16"/>
                <w:szCs w:val="16"/>
                <w:lang w:val="es-ES_tradnl"/>
              </w:rPr>
              <w:t>Porcentaje de usuarios internos y externos satisfechos con los servicios de conferencias de la OMPI.</w:t>
            </w:r>
          </w:p>
        </w:tc>
        <w:tc>
          <w:tcPr>
            <w:tcW w:w="805" w:type="pct"/>
            <w:shd w:val="clear" w:color="auto" w:fill="C0C0C0"/>
          </w:tcPr>
          <w:p w:rsidR="00B070BF" w:rsidRPr="009577DE" w:rsidRDefault="00B070BF" w:rsidP="00C33D4A">
            <w:pPr>
              <w:widowControl w:val="0"/>
              <w:rPr>
                <w:sz w:val="16"/>
                <w:szCs w:val="16"/>
                <w:lang w:val="es-ES_tradnl"/>
              </w:rPr>
            </w:pPr>
            <w:r w:rsidRPr="009577DE">
              <w:rPr>
                <w:sz w:val="16"/>
                <w:szCs w:val="16"/>
                <w:lang w:val="es-ES_tradnl"/>
              </w:rPr>
              <w:t>Tasa a finales de 2011</w:t>
            </w:r>
            <w:r w:rsidRPr="009577DE">
              <w:rPr>
                <w:sz w:val="16"/>
                <w:szCs w:val="16"/>
                <w:lang w:val="es-ES_tradnl"/>
              </w:rPr>
              <w:br/>
            </w:r>
            <w:r w:rsidRPr="009577DE">
              <w:rPr>
                <w:sz w:val="16"/>
                <w:szCs w:val="16"/>
                <w:lang w:val="es-ES_tradnl"/>
              </w:rPr>
              <w:br/>
            </w:r>
            <w:r w:rsidRPr="009577DE">
              <w:rPr>
                <w:sz w:val="16"/>
                <w:szCs w:val="16"/>
                <w:lang w:val="es-ES_tradnl"/>
              </w:rPr>
              <w:br/>
            </w:r>
            <w:r w:rsidRPr="009577DE">
              <w:rPr>
                <w:sz w:val="16"/>
                <w:szCs w:val="16"/>
                <w:lang w:val="es-ES_tradnl"/>
              </w:rPr>
              <w:br/>
            </w:r>
          </w:p>
        </w:tc>
        <w:tc>
          <w:tcPr>
            <w:tcW w:w="916" w:type="pct"/>
            <w:shd w:val="clear" w:color="auto" w:fill="auto"/>
            <w:tcMar>
              <w:top w:w="110" w:type="dxa"/>
            </w:tcMar>
          </w:tcPr>
          <w:p w:rsidR="00B070BF" w:rsidRPr="00F2661C" w:rsidRDefault="00B070BF" w:rsidP="00C33D4A">
            <w:pPr>
              <w:widowControl w:val="0"/>
              <w:rPr>
                <w:color w:val="993300"/>
                <w:sz w:val="16"/>
                <w:szCs w:val="16"/>
                <w:lang w:val="es-ES_tradnl"/>
              </w:rPr>
            </w:pPr>
            <w:r w:rsidRPr="00F2661C">
              <w:rPr>
                <w:color w:val="993300"/>
                <w:sz w:val="16"/>
                <w:szCs w:val="16"/>
                <w:lang w:val="es-ES_tradnl"/>
              </w:rPr>
              <w:t>Un 89% de comentarios favorables.</w:t>
            </w:r>
            <w:r w:rsidRPr="00F2661C">
              <w:rPr>
                <w:color w:val="993300"/>
                <w:sz w:val="16"/>
                <w:szCs w:val="16"/>
                <w:lang w:val="es-ES_tradnl"/>
              </w:rPr>
              <w:br/>
            </w:r>
            <w:r w:rsidRPr="00F2661C">
              <w:rPr>
                <w:color w:val="993300"/>
                <w:sz w:val="16"/>
                <w:szCs w:val="16"/>
                <w:lang w:val="es-ES_tradnl"/>
              </w:rPr>
              <w:br/>
            </w:r>
            <w:r w:rsidRPr="00F2661C">
              <w:rPr>
                <w:color w:val="993300"/>
                <w:sz w:val="16"/>
                <w:szCs w:val="16"/>
                <w:lang w:val="es-ES_tradnl"/>
              </w:rPr>
              <w:br/>
            </w:r>
          </w:p>
        </w:tc>
        <w:tc>
          <w:tcPr>
            <w:tcW w:w="1848" w:type="pct"/>
            <w:shd w:val="clear" w:color="auto" w:fill="FFFFFF"/>
            <w:tcMar>
              <w:top w:w="110" w:type="dxa"/>
            </w:tcMar>
          </w:tcPr>
          <w:p w:rsidR="00B070BF" w:rsidRPr="009577DE" w:rsidRDefault="00B070BF" w:rsidP="00C33D4A">
            <w:pPr>
              <w:widowControl w:val="0"/>
              <w:rPr>
                <w:sz w:val="16"/>
                <w:szCs w:val="16"/>
                <w:lang w:val="es-ES_tradnl"/>
              </w:rPr>
            </w:pPr>
            <w:r w:rsidRPr="009577DE">
              <w:rPr>
                <w:sz w:val="16"/>
                <w:szCs w:val="16"/>
                <w:lang w:val="es-ES_tradnl"/>
              </w:rPr>
              <w:t>Se celebró en Ginebra un total de 152 conferencias a lo largo de 366 días, a las que asistieron 8.400 participantes.  Además, se prestaron servicios de apoyo a las conferencias para otras 5.700 actividades  aproximadamente, como reuniones de grupos y bilaterales, actos paralelos, visitas oficiales y reuniones internas</w:t>
            </w:r>
            <w:r w:rsidRPr="009577DE">
              <w:rPr>
                <w:sz w:val="16"/>
                <w:szCs w:val="16"/>
                <w:lang w:val="es-ES_tradnl" w:bidi="th-TH"/>
              </w:rPr>
              <w:t>.</w:t>
            </w:r>
          </w:p>
          <w:p w:rsidR="00B070BF" w:rsidRPr="009577DE" w:rsidRDefault="00B070BF" w:rsidP="00C33D4A">
            <w:pPr>
              <w:widowControl w:val="0"/>
              <w:rPr>
                <w:sz w:val="16"/>
                <w:szCs w:val="16"/>
                <w:lang w:val="es-ES_tradnl"/>
              </w:rPr>
            </w:pPr>
          </w:p>
        </w:tc>
        <w:tc>
          <w:tcPr>
            <w:tcW w:w="557" w:type="pct"/>
            <w:shd w:val="clear" w:color="auto" w:fill="auto"/>
            <w:tcMar>
              <w:top w:w="110" w:type="dxa"/>
            </w:tcMar>
          </w:tcPr>
          <w:p w:rsidR="00B070BF" w:rsidRPr="009577DE" w:rsidRDefault="00B070BF" w:rsidP="00C33D4A">
            <w:pPr>
              <w:widowControl w:val="0"/>
              <w:jc w:val="center"/>
              <w:rPr>
                <w:b/>
                <w:bCs/>
                <w:sz w:val="16"/>
                <w:szCs w:val="16"/>
                <w:lang w:val="es-ES_tradnl"/>
              </w:rPr>
            </w:pPr>
            <w:r w:rsidRPr="009577DE">
              <w:rPr>
                <w:b/>
                <w:bCs/>
                <w:color w:val="008000"/>
                <w:sz w:val="16"/>
                <w:szCs w:val="16"/>
                <w:lang w:val="es-ES_tradnl"/>
              </w:rPr>
              <w:t>Progresa con normalidad</w:t>
            </w:r>
          </w:p>
          <w:p w:rsidR="00B070BF" w:rsidRPr="009577DE" w:rsidRDefault="00B070BF" w:rsidP="00C33D4A">
            <w:pPr>
              <w:widowControl w:val="0"/>
              <w:jc w:val="center"/>
              <w:rPr>
                <w:bCs/>
                <w:sz w:val="16"/>
                <w:szCs w:val="16"/>
                <w:lang w:val="es-ES_tradnl"/>
              </w:rPr>
            </w:pPr>
          </w:p>
        </w:tc>
      </w:tr>
      <w:tr w:rsidR="00B070BF" w:rsidRPr="009577DE" w:rsidTr="00C33D4A">
        <w:trPr>
          <w:cantSplit/>
        </w:trPr>
        <w:tc>
          <w:tcPr>
            <w:tcW w:w="874" w:type="pct"/>
            <w:shd w:val="clear" w:color="auto" w:fill="auto"/>
          </w:tcPr>
          <w:p w:rsidR="00B070BF" w:rsidRPr="009577DE" w:rsidRDefault="00B070BF" w:rsidP="00C33D4A">
            <w:pPr>
              <w:widowControl w:val="0"/>
              <w:rPr>
                <w:sz w:val="16"/>
                <w:szCs w:val="16"/>
                <w:lang w:val="es-ES_tradnl"/>
              </w:rPr>
            </w:pPr>
            <w:r w:rsidRPr="009577DE">
              <w:rPr>
                <w:sz w:val="16"/>
                <w:szCs w:val="16"/>
                <w:lang w:val="es-ES_tradnl"/>
              </w:rPr>
              <w:t>Normas de productividad de la traducción y costo por página traducida.</w:t>
            </w:r>
          </w:p>
        </w:tc>
        <w:tc>
          <w:tcPr>
            <w:tcW w:w="805" w:type="pct"/>
            <w:shd w:val="clear" w:color="auto" w:fill="C0C0C0"/>
          </w:tcPr>
          <w:p w:rsidR="00B070BF" w:rsidRPr="009577DE" w:rsidRDefault="00B070BF" w:rsidP="00C33D4A">
            <w:pPr>
              <w:widowControl w:val="0"/>
              <w:rPr>
                <w:sz w:val="16"/>
                <w:szCs w:val="16"/>
                <w:lang w:val="es-ES_tradnl"/>
              </w:rPr>
            </w:pPr>
            <w:r w:rsidRPr="009577DE">
              <w:rPr>
                <w:sz w:val="16"/>
                <w:szCs w:val="16"/>
                <w:lang w:val="es-ES_tradnl"/>
              </w:rPr>
              <w:t>Niveles de productividad y costos a finales de 2011</w:t>
            </w:r>
            <w:r w:rsidRPr="009577DE">
              <w:rPr>
                <w:sz w:val="16"/>
                <w:szCs w:val="16"/>
                <w:lang w:val="es-ES_tradnl"/>
              </w:rPr>
              <w:br/>
            </w:r>
          </w:p>
        </w:tc>
        <w:tc>
          <w:tcPr>
            <w:tcW w:w="916" w:type="pct"/>
            <w:shd w:val="clear" w:color="auto" w:fill="auto"/>
            <w:tcMar>
              <w:top w:w="110" w:type="dxa"/>
            </w:tcMar>
          </w:tcPr>
          <w:p w:rsidR="00B070BF" w:rsidRPr="00F2661C" w:rsidRDefault="00B070BF" w:rsidP="00C33D4A">
            <w:pPr>
              <w:widowControl w:val="0"/>
              <w:rPr>
                <w:color w:val="993300"/>
                <w:sz w:val="16"/>
                <w:szCs w:val="16"/>
                <w:lang w:val="es-ES_tradnl"/>
              </w:rPr>
            </w:pPr>
            <w:r w:rsidRPr="00F2661C">
              <w:rPr>
                <w:color w:val="993300"/>
                <w:sz w:val="16"/>
                <w:szCs w:val="16"/>
                <w:lang w:val="es-ES_tradnl"/>
              </w:rPr>
              <w:t xml:space="preserve">Se tradujeron </w:t>
            </w:r>
            <w:r>
              <w:rPr>
                <w:color w:val="993300"/>
                <w:sz w:val="16"/>
                <w:szCs w:val="16"/>
                <w:lang w:val="es-ES_tradnl"/>
              </w:rPr>
              <w:t>11.933.276 palabras</w:t>
            </w:r>
            <w:r w:rsidRPr="00F2661C">
              <w:rPr>
                <w:color w:val="993300"/>
                <w:sz w:val="16"/>
                <w:szCs w:val="16"/>
                <w:lang w:val="es-ES_tradnl"/>
              </w:rPr>
              <w:t xml:space="preserve"> en 2010/11</w:t>
            </w:r>
            <w:r>
              <w:rPr>
                <w:color w:val="993300"/>
                <w:sz w:val="16"/>
                <w:szCs w:val="16"/>
                <w:lang w:val="es-ES_tradnl"/>
              </w:rPr>
              <w:t xml:space="preserve"> (unas 36.161 páginas estándar de NN.UU.)</w:t>
            </w:r>
            <w:r w:rsidRPr="00F2661C">
              <w:rPr>
                <w:color w:val="993300"/>
                <w:sz w:val="16"/>
                <w:szCs w:val="16"/>
                <w:lang w:val="es-ES_tradnl"/>
              </w:rPr>
              <w:t>.</w:t>
            </w:r>
          </w:p>
          <w:p w:rsidR="00B070BF" w:rsidRPr="00F2661C" w:rsidRDefault="00B070BF" w:rsidP="00C33D4A">
            <w:pPr>
              <w:widowControl w:val="0"/>
              <w:rPr>
                <w:color w:val="993300"/>
                <w:sz w:val="16"/>
                <w:szCs w:val="16"/>
                <w:lang w:val="es-ES_tradnl"/>
              </w:rPr>
            </w:pPr>
          </w:p>
          <w:p w:rsidR="00B070BF" w:rsidRPr="00F2661C" w:rsidRDefault="00B070BF" w:rsidP="00C33D4A">
            <w:pPr>
              <w:widowControl w:val="0"/>
              <w:rPr>
                <w:color w:val="993300"/>
                <w:sz w:val="16"/>
                <w:szCs w:val="16"/>
                <w:lang w:val="es-ES_tradnl"/>
              </w:rPr>
            </w:pPr>
            <w:r w:rsidRPr="00F2661C">
              <w:rPr>
                <w:color w:val="993300"/>
                <w:sz w:val="16"/>
                <w:szCs w:val="16"/>
                <w:lang w:val="es-ES_tradnl"/>
              </w:rPr>
              <w:t>Cada página cuesta 213 francos suizos.</w:t>
            </w:r>
          </w:p>
        </w:tc>
        <w:tc>
          <w:tcPr>
            <w:tcW w:w="1848" w:type="pct"/>
            <w:shd w:val="clear" w:color="auto" w:fill="FFFFFF"/>
            <w:tcMar>
              <w:top w:w="110" w:type="dxa"/>
            </w:tcMar>
          </w:tcPr>
          <w:p w:rsidR="00B070BF" w:rsidRPr="009577DE" w:rsidRDefault="00B070BF" w:rsidP="00C33D4A">
            <w:pPr>
              <w:widowControl w:val="0"/>
              <w:rPr>
                <w:sz w:val="16"/>
                <w:szCs w:val="16"/>
                <w:lang w:val="es-ES_tradnl"/>
              </w:rPr>
            </w:pPr>
            <w:r w:rsidRPr="009577DE">
              <w:rPr>
                <w:sz w:val="16"/>
                <w:szCs w:val="16"/>
                <w:lang w:val="es-ES_tradnl"/>
              </w:rPr>
              <w:t>Con la aplicación de la nueva política lingüística en enero de 2012, se tradujo un total de 1,52 millones de palabras por mes ese año, lo que representa un muy considerable aumento del 53% respecto a 2011.</w:t>
            </w:r>
            <w:r>
              <w:rPr>
                <w:sz w:val="16"/>
                <w:szCs w:val="16"/>
                <w:lang w:val="es-ES_tradnl"/>
              </w:rPr>
              <w:br/>
            </w:r>
          </w:p>
          <w:p w:rsidR="00B070BF" w:rsidRPr="009577DE" w:rsidRDefault="00B070BF" w:rsidP="00C33D4A">
            <w:pPr>
              <w:widowControl w:val="0"/>
              <w:rPr>
                <w:sz w:val="16"/>
                <w:szCs w:val="16"/>
                <w:lang w:val="es-ES_tradnl"/>
              </w:rPr>
            </w:pPr>
          </w:p>
          <w:p w:rsidR="00B070BF" w:rsidRPr="009577DE" w:rsidRDefault="00B070BF" w:rsidP="00C33D4A">
            <w:pPr>
              <w:widowControl w:val="0"/>
              <w:rPr>
                <w:sz w:val="16"/>
                <w:szCs w:val="16"/>
                <w:lang w:val="es-ES_tradnl"/>
              </w:rPr>
            </w:pPr>
            <w:r w:rsidRPr="009577DE">
              <w:rPr>
                <w:sz w:val="16"/>
                <w:szCs w:val="16"/>
                <w:lang w:val="es-ES_tradnl"/>
              </w:rPr>
              <w:t xml:space="preserve">El costo medio por página de traducción disminuyó a 177 francos suizos, un 16,5% menos que el año anterior. </w:t>
            </w:r>
          </w:p>
        </w:tc>
        <w:tc>
          <w:tcPr>
            <w:tcW w:w="557" w:type="pct"/>
            <w:shd w:val="clear" w:color="auto" w:fill="auto"/>
            <w:tcMar>
              <w:top w:w="110" w:type="dxa"/>
            </w:tcMar>
          </w:tcPr>
          <w:p w:rsidR="00B070BF" w:rsidRPr="009577DE" w:rsidRDefault="00B070BF" w:rsidP="00C33D4A">
            <w:pPr>
              <w:widowControl w:val="0"/>
              <w:jc w:val="center"/>
              <w:rPr>
                <w:b/>
                <w:bCs/>
                <w:sz w:val="16"/>
                <w:szCs w:val="16"/>
                <w:lang w:val="es-ES_tradnl"/>
              </w:rPr>
            </w:pPr>
            <w:r w:rsidRPr="009577DE">
              <w:rPr>
                <w:b/>
                <w:bCs/>
                <w:color w:val="008000"/>
                <w:sz w:val="16"/>
                <w:szCs w:val="16"/>
                <w:lang w:val="es-ES_tradnl"/>
              </w:rPr>
              <w:t>Progresa con normalidad</w:t>
            </w:r>
          </w:p>
          <w:p w:rsidR="00B070BF" w:rsidRPr="009577DE" w:rsidRDefault="00B070BF" w:rsidP="00C33D4A">
            <w:pPr>
              <w:widowControl w:val="0"/>
              <w:jc w:val="center"/>
              <w:rPr>
                <w:bCs/>
                <w:sz w:val="16"/>
                <w:szCs w:val="16"/>
                <w:lang w:val="es-ES_tradnl"/>
              </w:rPr>
            </w:pPr>
          </w:p>
        </w:tc>
      </w:tr>
      <w:tr w:rsidR="00B070BF" w:rsidRPr="009577DE" w:rsidTr="00C33D4A">
        <w:trPr>
          <w:cantSplit/>
        </w:trPr>
        <w:tc>
          <w:tcPr>
            <w:tcW w:w="874" w:type="pct"/>
            <w:shd w:val="clear" w:color="auto" w:fill="auto"/>
          </w:tcPr>
          <w:p w:rsidR="00B070BF" w:rsidRPr="009577DE" w:rsidRDefault="00B070BF" w:rsidP="00C33D4A">
            <w:pPr>
              <w:widowControl w:val="0"/>
              <w:rPr>
                <w:sz w:val="16"/>
                <w:szCs w:val="16"/>
                <w:lang w:val="es-ES_tradnl"/>
              </w:rPr>
            </w:pPr>
            <w:r w:rsidRPr="009577DE">
              <w:rPr>
                <w:sz w:val="16"/>
                <w:szCs w:val="16"/>
                <w:lang w:val="es-ES_tradnl"/>
              </w:rPr>
              <w:t>Adopción de una amplia política lingüística por los Estados miembros con la dotación de recursos necesarios.</w:t>
            </w:r>
          </w:p>
        </w:tc>
        <w:tc>
          <w:tcPr>
            <w:tcW w:w="805" w:type="pct"/>
            <w:shd w:val="clear" w:color="auto" w:fill="C0C0C0"/>
          </w:tcPr>
          <w:p w:rsidR="00B070BF" w:rsidRPr="009577DE" w:rsidRDefault="00B070BF" w:rsidP="00C33D4A">
            <w:pPr>
              <w:widowControl w:val="0"/>
              <w:rPr>
                <w:sz w:val="16"/>
                <w:szCs w:val="16"/>
                <w:lang w:val="es-ES_tradnl"/>
              </w:rPr>
            </w:pPr>
            <w:r w:rsidRPr="009577DE">
              <w:rPr>
                <w:sz w:val="16"/>
                <w:szCs w:val="16"/>
                <w:lang w:val="es-ES_tradnl"/>
              </w:rPr>
              <w:t>La política lingüística se elaboró en 2010 solo para la documentación destinada a los comités permanentes de la OMPI.</w:t>
            </w:r>
          </w:p>
        </w:tc>
        <w:tc>
          <w:tcPr>
            <w:tcW w:w="916" w:type="pct"/>
            <w:shd w:val="clear" w:color="auto" w:fill="auto"/>
            <w:tcMar>
              <w:top w:w="110" w:type="dxa"/>
            </w:tcMar>
          </w:tcPr>
          <w:p w:rsidR="00B070BF" w:rsidRPr="00F2661C" w:rsidRDefault="00B070BF" w:rsidP="00C33D4A">
            <w:pPr>
              <w:widowControl w:val="0"/>
              <w:rPr>
                <w:color w:val="993300"/>
                <w:sz w:val="16"/>
                <w:szCs w:val="16"/>
                <w:lang w:val="es-ES_tradnl"/>
              </w:rPr>
            </w:pPr>
            <w:r w:rsidRPr="00F2661C">
              <w:rPr>
                <w:color w:val="993300"/>
                <w:sz w:val="16"/>
                <w:szCs w:val="16"/>
                <w:lang w:val="es-ES_tradnl"/>
              </w:rPr>
              <w:t>La política lingüística se elaboró en 2010 para la documentación destinada a los comités permanentes y los órganos principales de la OMPI.</w:t>
            </w:r>
          </w:p>
          <w:p w:rsidR="00B070BF" w:rsidRPr="00F2661C" w:rsidRDefault="00B070BF" w:rsidP="00C33D4A">
            <w:pPr>
              <w:widowControl w:val="0"/>
              <w:rPr>
                <w:color w:val="993300"/>
                <w:sz w:val="16"/>
                <w:szCs w:val="16"/>
                <w:lang w:val="es-ES_tradnl"/>
              </w:rPr>
            </w:pPr>
          </w:p>
        </w:tc>
        <w:tc>
          <w:tcPr>
            <w:tcW w:w="1848" w:type="pct"/>
            <w:shd w:val="clear" w:color="auto" w:fill="FFFFFF"/>
            <w:tcMar>
              <w:top w:w="110" w:type="dxa"/>
            </w:tcMar>
          </w:tcPr>
          <w:p w:rsidR="00B070BF" w:rsidRPr="009577DE" w:rsidRDefault="00B070BF" w:rsidP="00C33D4A">
            <w:pPr>
              <w:widowControl w:val="0"/>
              <w:rPr>
                <w:sz w:val="16"/>
                <w:szCs w:val="16"/>
                <w:lang w:val="es-ES_tradnl"/>
              </w:rPr>
            </w:pPr>
            <w:r w:rsidRPr="009577DE">
              <w:rPr>
                <w:sz w:val="16"/>
                <w:szCs w:val="16"/>
                <w:lang w:val="es-ES_tradnl"/>
              </w:rPr>
              <w:t>En 2012 se proporcionó documentación en los seis idiomas oficiales de las Naciones Unidas para las reuniones de todos los comités permanentes y los órganos principales de la OMPI, con la excepción del Comité de Coordinación de la OMPI y la Asamblea de la Unión del PCT, a los que se hará extensiva la disponibilidad de la documentación en los seis idiomas a partir de 2013.</w:t>
            </w:r>
          </w:p>
        </w:tc>
        <w:tc>
          <w:tcPr>
            <w:tcW w:w="557" w:type="pct"/>
            <w:shd w:val="clear" w:color="auto" w:fill="auto"/>
            <w:tcMar>
              <w:top w:w="110" w:type="dxa"/>
            </w:tcMar>
          </w:tcPr>
          <w:p w:rsidR="00B070BF" w:rsidRPr="009577DE" w:rsidRDefault="00B070BF" w:rsidP="00C33D4A">
            <w:pPr>
              <w:widowControl w:val="0"/>
              <w:jc w:val="center"/>
              <w:rPr>
                <w:b/>
                <w:bCs/>
                <w:sz w:val="16"/>
                <w:szCs w:val="16"/>
                <w:lang w:val="es-ES_tradnl"/>
              </w:rPr>
            </w:pPr>
            <w:r w:rsidRPr="009577DE">
              <w:rPr>
                <w:b/>
                <w:bCs/>
                <w:color w:val="008000"/>
                <w:sz w:val="16"/>
                <w:szCs w:val="16"/>
                <w:lang w:val="es-ES_tradnl"/>
              </w:rPr>
              <w:t>Progresa con normalidad</w:t>
            </w:r>
          </w:p>
          <w:p w:rsidR="00B070BF" w:rsidRPr="009577DE" w:rsidRDefault="00B070BF" w:rsidP="00C33D4A">
            <w:pPr>
              <w:widowControl w:val="0"/>
              <w:jc w:val="center"/>
              <w:rPr>
                <w:bCs/>
                <w:sz w:val="16"/>
                <w:szCs w:val="16"/>
                <w:lang w:val="es-ES_tradnl"/>
              </w:rPr>
            </w:pPr>
          </w:p>
        </w:tc>
      </w:tr>
      <w:tr w:rsidR="00B070BF" w:rsidRPr="009577DE" w:rsidTr="00C33D4A">
        <w:trPr>
          <w:cantSplit/>
        </w:trPr>
        <w:tc>
          <w:tcPr>
            <w:tcW w:w="874" w:type="pct"/>
            <w:shd w:val="clear" w:color="auto" w:fill="auto"/>
          </w:tcPr>
          <w:p w:rsidR="00B070BF" w:rsidRPr="009577DE" w:rsidRDefault="00B070BF" w:rsidP="00C33D4A">
            <w:pPr>
              <w:widowControl w:val="0"/>
              <w:rPr>
                <w:sz w:val="16"/>
                <w:szCs w:val="16"/>
                <w:lang w:val="es-ES_tradnl"/>
              </w:rPr>
            </w:pPr>
            <w:r w:rsidRPr="009577DE">
              <w:rPr>
                <w:sz w:val="16"/>
                <w:szCs w:val="16"/>
                <w:lang w:val="es-ES_tradnl"/>
              </w:rPr>
              <w:t>Índice de productividad para los cálculos, la introducción de datos, así como para la compilación y el suministro de estadísticas (distribución del correo).</w:t>
            </w:r>
          </w:p>
        </w:tc>
        <w:tc>
          <w:tcPr>
            <w:tcW w:w="805" w:type="pct"/>
            <w:shd w:val="clear" w:color="auto" w:fill="C0C0C0"/>
          </w:tcPr>
          <w:p w:rsidR="00B070BF" w:rsidRPr="009577DE" w:rsidRDefault="00B070BF" w:rsidP="00C33D4A">
            <w:pPr>
              <w:widowControl w:val="0"/>
              <w:rPr>
                <w:sz w:val="16"/>
                <w:szCs w:val="16"/>
                <w:lang w:val="es-ES_tradnl"/>
              </w:rPr>
            </w:pPr>
            <w:r w:rsidRPr="009577DE">
              <w:rPr>
                <w:sz w:val="16"/>
                <w:szCs w:val="16"/>
                <w:lang w:val="es-ES_tradnl"/>
              </w:rPr>
              <w:t>Índice de productividad a fines de 2011.</w:t>
            </w:r>
          </w:p>
        </w:tc>
        <w:tc>
          <w:tcPr>
            <w:tcW w:w="916" w:type="pct"/>
            <w:shd w:val="clear" w:color="auto" w:fill="auto"/>
            <w:tcMar>
              <w:top w:w="110" w:type="dxa"/>
            </w:tcMar>
          </w:tcPr>
          <w:p w:rsidR="00B070BF" w:rsidRPr="00F2661C" w:rsidRDefault="00B070BF" w:rsidP="00C33D4A">
            <w:pPr>
              <w:widowControl w:val="0"/>
              <w:rPr>
                <w:color w:val="993300"/>
                <w:sz w:val="16"/>
                <w:szCs w:val="16"/>
                <w:lang w:val="es-ES_tradnl"/>
              </w:rPr>
            </w:pPr>
            <w:r w:rsidRPr="00F2661C">
              <w:rPr>
                <w:color w:val="993300"/>
                <w:sz w:val="16"/>
                <w:szCs w:val="16"/>
                <w:lang w:val="es-ES_tradnl"/>
              </w:rPr>
              <w:t>En 2011 se enviaron 1.694.940 artículos con un costo de  2.495.669 francos suizos.</w:t>
            </w:r>
          </w:p>
        </w:tc>
        <w:tc>
          <w:tcPr>
            <w:tcW w:w="1848" w:type="pct"/>
            <w:shd w:val="clear" w:color="auto" w:fill="FFFFFF"/>
            <w:tcMar>
              <w:top w:w="110" w:type="dxa"/>
            </w:tcMar>
          </w:tcPr>
          <w:p w:rsidR="00B070BF" w:rsidRPr="009577DE" w:rsidRDefault="00B070BF" w:rsidP="00C33D4A">
            <w:pPr>
              <w:widowControl w:val="0"/>
              <w:rPr>
                <w:sz w:val="16"/>
                <w:szCs w:val="16"/>
                <w:lang w:val="es-ES_tradnl"/>
              </w:rPr>
            </w:pPr>
            <w:r w:rsidRPr="009577DE">
              <w:rPr>
                <w:sz w:val="16"/>
                <w:szCs w:val="16"/>
                <w:lang w:val="es-ES_tradnl"/>
              </w:rPr>
              <w:t>La renegociación de los contratos de las empresas de distribución de correo se tradujo en un descenso general de los gastos de correo en 2012 del 12,6% respecto de 2011 (1.803.346 artículos con un costo de 2.216.038 francos suizos).</w:t>
            </w:r>
          </w:p>
          <w:p w:rsidR="00B070BF" w:rsidRPr="009577DE" w:rsidRDefault="00B070BF" w:rsidP="00C33D4A">
            <w:pPr>
              <w:widowControl w:val="0"/>
              <w:rPr>
                <w:sz w:val="16"/>
                <w:szCs w:val="16"/>
                <w:lang w:val="es-ES_tradnl"/>
              </w:rPr>
            </w:pPr>
          </w:p>
        </w:tc>
        <w:tc>
          <w:tcPr>
            <w:tcW w:w="557" w:type="pct"/>
            <w:shd w:val="clear" w:color="auto" w:fill="auto"/>
            <w:tcMar>
              <w:top w:w="110" w:type="dxa"/>
            </w:tcMar>
          </w:tcPr>
          <w:p w:rsidR="00B070BF" w:rsidRPr="009577DE" w:rsidRDefault="00B070BF" w:rsidP="00C33D4A">
            <w:pPr>
              <w:widowControl w:val="0"/>
              <w:jc w:val="center"/>
              <w:rPr>
                <w:b/>
                <w:bCs/>
                <w:sz w:val="16"/>
                <w:szCs w:val="16"/>
                <w:lang w:val="es-ES_tradnl"/>
              </w:rPr>
            </w:pPr>
            <w:r w:rsidRPr="009577DE">
              <w:rPr>
                <w:b/>
                <w:bCs/>
                <w:color w:val="008000"/>
                <w:sz w:val="16"/>
                <w:szCs w:val="16"/>
                <w:lang w:val="es-ES_tradnl"/>
              </w:rPr>
              <w:t>Progresa con normalidad</w:t>
            </w:r>
          </w:p>
          <w:p w:rsidR="00B070BF" w:rsidRPr="009577DE" w:rsidRDefault="00B070BF" w:rsidP="00C33D4A">
            <w:pPr>
              <w:widowControl w:val="0"/>
              <w:jc w:val="center"/>
              <w:rPr>
                <w:bCs/>
                <w:sz w:val="16"/>
                <w:szCs w:val="16"/>
                <w:lang w:val="es-ES_tradnl"/>
              </w:rPr>
            </w:pPr>
          </w:p>
        </w:tc>
      </w:tr>
      <w:tr w:rsidR="00B070BF" w:rsidRPr="009577DE" w:rsidTr="00C33D4A">
        <w:trPr>
          <w:cantSplit/>
        </w:trPr>
        <w:tc>
          <w:tcPr>
            <w:tcW w:w="874" w:type="pct"/>
            <w:shd w:val="clear" w:color="auto" w:fill="auto"/>
          </w:tcPr>
          <w:p w:rsidR="00B070BF" w:rsidRPr="009577DE" w:rsidRDefault="00B070BF" w:rsidP="00C33D4A">
            <w:pPr>
              <w:widowControl w:val="0"/>
              <w:rPr>
                <w:sz w:val="16"/>
                <w:szCs w:val="16"/>
                <w:lang w:val="es-ES_tradnl"/>
              </w:rPr>
            </w:pPr>
            <w:r w:rsidRPr="009577DE">
              <w:rPr>
                <w:sz w:val="16"/>
                <w:szCs w:val="16"/>
                <w:lang w:val="es-ES_tradnl"/>
              </w:rPr>
              <w:t>Porcentaje de lotes de ayuda del PCT en papel o en formato electrónico transmitidos en el plazo previsto.</w:t>
            </w:r>
          </w:p>
        </w:tc>
        <w:tc>
          <w:tcPr>
            <w:tcW w:w="805" w:type="pct"/>
            <w:shd w:val="clear" w:color="auto" w:fill="C0C0C0"/>
          </w:tcPr>
          <w:p w:rsidR="00B070BF" w:rsidRPr="009577DE" w:rsidRDefault="00B070BF" w:rsidP="00C33D4A">
            <w:pPr>
              <w:widowControl w:val="0"/>
              <w:rPr>
                <w:sz w:val="16"/>
                <w:szCs w:val="16"/>
                <w:lang w:val="es-ES_tradnl"/>
              </w:rPr>
            </w:pPr>
            <w:r w:rsidRPr="009577DE">
              <w:rPr>
                <w:sz w:val="16"/>
                <w:szCs w:val="16"/>
                <w:lang w:val="es-ES_tradnl"/>
              </w:rPr>
              <w:t>Porcentaje a fines de 2011.</w:t>
            </w:r>
          </w:p>
        </w:tc>
        <w:tc>
          <w:tcPr>
            <w:tcW w:w="916" w:type="pct"/>
            <w:shd w:val="clear" w:color="auto" w:fill="auto"/>
            <w:tcMar>
              <w:top w:w="110" w:type="dxa"/>
            </w:tcMar>
          </w:tcPr>
          <w:p w:rsidR="00B070BF" w:rsidRPr="009577DE" w:rsidRDefault="00B070BF" w:rsidP="00C33D4A">
            <w:pPr>
              <w:widowControl w:val="0"/>
              <w:rPr>
                <w:sz w:val="16"/>
                <w:szCs w:val="16"/>
                <w:lang w:val="es-ES_tradnl"/>
              </w:rPr>
            </w:pPr>
          </w:p>
        </w:tc>
        <w:tc>
          <w:tcPr>
            <w:tcW w:w="1848" w:type="pct"/>
            <w:shd w:val="clear" w:color="auto" w:fill="FFFFFF"/>
            <w:tcMar>
              <w:top w:w="110" w:type="dxa"/>
            </w:tcMar>
          </w:tcPr>
          <w:p w:rsidR="00B070BF" w:rsidRPr="009577DE" w:rsidRDefault="00B070BF" w:rsidP="00C33D4A">
            <w:pPr>
              <w:widowControl w:val="0"/>
              <w:rPr>
                <w:sz w:val="16"/>
                <w:szCs w:val="16"/>
                <w:lang w:val="es-ES_tradnl" w:bidi="th-TH"/>
              </w:rPr>
            </w:pPr>
            <w:r w:rsidRPr="009577DE">
              <w:rPr>
                <w:sz w:val="16"/>
                <w:szCs w:val="16"/>
                <w:lang w:val="es-ES_tradnl" w:bidi="th-TH"/>
              </w:rPr>
              <w:t>El 97% de las estadísticas sobre los lotes de ayuda del PCT en papel estuvieron disponibles en el plazo previsto.</w:t>
            </w:r>
          </w:p>
          <w:p w:rsidR="00B070BF" w:rsidRPr="009577DE" w:rsidRDefault="00B070BF" w:rsidP="00C33D4A">
            <w:pPr>
              <w:widowControl w:val="0"/>
              <w:rPr>
                <w:sz w:val="16"/>
                <w:szCs w:val="16"/>
                <w:lang w:val="es-ES_tradnl" w:bidi="th-TH"/>
              </w:rPr>
            </w:pPr>
          </w:p>
          <w:p w:rsidR="00B070BF" w:rsidRPr="009577DE" w:rsidRDefault="00B070BF" w:rsidP="00C33D4A">
            <w:pPr>
              <w:widowControl w:val="0"/>
              <w:rPr>
                <w:sz w:val="16"/>
                <w:szCs w:val="16"/>
                <w:lang w:val="es-ES_tradnl" w:bidi="th-TH"/>
              </w:rPr>
            </w:pPr>
            <w:r w:rsidRPr="009577DE">
              <w:rPr>
                <w:sz w:val="16"/>
                <w:szCs w:val="16"/>
                <w:lang w:val="es-ES_tradnl" w:bidi="th-TH"/>
              </w:rPr>
              <w:t xml:space="preserve">El 100% de las estadísticas sobre los lotes de ayuda del PCT en formato electrónico estuvieron disponibles en el plazo previsto. </w:t>
            </w:r>
          </w:p>
          <w:p w:rsidR="00B070BF" w:rsidRPr="009577DE" w:rsidRDefault="00B070BF" w:rsidP="00C33D4A">
            <w:pPr>
              <w:widowControl w:val="0"/>
              <w:rPr>
                <w:sz w:val="16"/>
                <w:szCs w:val="16"/>
                <w:lang w:val="es-ES_tradnl"/>
              </w:rPr>
            </w:pPr>
          </w:p>
        </w:tc>
        <w:tc>
          <w:tcPr>
            <w:tcW w:w="557" w:type="pct"/>
            <w:shd w:val="clear" w:color="auto" w:fill="auto"/>
            <w:tcMar>
              <w:top w:w="110" w:type="dxa"/>
            </w:tcMar>
          </w:tcPr>
          <w:p w:rsidR="00B070BF" w:rsidRPr="009577DE" w:rsidRDefault="00B070BF" w:rsidP="00C33D4A">
            <w:pPr>
              <w:widowControl w:val="0"/>
              <w:jc w:val="center"/>
              <w:rPr>
                <w:b/>
                <w:bCs/>
                <w:sz w:val="16"/>
                <w:szCs w:val="16"/>
                <w:lang w:val="es-ES_tradnl"/>
              </w:rPr>
            </w:pPr>
            <w:r w:rsidRPr="009577DE">
              <w:rPr>
                <w:b/>
                <w:bCs/>
                <w:color w:val="008000"/>
                <w:sz w:val="16"/>
                <w:szCs w:val="16"/>
                <w:lang w:val="es-ES_tradnl"/>
              </w:rPr>
              <w:t>Progresa con normalidad</w:t>
            </w:r>
          </w:p>
          <w:p w:rsidR="00B070BF" w:rsidRPr="009577DE" w:rsidRDefault="00B070BF" w:rsidP="00C33D4A">
            <w:pPr>
              <w:widowControl w:val="0"/>
              <w:jc w:val="center"/>
              <w:rPr>
                <w:bCs/>
                <w:sz w:val="16"/>
                <w:szCs w:val="16"/>
                <w:lang w:val="es-ES_tradnl"/>
              </w:rPr>
            </w:pPr>
          </w:p>
        </w:tc>
      </w:tr>
      <w:tr w:rsidR="00B070BF" w:rsidRPr="009577DE" w:rsidTr="00C33D4A">
        <w:trPr>
          <w:cantSplit/>
        </w:trPr>
        <w:tc>
          <w:tcPr>
            <w:tcW w:w="874" w:type="pct"/>
            <w:shd w:val="clear" w:color="auto" w:fill="auto"/>
          </w:tcPr>
          <w:p w:rsidR="00B070BF" w:rsidRPr="009577DE" w:rsidRDefault="00B070BF" w:rsidP="00C33D4A">
            <w:pPr>
              <w:widowControl w:val="0"/>
              <w:rPr>
                <w:sz w:val="16"/>
                <w:szCs w:val="16"/>
                <w:lang w:val="es-ES_tradnl"/>
              </w:rPr>
            </w:pPr>
            <w:r w:rsidRPr="009577DE">
              <w:rPr>
                <w:sz w:val="16"/>
                <w:szCs w:val="16"/>
                <w:lang w:val="es-ES_tradnl"/>
              </w:rPr>
              <w:t xml:space="preserve">Porcentaje de notificaciones del sistema de Madrid en papel transmitidas en el plazo previsto. </w:t>
            </w:r>
          </w:p>
        </w:tc>
        <w:tc>
          <w:tcPr>
            <w:tcW w:w="805" w:type="pct"/>
            <w:shd w:val="clear" w:color="auto" w:fill="C0C0C0"/>
          </w:tcPr>
          <w:p w:rsidR="00B070BF" w:rsidRPr="009577DE" w:rsidRDefault="00B070BF" w:rsidP="00C33D4A">
            <w:pPr>
              <w:widowControl w:val="0"/>
              <w:rPr>
                <w:sz w:val="16"/>
                <w:szCs w:val="16"/>
                <w:lang w:val="es-ES_tradnl"/>
              </w:rPr>
            </w:pPr>
            <w:r w:rsidRPr="009577DE">
              <w:rPr>
                <w:sz w:val="16"/>
                <w:szCs w:val="16"/>
                <w:lang w:val="es-ES_tradnl"/>
              </w:rPr>
              <w:t>Porcentaje a fines de 2011.</w:t>
            </w:r>
          </w:p>
        </w:tc>
        <w:tc>
          <w:tcPr>
            <w:tcW w:w="916" w:type="pct"/>
            <w:shd w:val="clear" w:color="auto" w:fill="auto"/>
            <w:tcMar>
              <w:top w:w="110" w:type="dxa"/>
            </w:tcMar>
          </w:tcPr>
          <w:p w:rsidR="00B070BF" w:rsidRPr="009577DE" w:rsidRDefault="00B070BF" w:rsidP="00C33D4A">
            <w:pPr>
              <w:widowControl w:val="0"/>
              <w:rPr>
                <w:sz w:val="16"/>
                <w:szCs w:val="16"/>
                <w:lang w:val="es-ES_tradnl"/>
              </w:rPr>
            </w:pPr>
          </w:p>
        </w:tc>
        <w:tc>
          <w:tcPr>
            <w:tcW w:w="1848" w:type="pct"/>
            <w:shd w:val="clear" w:color="auto" w:fill="FFFFFF"/>
            <w:tcMar>
              <w:top w:w="110" w:type="dxa"/>
            </w:tcMar>
          </w:tcPr>
          <w:p w:rsidR="00B070BF" w:rsidRPr="009577DE" w:rsidRDefault="00B070BF" w:rsidP="00C33D4A">
            <w:pPr>
              <w:widowControl w:val="0"/>
              <w:rPr>
                <w:sz w:val="16"/>
                <w:szCs w:val="16"/>
                <w:lang w:val="es-ES_tradnl" w:bidi="th-TH"/>
              </w:rPr>
            </w:pPr>
            <w:r w:rsidRPr="009577DE">
              <w:rPr>
                <w:sz w:val="16"/>
                <w:szCs w:val="16"/>
                <w:lang w:val="es-ES_tradnl" w:bidi="th-TH"/>
              </w:rPr>
              <w:t>Se espera que estén disponibles antes de que finalice 2013.</w:t>
            </w:r>
          </w:p>
          <w:p w:rsidR="00B070BF" w:rsidRPr="009577DE" w:rsidRDefault="00B070BF" w:rsidP="00C33D4A">
            <w:pPr>
              <w:widowControl w:val="0"/>
              <w:rPr>
                <w:sz w:val="16"/>
                <w:szCs w:val="16"/>
                <w:lang w:val="es-ES_tradnl" w:bidi="th-TH"/>
              </w:rPr>
            </w:pPr>
          </w:p>
          <w:p w:rsidR="00B070BF" w:rsidRPr="009577DE" w:rsidRDefault="00B070BF" w:rsidP="00C33D4A">
            <w:pPr>
              <w:widowControl w:val="0"/>
              <w:rPr>
                <w:sz w:val="16"/>
                <w:szCs w:val="16"/>
                <w:lang w:val="es-ES_tradnl"/>
              </w:rPr>
            </w:pPr>
          </w:p>
        </w:tc>
        <w:tc>
          <w:tcPr>
            <w:tcW w:w="557" w:type="pct"/>
            <w:shd w:val="clear" w:color="auto" w:fill="auto"/>
            <w:tcMar>
              <w:top w:w="110" w:type="dxa"/>
            </w:tcMar>
          </w:tcPr>
          <w:p w:rsidR="00B070BF" w:rsidRPr="009577DE" w:rsidRDefault="00B070BF" w:rsidP="00C33D4A">
            <w:pPr>
              <w:widowControl w:val="0"/>
              <w:jc w:val="center"/>
              <w:rPr>
                <w:b/>
                <w:bCs/>
                <w:sz w:val="16"/>
                <w:szCs w:val="16"/>
                <w:lang w:val="es-ES_tradnl"/>
              </w:rPr>
            </w:pPr>
            <w:r w:rsidRPr="009577DE">
              <w:rPr>
                <w:b/>
                <w:bCs/>
                <w:sz w:val="16"/>
                <w:szCs w:val="16"/>
                <w:lang w:val="es-ES_tradnl"/>
              </w:rPr>
              <w:t>No disponible para 2012</w:t>
            </w:r>
          </w:p>
          <w:p w:rsidR="00B070BF" w:rsidRPr="009577DE" w:rsidRDefault="00B070BF" w:rsidP="00C33D4A">
            <w:pPr>
              <w:widowControl w:val="0"/>
              <w:jc w:val="center"/>
              <w:rPr>
                <w:bCs/>
                <w:sz w:val="16"/>
                <w:szCs w:val="16"/>
                <w:lang w:val="es-ES_tradnl"/>
              </w:rPr>
            </w:pPr>
          </w:p>
        </w:tc>
      </w:tr>
      <w:tr w:rsidR="00B070BF" w:rsidRPr="009577DE" w:rsidTr="00C33D4A">
        <w:trPr>
          <w:cantSplit/>
        </w:trPr>
        <w:tc>
          <w:tcPr>
            <w:tcW w:w="874" w:type="pct"/>
            <w:shd w:val="clear" w:color="auto" w:fill="auto"/>
          </w:tcPr>
          <w:p w:rsidR="00B070BF" w:rsidRPr="009577DE" w:rsidRDefault="00B070BF" w:rsidP="00C33D4A">
            <w:pPr>
              <w:widowControl w:val="0"/>
              <w:rPr>
                <w:sz w:val="16"/>
                <w:szCs w:val="16"/>
                <w:lang w:val="es-ES_tradnl"/>
              </w:rPr>
            </w:pPr>
            <w:r w:rsidRPr="009577DE">
              <w:rPr>
                <w:sz w:val="16"/>
                <w:szCs w:val="16"/>
                <w:lang w:val="es-ES_tradnl"/>
              </w:rPr>
              <w:lastRenderedPageBreak/>
              <w:t xml:space="preserve">Porcentaje de la base </w:t>
            </w:r>
            <w:proofErr w:type="spellStart"/>
            <w:r w:rsidRPr="009577DE">
              <w:rPr>
                <w:sz w:val="16"/>
                <w:szCs w:val="16"/>
                <w:lang w:val="es-ES_tradnl"/>
              </w:rPr>
              <w:t>Romarin</w:t>
            </w:r>
            <w:proofErr w:type="spellEnd"/>
            <w:r w:rsidRPr="009577DE">
              <w:rPr>
                <w:sz w:val="16"/>
                <w:szCs w:val="16"/>
                <w:lang w:val="es-ES_tradnl"/>
              </w:rPr>
              <w:t xml:space="preserve"> del sistema de Madrid disponible por Internet en el plazo previsto.</w:t>
            </w:r>
          </w:p>
        </w:tc>
        <w:tc>
          <w:tcPr>
            <w:tcW w:w="805" w:type="pct"/>
            <w:shd w:val="clear" w:color="auto" w:fill="C0C0C0"/>
          </w:tcPr>
          <w:p w:rsidR="00B070BF" w:rsidRPr="009577DE" w:rsidRDefault="00B070BF" w:rsidP="00C33D4A">
            <w:pPr>
              <w:widowControl w:val="0"/>
              <w:rPr>
                <w:sz w:val="16"/>
                <w:szCs w:val="16"/>
                <w:lang w:val="es-ES_tradnl"/>
              </w:rPr>
            </w:pPr>
            <w:r w:rsidRPr="009577DE">
              <w:rPr>
                <w:sz w:val="16"/>
                <w:szCs w:val="16"/>
                <w:lang w:val="es-ES_tradnl"/>
              </w:rPr>
              <w:t>Porcentaje a fines de 2011.</w:t>
            </w:r>
          </w:p>
        </w:tc>
        <w:tc>
          <w:tcPr>
            <w:tcW w:w="916" w:type="pct"/>
            <w:shd w:val="clear" w:color="auto" w:fill="auto"/>
            <w:tcMar>
              <w:top w:w="110" w:type="dxa"/>
            </w:tcMar>
          </w:tcPr>
          <w:p w:rsidR="00B070BF" w:rsidRPr="009577DE" w:rsidRDefault="00B070BF" w:rsidP="00C33D4A">
            <w:pPr>
              <w:widowControl w:val="0"/>
              <w:rPr>
                <w:sz w:val="16"/>
                <w:szCs w:val="16"/>
                <w:highlight w:val="cyan"/>
                <w:lang w:val="es-ES_tradnl"/>
              </w:rPr>
            </w:pPr>
          </w:p>
        </w:tc>
        <w:tc>
          <w:tcPr>
            <w:tcW w:w="1848" w:type="pct"/>
            <w:shd w:val="clear" w:color="auto" w:fill="FFFFFF"/>
            <w:tcMar>
              <w:top w:w="110" w:type="dxa"/>
            </w:tcMar>
          </w:tcPr>
          <w:p w:rsidR="00B070BF" w:rsidRPr="009577DE" w:rsidRDefault="00B070BF" w:rsidP="00C33D4A">
            <w:pPr>
              <w:widowControl w:val="0"/>
              <w:rPr>
                <w:sz w:val="16"/>
                <w:szCs w:val="16"/>
                <w:lang w:val="es-ES_tradnl" w:bidi="th-TH"/>
              </w:rPr>
            </w:pPr>
            <w:r w:rsidRPr="009577DE">
              <w:rPr>
                <w:sz w:val="16"/>
                <w:szCs w:val="16"/>
                <w:lang w:val="es-ES_tradnl"/>
              </w:rPr>
              <w:t xml:space="preserve">El 100% de la base </w:t>
            </w:r>
            <w:proofErr w:type="spellStart"/>
            <w:r w:rsidRPr="009577DE">
              <w:rPr>
                <w:sz w:val="16"/>
                <w:szCs w:val="16"/>
                <w:lang w:val="es-ES_tradnl"/>
              </w:rPr>
              <w:t>Romarin</w:t>
            </w:r>
            <w:proofErr w:type="spellEnd"/>
            <w:r w:rsidRPr="009577DE">
              <w:rPr>
                <w:sz w:val="16"/>
                <w:szCs w:val="16"/>
                <w:lang w:val="es-ES_tradnl"/>
              </w:rPr>
              <w:t xml:space="preserve"> del sistema de Madrid estuvo disponible por Internet en el plazo previsto. </w:t>
            </w:r>
          </w:p>
          <w:p w:rsidR="00B070BF" w:rsidRPr="009577DE" w:rsidRDefault="00B070BF" w:rsidP="00C33D4A">
            <w:pPr>
              <w:widowControl w:val="0"/>
              <w:rPr>
                <w:sz w:val="16"/>
                <w:szCs w:val="16"/>
                <w:lang w:val="es-ES_tradnl"/>
              </w:rPr>
            </w:pPr>
          </w:p>
        </w:tc>
        <w:tc>
          <w:tcPr>
            <w:tcW w:w="557" w:type="pct"/>
            <w:shd w:val="clear" w:color="auto" w:fill="auto"/>
            <w:tcMar>
              <w:top w:w="110" w:type="dxa"/>
            </w:tcMar>
          </w:tcPr>
          <w:p w:rsidR="00B070BF" w:rsidRPr="009577DE" w:rsidRDefault="00B070BF" w:rsidP="00C33D4A">
            <w:pPr>
              <w:widowControl w:val="0"/>
              <w:jc w:val="center"/>
              <w:rPr>
                <w:b/>
                <w:bCs/>
                <w:sz w:val="16"/>
                <w:szCs w:val="16"/>
                <w:lang w:val="es-ES_tradnl"/>
              </w:rPr>
            </w:pPr>
            <w:r w:rsidRPr="009577DE">
              <w:rPr>
                <w:b/>
                <w:bCs/>
                <w:color w:val="008000"/>
                <w:sz w:val="16"/>
                <w:szCs w:val="16"/>
                <w:lang w:val="es-ES_tradnl"/>
              </w:rPr>
              <w:t>Progresa con normalidad</w:t>
            </w:r>
          </w:p>
          <w:p w:rsidR="00B070BF" w:rsidRPr="009577DE" w:rsidRDefault="00B070BF" w:rsidP="00C33D4A">
            <w:pPr>
              <w:widowControl w:val="0"/>
              <w:jc w:val="center"/>
              <w:rPr>
                <w:bCs/>
                <w:sz w:val="16"/>
                <w:szCs w:val="16"/>
                <w:lang w:val="es-ES_tradnl"/>
              </w:rPr>
            </w:pPr>
          </w:p>
        </w:tc>
      </w:tr>
    </w:tbl>
    <w:p w:rsidR="00B070BF" w:rsidRPr="009577DE" w:rsidRDefault="00B070BF" w:rsidP="00B070BF">
      <w:pPr>
        <w:widowControl w:val="0"/>
        <w:jc w:val="both"/>
        <w:rPr>
          <w:sz w:val="20"/>
          <w:lang w:val="es-ES_tradnl"/>
        </w:rPr>
      </w:pPr>
    </w:p>
    <w:p w:rsidR="00B070BF" w:rsidRPr="009577DE" w:rsidRDefault="00B070BF" w:rsidP="00B070BF">
      <w:pPr>
        <w:widowControl w:val="0"/>
        <w:rPr>
          <w:sz w:val="18"/>
          <w:szCs w:val="18"/>
          <w:lang w:val="es-ES_tradnl"/>
        </w:rPr>
      </w:pPr>
    </w:p>
    <w:p w:rsidR="00B070BF" w:rsidRPr="009577DE" w:rsidRDefault="00B070BF" w:rsidP="00B070BF">
      <w:pPr>
        <w:widowControl w:val="0"/>
        <w:rPr>
          <w:sz w:val="20"/>
          <w:lang w:val="es-ES_tradnl"/>
        </w:rPr>
      </w:pPr>
      <w:r w:rsidRPr="009577DE">
        <w:rPr>
          <w:sz w:val="20"/>
          <w:lang w:val="es-ES_tradnl"/>
        </w:rPr>
        <w:t>PRESUPUESTO Y GASTOS REALES</w:t>
      </w:r>
    </w:p>
    <w:p w:rsidR="00B070BF" w:rsidRPr="009577DE" w:rsidRDefault="00B070BF" w:rsidP="00B070BF">
      <w:pPr>
        <w:widowControl w:val="0"/>
        <w:rPr>
          <w:sz w:val="20"/>
          <w:lang w:val="es-ES_tradnl"/>
        </w:rPr>
      </w:pPr>
    </w:p>
    <w:p w:rsidR="00B070BF" w:rsidRPr="006964C6" w:rsidRDefault="00B070BF" w:rsidP="00B070BF">
      <w:pPr>
        <w:widowControl w:val="0"/>
        <w:jc w:val="center"/>
        <w:rPr>
          <w:sz w:val="20"/>
          <w:lang w:val="es-ES_tradnl"/>
        </w:rPr>
      </w:pPr>
      <w:r w:rsidRPr="006964C6">
        <w:rPr>
          <w:sz w:val="20"/>
          <w:lang w:val="es-ES_tradnl"/>
        </w:rPr>
        <w:t>Presupuesto y gastos reales (por resultado)</w:t>
      </w:r>
    </w:p>
    <w:p w:rsidR="00B070BF" w:rsidRPr="009577DE" w:rsidRDefault="00B070BF" w:rsidP="00B070BF">
      <w:pPr>
        <w:widowControl w:val="0"/>
        <w:jc w:val="center"/>
        <w:rPr>
          <w:sz w:val="20"/>
          <w:lang w:val="es-ES_tradnl"/>
        </w:rPr>
      </w:pPr>
      <w:r w:rsidRPr="006964C6">
        <w:rPr>
          <w:i/>
          <w:iCs/>
          <w:sz w:val="20"/>
          <w:lang w:val="es-ES_tradnl"/>
        </w:rPr>
        <w:t>(en miles de francos suizos)</w:t>
      </w:r>
      <w:r w:rsidRPr="006964C6">
        <w:rPr>
          <w:i/>
          <w:iCs/>
          <w:sz w:val="20"/>
          <w:lang w:val="es-ES_tradnl"/>
        </w:rPr>
        <w:br/>
      </w:r>
      <w:r w:rsidRPr="006964C6">
        <w:rPr>
          <w:i/>
          <w:iCs/>
          <w:sz w:val="20"/>
          <w:lang w:val="es-ES_tradnl"/>
        </w:rPr>
        <w:br/>
      </w:r>
      <w:r w:rsidRPr="009577DE">
        <w:rPr>
          <w:noProof/>
          <w:lang w:val="en-US" w:eastAsia="en-US"/>
        </w:rPr>
        <w:drawing>
          <wp:inline distT="0" distB="0" distL="0" distR="0" wp14:anchorId="7D1C61B5" wp14:editId="44DD60B4">
            <wp:extent cx="5902325" cy="1282700"/>
            <wp:effectExtent l="0" t="0" r="3175" b="0"/>
            <wp:docPr id="252" name="Pict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5902325" cy="1282700"/>
                    </a:xfrm>
                    <a:prstGeom prst="rect">
                      <a:avLst/>
                    </a:prstGeom>
                    <a:noFill/>
                    <a:ln>
                      <a:noFill/>
                    </a:ln>
                  </pic:spPr>
                </pic:pic>
              </a:graphicData>
            </a:graphic>
          </wp:inline>
        </w:drawing>
      </w:r>
    </w:p>
    <w:p w:rsidR="00B070BF" w:rsidRPr="006964C6" w:rsidRDefault="00B070BF" w:rsidP="00B070BF">
      <w:pPr>
        <w:widowControl w:val="0"/>
        <w:jc w:val="center"/>
        <w:rPr>
          <w:sz w:val="20"/>
          <w:lang w:val="es-ES_tradnl"/>
        </w:rPr>
      </w:pPr>
    </w:p>
    <w:p w:rsidR="00B070BF" w:rsidRPr="006964C6" w:rsidRDefault="00B070BF" w:rsidP="00B070BF">
      <w:pPr>
        <w:widowControl w:val="0"/>
        <w:jc w:val="center"/>
        <w:rPr>
          <w:sz w:val="20"/>
          <w:lang w:val="es-ES_tradnl"/>
        </w:rPr>
      </w:pPr>
    </w:p>
    <w:p w:rsidR="00B070BF" w:rsidRPr="009577DE" w:rsidRDefault="00B070BF" w:rsidP="00B070BF">
      <w:pPr>
        <w:widowControl w:val="0"/>
        <w:jc w:val="center"/>
        <w:rPr>
          <w:lang w:val="es-ES_tradnl"/>
        </w:rPr>
      </w:pPr>
      <w:r w:rsidRPr="006964C6">
        <w:rPr>
          <w:sz w:val="20"/>
          <w:lang w:val="es-ES_tradnl"/>
        </w:rPr>
        <w:t>Presupuesto y gastos reales (de personal y no relativos al personal)</w:t>
      </w:r>
      <w:r w:rsidRPr="006964C6">
        <w:rPr>
          <w:sz w:val="20"/>
          <w:lang w:val="es-ES_tradnl"/>
        </w:rPr>
        <w:br/>
      </w:r>
      <w:r w:rsidRPr="006964C6">
        <w:rPr>
          <w:i/>
          <w:sz w:val="20"/>
          <w:lang w:val="es-ES_tradnl"/>
        </w:rPr>
        <w:t>(en miles de francos suizos)</w:t>
      </w:r>
      <w:r w:rsidRPr="006964C6">
        <w:rPr>
          <w:sz w:val="20"/>
          <w:lang w:val="es-ES_tradnl"/>
        </w:rPr>
        <w:br/>
      </w:r>
      <w:r w:rsidRPr="009577DE">
        <w:rPr>
          <w:noProof/>
          <w:lang w:val="en-US" w:eastAsia="en-US"/>
        </w:rPr>
        <w:drawing>
          <wp:inline distT="0" distB="0" distL="0" distR="0" wp14:anchorId="7BD3AE48" wp14:editId="02D1F8A5">
            <wp:extent cx="5902325" cy="1235075"/>
            <wp:effectExtent l="0" t="0" r="3175" b="3175"/>
            <wp:docPr id="251" name="Pict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5902325" cy="1235075"/>
                    </a:xfrm>
                    <a:prstGeom prst="rect">
                      <a:avLst/>
                    </a:prstGeom>
                    <a:noFill/>
                    <a:ln>
                      <a:noFill/>
                    </a:ln>
                  </pic:spPr>
                </pic:pic>
              </a:graphicData>
            </a:graphic>
          </wp:inline>
        </w:drawing>
      </w:r>
    </w:p>
    <w:p w:rsidR="00B070BF" w:rsidRPr="009577DE" w:rsidRDefault="00B070BF" w:rsidP="00B070BF">
      <w:pPr>
        <w:widowControl w:val="0"/>
        <w:rPr>
          <w:sz w:val="20"/>
          <w:lang w:val="es-ES_tradnl"/>
        </w:rPr>
      </w:pPr>
    </w:p>
    <w:p w:rsidR="00B070BF" w:rsidRPr="009577DE" w:rsidRDefault="00B070BF" w:rsidP="00B070BF">
      <w:pPr>
        <w:widowControl w:val="0"/>
        <w:autoSpaceDE w:val="0"/>
        <w:autoSpaceDN w:val="0"/>
        <w:adjustRightInd w:val="0"/>
        <w:rPr>
          <w:sz w:val="16"/>
          <w:szCs w:val="16"/>
          <w:lang w:val="es-ES_tradnl"/>
        </w:rPr>
      </w:pPr>
      <w:r w:rsidRPr="007C3E0F">
        <w:rPr>
          <w:sz w:val="16"/>
          <w:szCs w:val="16"/>
          <w:lang w:val="es-ES_tradnl"/>
        </w:rPr>
        <w:t>NOTAS:</w:t>
      </w:r>
    </w:p>
    <w:p w:rsidR="00B070BF" w:rsidRPr="009577DE" w:rsidRDefault="00B070BF" w:rsidP="00B070BF">
      <w:pPr>
        <w:widowControl w:val="0"/>
        <w:autoSpaceDE w:val="0"/>
        <w:autoSpaceDN w:val="0"/>
        <w:adjustRightInd w:val="0"/>
        <w:rPr>
          <w:sz w:val="16"/>
          <w:szCs w:val="16"/>
          <w:lang w:val="es-ES_tradnl"/>
        </w:rPr>
      </w:pPr>
    </w:p>
    <w:p w:rsidR="00B070BF" w:rsidRPr="009577DE" w:rsidRDefault="00B070BF" w:rsidP="00B070BF">
      <w:pPr>
        <w:widowControl w:val="0"/>
        <w:autoSpaceDE w:val="0"/>
        <w:autoSpaceDN w:val="0"/>
        <w:adjustRightInd w:val="0"/>
        <w:rPr>
          <w:sz w:val="16"/>
          <w:szCs w:val="16"/>
          <w:lang w:val="es-ES_tradnl"/>
        </w:rPr>
      </w:pPr>
      <w:r w:rsidRPr="009577DE">
        <w:rPr>
          <w:sz w:val="16"/>
          <w:szCs w:val="16"/>
          <w:lang w:val="es-ES_tradnl"/>
        </w:rPr>
        <w:t>1) El presupuesto después de las transferencias refleja el presupuesto de los programas ajustado después de las transferencias efectuadas en 2012/13 en virtud del artículo 5.5 del Reglamento Financiero.</w:t>
      </w:r>
    </w:p>
    <w:p w:rsidR="00B070BF" w:rsidRPr="009577DE" w:rsidRDefault="00B070BF" w:rsidP="00B070BF">
      <w:pPr>
        <w:widowControl w:val="0"/>
        <w:autoSpaceDE w:val="0"/>
        <w:autoSpaceDN w:val="0"/>
        <w:adjustRightInd w:val="0"/>
        <w:rPr>
          <w:sz w:val="16"/>
          <w:szCs w:val="16"/>
          <w:lang w:val="es-ES_tradnl"/>
        </w:rPr>
      </w:pPr>
    </w:p>
    <w:p w:rsidR="00B070BF" w:rsidRPr="009577DE" w:rsidRDefault="00B070BF" w:rsidP="00B070BF">
      <w:pPr>
        <w:widowControl w:val="0"/>
        <w:autoSpaceDE w:val="0"/>
        <w:autoSpaceDN w:val="0"/>
        <w:adjustRightInd w:val="0"/>
        <w:rPr>
          <w:sz w:val="16"/>
          <w:szCs w:val="16"/>
          <w:lang w:val="es-ES_tradnl"/>
        </w:rPr>
      </w:pPr>
      <w:r w:rsidRPr="009577DE">
        <w:rPr>
          <w:sz w:val="16"/>
          <w:szCs w:val="16"/>
          <w:lang w:val="es-ES_tradnl"/>
        </w:rPr>
        <w:t xml:space="preserve">2) La asignación para el personal del presupuesto de 2012/13 después de las transferencias representa los gastos reales efectuados hasta el 31 de marzo de 2013 y los importes presupuestados para los nueve meses restantes de 2013, sobre la base de costos estándar. </w:t>
      </w:r>
    </w:p>
    <w:p w:rsidR="00B070BF" w:rsidRPr="009577DE" w:rsidRDefault="00B070BF" w:rsidP="00B070BF">
      <w:pPr>
        <w:widowControl w:val="0"/>
        <w:autoSpaceDE w:val="0"/>
        <w:autoSpaceDN w:val="0"/>
        <w:adjustRightInd w:val="0"/>
        <w:rPr>
          <w:sz w:val="16"/>
          <w:szCs w:val="16"/>
          <w:lang w:val="es-ES_tradnl"/>
        </w:rPr>
      </w:pPr>
    </w:p>
    <w:p w:rsidR="00B070BF" w:rsidRPr="009577DE" w:rsidRDefault="00B070BF" w:rsidP="00B070BF">
      <w:pPr>
        <w:widowControl w:val="0"/>
        <w:autoSpaceDE w:val="0"/>
        <w:autoSpaceDN w:val="0"/>
        <w:adjustRightInd w:val="0"/>
        <w:rPr>
          <w:sz w:val="16"/>
          <w:szCs w:val="16"/>
          <w:lang w:val="es-ES_tradnl"/>
        </w:rPr>
      </w:pPr>
      <w:r w:rsidRPr="009577DE">
        <w:rPr>
          <w:sz w:val="16"/>
          <w:szCs w:val="16"/>
          <w:lang w:val="es-ES_tradnl"/>
        </w:rPr>
        <w:t>3) La asignación no relativa al personal del presupuesto de 2012/13 después de las transferencias refleja los ajustes a la baja efectuados para aumentar la eficacia en función de los costos, de conformidad con el compromiso de la Organización de reducir gastos por un importe de 10,2 millones de francos suizos en el bienio 2012/13.</w:t>
      </w:r>
    </w:p>
    <w:p w:rsidR="00B070BF" w:rsidRPr="009577DE" w:rsidRDefault="00B070BF" w:rsidP="00B070BF">
      <w:pPr>
        <w:widowControl w:val="0"/>
        <w:rPr>
          <w:sz w:val="20"/>
          <w:lang w:val="es-ES_tradnl"/>
        </w:rPr>
      </w:pPr>
    </w:p>
    <w:p w:rsidR="00B070BF" w:rsidRPr="009577DE" w:rsidRDefault="00B070BF" w:rsidP="00B070BF">
      <w:pPr>
        <w:widowControl w:val="0"/>
        <w:rPr>
          <w:sz w:val="20"/>
          <w:lang w:val="es-ES_tradnl"/>
        </w:rPr>
      </w:pPr>
    </w:p>
    <w:p w:rsidR="00B070BF" w:rsidRPr="009577DE" w:rsidRDefault="00B070BF" w:rsidP="00B070BF">
      <w:pPr>
        <w:widowControl w:val="0"/>
        <w:rPr>
          <w:rFonts w:eastAsia="Times New Roman"/>
          <w:sz w:val="20"/>
          <w:u w:val="single"/>
          <w:lang w:val="es-ES_tradnl" w:eastAsia="en-US"/>
        </w:rPr>
      </w:pPr>
      <w:r>
        <w:rPr>
          <w:rFonts w:eastAsia="Times New Roman"/>
          <w:sz w:val="20"/>
          <w:lang w:val="es-ES_tradnl" w:eastAsia="en-US"/>
        </w:rPr>
        <w:t xml:space="preserve">A.  </w:t>
      </w:r>
      <w:r w:rsidRPr="009577DE">
        <w:rPr>
          <w:rFonts w:eastAsia="Times New Roman"/>
          <w:sz w:val="20"/>
          <w:u w:val="single"/>
          <w:lang w:val="es-ES_tradnl" w:eastAsia="en-US"/>
        </w:rPr>
        <w:t xml:space="preserve">Presupuesto </w:t>
      </w:r>
      <w:r>
        <w:rPr>
          <w:rFonts w:eastAsia="Times New Roman"/>
          <w:sz w:val="20"/>
          <w:u w:val="single"/>
          <w:lang w:val="es-ES_tradnl" w:eastAsia="en-US"/>
        </w:rPr>
        <w:t>2012/13</w:t>
      </w:r>
      <w:r w:rsidRPr="009577DE">
        <w:rPr>
          <w:rFonts w:eastAsia="Times New Roman"/>
          <w:sz w:val="20"/>
          <w:u w:val="single"/>
          <w:lang w:val="es-ES_tradnl" w:eastAsia="en-US"/>
        </w:rPr>
        <w:t xml:space="preserve"> después de las transferencias</w:t>
      </w:r>
    </w:p>
    <w:p w:rsidR="00B070BF" w:rsidRPr="009577DE" w:rsidRDefault="00B070BF" w:rsidP="00B070BF">
      <w:pPr>
        <w:widowControl w:val="0"/>
        <w:rPr>
          <w:rFonts w:eastAsia="Times New Roman"/>
          <w:sz w:val="20"/>
          <w:lang w:val="es-ES_tradnl" w:eastAsia="en-US"/>
        </w:rPr>
      </w:pPr>
    </w:p>
    <w:p w:rsidR="00B070BF" w:rsidRPr="009577DE" w:rsidRDefault="00B070BF" w:rsidP="00B070BF">
      <w:pPr>
        <w:widowControl w:val="0"/>
        <w:numPr>
          <w:ilvl w:val="0"/>
          <w:numId w:val="42"/>
        </w:numPr>
        <w:jc w:val="both"/>
        <w:rPr>
          <w:rFonts w:eastAsia="Batang"/>
          <w:sz w:val="20"/>
          <w:lang w:val="es-ES_tradnl" w:eastAsia="ko-KR"/>
        </w:rPr>
      </w:pPr>
      <w:r w:rsidRPr="009577DE">
        <w:rPr>
          <w:rFonts w:eastAsia="Batang"/>
          <w:sz w:val="20"/>
          <w:lang w:val="es-ES_tradnl" w:eastAsia="ko-KR"/>
        </w:rPr>
        <w:t xml:space="preserve">Como consecuencia de la ampliación de la cobertura lingüística, el volumen de traducciones se incrementó considerablemente en 2012, registrándose un aumento del 53% del volumen de trabajo.  El aumento neto de los recursos asignados a este programa y al resultado IX.1 (Servicios de apoyo eficaces, eficientes, de calidad y orientados al cliente) refleja el resultado combinado de:  i) el mayor costo de la traducción, que se mitigó gracias a un esfuerzo decidido de contención del aumento del gasto y ii) el ahorro en los costos logrado mediante una reducción de los precios de los servicios de correo. </w:t>
      </w:r>
    </w:p>
    <w:p w:rsidR="00B070BF" w:rsidRPr="009577DE" w:rsidRDefault="00B070BF" w:rsidP="00B070BF">
      <w:pPr>
        <w:widowControl w:val="0"/>
        <w:jc w:val="both"/>
        <w:rPr>
          <w:rFonts w:eastAsia="Times New Roman"/>
          <w:sz w:val="20"/>
          <w:lang w:val="es-ES_tradnl" w:eastAsia="en-US"/>
        </w:rPr>
      </w:pPr>
    </w:p>
    <w:p w:rsidR="00B070BF" w:rsidRPr="009577DE" w:rsidRDefault="00B070BF" w:rsidP="00B070BF">
      <w:pPr>
        <w:widowControl w:val="0"/>
        <w:jc w:val="both"/>
        <w:rPr>
          <w:rFonts w:eastAsia="Batang"/>
          <w:sz w:val="20"/>
          <w:u w:val="single"/>
          <w:lang w:val="es-ES_tradnl" w:eastAsia="ko-KR"/>
        </w:rPr>
      </w:pPr>
      <w:r w:rsidRPr="009577DE">
        <w:rPr>
          <w:rFonts w:eastAsia="Batang"/>
          <w:sz w:val="20"/>
          <w:lang w:val="es-ES_tradnl" w:eastAsia="ko-KR"/>
        </w:rPr>
        <w:t>B.</w:t>
      </w:r>
      <w:r>
        <w:rPr>
          <w:rFonts w:eastAsia="Batang"/>
          <w:sz w:val="20"/>
          <w:lang w:val="es-ES_tradnl" w:eastAsia="ko-KR"/>
        </w:rPr>
        <w:t xml:space="preserve"> </w:t>
      </w:r>
      <w:r w:rsidRPr="009577DE">
        <w:rPr>
          <w:rFonts w:eastAsia="Batang"/>
          <w:sz w:val="20"/>
          <w:lang w:val="es-ES_tradnl" w:eastAsia="ko-KR"/>
        </w:rPr>
        <w:t xml:space="preserve"> </w:t>
      </w:r>
      <w:r w:rsidRPr="009577DE">
        <w:rPr>
          <w:rFonts w:eastAsia="Batang"/>
          <w:sz w:val="20"/>
          <w:u w:val="single"/>
          <w:lang w:val="es-ES_tradnl" w:eastAsia="ko-KR"/>
        </w:rPr>
        <w:t>Utilización del presupuesto 2012</w:t>
      </w:r>
    </w:p>
    <w:p w:rsidR="00B070BF" w:rsidRPr="009577DE" w:rsidRDefault="00B070BF" w:rsidP="00B070BF">
      <w:pPr>
        <w:widowControl w:val="0"/>
        <w:jc w:val="both"/>
        <w:rPr>
          <w:rFonts w:eastAsia="Times New Roman"/>
          <w:sz w:val="20"/>
          <w:lang w:val="es-ES_tradnl" w:eastAsia="en-US"/>
        </w:rPr>
      </w:pPr>
    </w:p>
    <w:p w:rsidR="00B070BF" w:rsidRPr="009577DE" w:rsidRDefault="00B070BF" w:rsidP="00B070BF">
      <w:pPr>
        <w:widowControl w:val="0"/>
        <w:numPr>
          <w:ilvl w:val="0"/>
          <w:numId w:val="42"/>
        </w:numPr>
        <w:jc w:val="both"/>
        <w:rPr>
          <w:rFonts w:eastAsia="Times New Roman"/>
          <w:sz w:val="20"/>
          <w:lang w:val="es-ES_tradnl" w:eastAsia="en-US"/>
        </w:rPr>
      </w:pPr>
      <w:r w:rsidRPr="009577DE">
        <w:rPr>
          <w:rFonts w:eastAsia="Batang"/>
          <w:sz w:val="20"/>
          <w:lang w:val="es-ES_tradnl" w:eastAsia="ko-KR"/>
        </w:rPr>
        <w:t>La utilización del presupuesto se mantiene entre el 40% y el 60% en el primer año del bienio y progresa con normalidad.</w:t>
      </w:r>
    </w:p>
    <w:p w:rsidR="00B070BF" w:rsidRPr="009577DE" w:rsidRDefault="00B070BF" w:rsidP="00B070BF">
      <w:pPr>
        <w:widowControl w:val="0"/>
        <w:rPr>
          <w:sz w:val="20"/>
          <w:lang w:val="es-ES_tradnl"/>
        </w:rPr>
      </w:pPr>
    </w:p>
    <w:p w:rsidR="00B070BF" w:rsidRPr="009577DE" w:rsidRDefault="00B070BF" w:rsidP="00B070BF">
      <w:pPr>
        <w:widowControl w:val="0"/>
        <w:tabs>
          <w:tab w:val="left" w:pos="2835"/>
        </w:tabs>
        <w:spacing w:before="240" w:after="60"/>
        <w:outlineLvl w:val="1"/>
        <w:rPr>
          <w:b/>
          <w:bCs/>
          <w:iCs/>
          <w:caps/>
          <w:szCs w:val="22"/>
          <w:lang w:val="es-ES_tradnl"/>
        </w:rPr>
      </w:pPr>
      <w:r w:rsidRPr="009577DE">
        <w:rPr>
          <w:bCs/>
          <w:iCs/>
          <w:caps/>
          <w:sz w:val="20"/>
          <w:szCs w:val="28"/>
          <w:lang w:val="es-ES_tradnl"/>
        </w:rPr>
        <w:br w:type="page"/>
      </w:r>
      <w:bookmarkStart w:id="68" w:name="_Toc359846814"/>
      <w:bookmarkStart w:id="69" w:name="_Toc359949338"/>
      <w:r w:rsidRPr="009577DE">
        <w:rPr>
          <w:b/>
          <w:bCs/>
          <w:iCs/>
          <w:szCs w:val="22"/>
          <w:lang w:val="es-ES_tradnl"/>
        </w:rPr>
        <w:lastRenderedPageBreak/>
        <w:t>PROGRAMA 28</w:t>
      </w:r>
      <w:r w:rsidRPr="009577DE">
        <w:rPr>
          <w:bCs/>
          <w:iCs/>
          <w:szCs w:val="22"/>
          <w:lang w:val="es-ES_tradnl"/>
        </w:rPr>
        <w:tab/>
      </w:r>
      <w:r w:rsidRPr="009577DE">
        <w:rPr>
          <w:b/>
          <w:bCs/>
          <w:iCs/>
          <w:szCs w:val="22"/>
          <w:lang w:val="es-ES_tradnl"/>
        </w:rPr>
        <w:t>SEGURIDAD</w:t>
      </w:r>
      <w:bookmarkEnd w:id="68"/>
      <w:bookmarkEnd w:id="69"/>
      <w:r>
        <w:rPr>
          <w:b/>
          <w:bCs/>
          <w:iCs/>
          <w:szCs w:val="22"/>
          <w:lang w:val="es-ES_tradnl"/>
        </w:rPr>
        <w:t xml:space="preserve"> </w:t>
      </w:r>
    </w:p>
    <w:p w:rsidR="00B070BF" w:rsidRPr="009577DE" w:rsidRDefault="00B070BF" w:rsidP="00B070BF">
      <w:pPr>
        <w:widowControl w:val="0"/>
        <w:rPr>
          <w:sz w:val="18"/>
          <w:szCs w:val="18"/>
          <w:lang w:val="es-ES_tradnl"/>
        </w:rPr>
      </w:pPr>
    </w:p>
    <w:p w:rsidR="00B070BF" w:rsidRPr="009577DE" w:rsidRDefault="00B070BF" w:rsidP="00B070BF">
      <w:pPr>
        <w:widowControl w:val="0"/>
        <w:rPr>
          <w:sz w:val="18"/>
          <w:szCs w:val="18"/>
          <w:lang w:val="es-ES_tradnl"/>
        </w:rPr>
      </w:pPr>
    </w:p>
    <w:p w:rsidR="00B070BF" w:rsidRPr="009577DE" w:rsidRDefault="00B070BF" w:rsidP="00B070BF">
      <w:pPr>
        <w:widowControl w:val="0"/>
        <w:tabs>
          <w:tab w:val="left" w:pos="2268"/>
        </w:tabs>
        <w:rPr>
          <w:b/>
          <w:bCs/>
          <w:szCs w:val="22"/>
          <w:lang w:val="es-ES_tradnl"/>
        </w:rPr>
      </w:pPr>
      <w:r w:rsidRPr="009577DE">
        <w:rPr>
          <w:b/>
          <w:szCs w:val="22"/>
          <w:lang w:val="es-ES_tradnl"/>
        </w:rPr>
        <w:t>Director del Programa</w:t>
      </w:r>
      <w:r w:rsidRPr="009577DE">
        <w:rPr>
          <w:szCs w:val="22"/>
          <w:lang w:val="es-ES_tradnl"/>
        </w:rPr>
        <w:tab/>
      </w:r>
      <w:r w:rsidRPr="009577DE">
        <w:rPr>
          <w:b/>
          <w:szCs w:val="22"/>
          <w:lang w:val="es-ES_tradnl"/>
        </w:rPr>
        <w:t>Sr. A. Sundaram</w:t>
      </w:r>
    </w:p>
    <w:p w:rsidR="00B070BF" w:rsidRPr="009577DE" w:rsidRDefault="00B070BF" w:rsidP="00B070BF">
      <w:pPr>
        <w:widowControl w:val="0"/>
        <w:tabs>
          <w:tab w:val="left" w:pos="2268"/>
        </w:tabs>
        <w:rPr>
          <w:b/>
          <w:sz w:val="20"/>
          <w:szCs w:val="22"/>
          <w:lang w:val="es-ES_tradnl"/>
        </w:rPr>
      </w:pPr>
    </w:p>
    <w:p w:rsidR="00B070BF" w:rsidRPr="009577DE" w:rsidRDefault="00B070BF" w:rsidP="00B070BF">
      <w:pPr>
        <w:widowControl w:val="0"/>
        <w:rPr>
          <w:bCs/>
          <w:sz w:val="18"/>
          <w:lang w:val="es-ES_tradnl"/>
        </w:rPr>
      </w:pPr>
    </w:p>
    <w:p w:rsidR="00B070BF" w:rsidRPr="009577DE" w:rsidRDefault="00B070BF" w:rsidP="00B070BF">
      <w:pPr>
        <w:widowControl w:val="0"/>
        <w:spacing w:line="260" w:lineRule="atLeast"/>
        <w:rPr>
          <w:bCs/>
          <w:sz w:val="20"/>
          <w:lang w:val="es-ES_tradnl"/>
        </w:rPr>
      </w:pPr>
      <w:r w:rsidRPr="009577DE">
        <w:rPr>
          <w:bCs/>
          <w:sz w:val="20"/>
          <w:lang w:val="es-ES_tradnl"/>
        </w:rPr>
        <w:t>RESEÑA DE LOS AVANCES LOGRADOS EN 2012</w:t>
      </w:r>
    </w:p>
    <w:p w:rsidR="00B070BF" w:rsidRPr="009577DE" w:rsidRDefault="00B070BF" w:rsidP="00B070BF">
      <w:pPr>
        <w:widowControl w:val="0"/>
        <w:jc w:val="both"/>
        <w:rPr>
          <w:sz w:val="20"/>
          <w:lang w:val="es-ES_tradnl"/>
        </w:rPr>
      </w:pPr>
    </w:p>
    <w:p w:rsidR="00B070BF" w:rsidRPr="009577DE" w:rsidRDefault="00B070BF" w:rsidP="00B070BF">
      <w:pPr>
        <w:widowControl w:val="0"/>
        <w:numPr>
          <w:ilvl w:val="0"/>
          <w:numId w:val="43"/>
        </w:numPr>
        <w:ind w:left="0" w:firstLine="0"/>
        <w:jc w:val="both"/>
        <w:rPr>
          <w:sz w:val="20"/>
          <w:lang w:val="es-ES_tradnl"/>
        </w:rPr>
      </w:pPr>
      <w:r w:rsidRPr="009577DE">
        <w:rPr>
          <w:sz w:val="20"/>
          <w:lang w:val="es-ES_tradnl"/>
        </w:rPr>
        <w:t>El costo de los servicios de seguridad durante el bienio 2012 se mantuvo en línea con el costo de los años anteriores como porcentaje del gasto total de la Organización.  En 2012 el programa continuó gestionando todos los sistemas de seguridad y vigilancia y asumió gradualmente la responsabilidad gestora con respecto a los nuevos sistemas de seguridad y vigilancia del Nuevo edificio a medida que iban expirando las garantías.</w:t>
      </w:r>
    </w:p>
    <w:p w:rsidR="00B070BF" w:rsidRPr="009577DE" w:rsidRDefault="00B070BF" w:rsidP="00B070BF">
      <w:pPr>
        <w:widowControl w:val="0"/>
        <w:tabs>
          <w:tab w:val="left" w:pos="709"/>
        </w:tabs>
        <w:jc w:val="both"/>
        <w:rPr>
          <w:sz w:val="20"/>
          <w:lang w:val="es-ES_tradnl"/>
        </w:rPr>
      </w:pPr>
    </w:p>
    <w:p w:rsidR="00B070BF" w:rsidRPr="009577DE" w:rsidRDefault="00B070BF" w:rsidP="00B070BF">
      <w:pPr>
        <w:widowControl w:val="0"/>
        <w:numPr>
          <w:ilvl w:val="0"/>
          <w:numId w:val="43"/>
        </w:numPr>
        <w:ind w:left="0" w:firstLine="0"/>
        <w:jc w:val="both"/>
        <w:rPr>
          <w:sz w:val="20"/>
          <w:lang w:val="es-ES_tradnl"/>
        </w:rPr>
      </w:pPr>
      <w:r w:rsidRPr="009577DE">
        <w:rPr>
          <w:sz w:val="20"/>
          <w:lang w:val="es-ES_tradnl"/>
        </w:rPr>
        <w:t>Se convocó una nueva licitación relativa a los servicios de vigilancia uniformada por haber expirado el contrato anterior, que había permanecido vigente desde diciembre de 2007.  La nueva licitación tuvo por efecto incrementar el costo de los servicios reseñados en la cuantía de aproximadamente 650.000 francos suizos anuales, a causa principalmente de la subida de los precios de mercado corrientes en Ginebra, así como del aumento de los sueldos desde 2007.</w:t>
      </w:r>
    </w:p>
    <w:p w:rsidR="00B070BF" w:rsidRPr="009577DE" w:rsidRDefault="00B070BF" w:rsidP="00B070BF">
      <w:pPr>
        <w:widowControl w:val="0"/>
        <w:jc w:val="both"/>
        <w:rPr>
          <w:sz w:val="20"/>
          <w:lang w:val="es-ES_tradnl"/>
        </w:rPr>
      </w:pPr>
    </w:p>
    <w:p w:rsidR="00B070BF" w:rsidRPr="009577DE" w:rsidRDefault="00B070BF" w:rsidP="00B070BF">
      <w:pPr>
        <w:widowControl w:val="0"/>
        <w:numPr>
          <w:ilvl w:val="0"/>
          <w:numId w:val="43"/>
        </w:numPr>
        <w:ind w:left="0" w:firstLine="0"/>
        <w:jc w:val="both"/>
        <w:rPr>
          <w:sz w:val="20"/>
          <w:lang w:val="es-ES_tradnl"/>
        </w:rPr>
      </w:pPr>
      <w:r w:rsidRPr="009577DE">
        <w:rPr>
          <w:sz w:val="20"/>
          <w:lang w:val="es-ES_tradnl"/>
        </w:rPr>
        <w:t>En el año 2012 se procedió a la implementación de las nuevas políticas en materia de seguridad y vigilancia para viajes oficiales del personal;  la uniformización del formato de los pases según criterios del Sistema de gestión de la seguridad para las Naciones Unidas (UNSMS);  el perfeccionamiento de los controles de acceso biométrico en el centro de datos del nuevo edificio;  y la mejora de la vigilancia en los eventos patrocinados por la OMPI fuera de Ginebra, sobre todo a raíz de la resolución adoptada en noviembre de 2012 por la Junta de los jefes ejecutivos del sistema de las Naciones Unidas para la coordinación (JJE).  En cuanto al número total de incidentes señalados en 2012, menos del 2% se referían a daños sufridos por miembros del personal.</w:t>
      </w:r>
    </w:p>
    <w:p w:rsidR="00B070BF" w:rsidRPr="009577DE" w:rsidRDefault="00B070BF" w:rsidP="00B070BF">
      <w:pPr>
        <w:widowControl w:val="0"/>
        <w:jc w:val="both"/>
        <w:rPr>
          <w:sz w:val="20"/>
          <w:lang w:val="es-ES_tradnl"/>
        </w:rPr>
      </w:pPr>
      <w:r w:rsidRPr="009577DE" w:rsidDel="00344F01">
        <w:rPr>
          <w:sz w:val="20"/>
          <w:lang w:val="es-ES_tradnl"/>
        </w:rPr>
        <w:t xml:space="preserve"> </w:t>
      </w:r>
    </w:p>
    <w:p w:rsidR="00B070BF" w:rsidRPr="009577DE" w:rsidRDefault="00B070BF" w:rsidP="00B070BF">
      <w:pPr>
        <w:widowControl w:val="0"/>
        <w:numPr>
          <w:ilvl w:val="0"/>
          <w:numId w:val="43"/>
        </w:numPr>
        <w:ind w:left="0" w:firstLine="0"/>
        <w:jc w:val="both"/>
        <w:rPr>
          <w:sz w:val="20"/>
          <w:lang w:val="es-ES_tradnl"/>
        </w:rPr>
      </w:pPr>
      <w:r w:rsidRPr="009577DE">
        <w:rPr>
          <w:sz w:val="20"/>
          <w:lang w:val="es-ES_tradnl"/>
        </w:rPr>
        <w:t>Se llevaron a cabo regularmente las auditorías anuales de evaluación de la seguridad de las oficinas de coordinación de la OMPI de Singapur y Tokio.  Las auditorías de seguridad correspondientes a las oficinas de Río de Janeiro y Nueva York se hallan programadas para el primer semestre de 2013.  Además, el programa participó ampliamente en la elaboración del Plan de continuidad de las operaciones y de la Estrategia de gestión de la continuidad de las operaciones de la OMPI.</w:t>
      </w:r>
    </w:p>
    <w:p w:rsidR="00B070BF" w:rsidRPr="009577DE" w:rsidRDefault="00B070BF" w:rsidP="00B070BF">
      <w:pPr>
        <w:widowControl w:val="0"/>
        <w:jc w:val="both"/>
        <w:rPr>
          <w:sz w:val="20"/>
          <w:lang w:val="es-ES_tradnl"/>
        </w:rPr>
      </w:pPr>
    </w:p>
    <w:p w:rsidR="00B070BF" w:rsidRPr="009577DE" w:rsidRDefault="00B070BF" w:rsidP="00B070BF">
      <w:pPr>
        <w:widowControl w:val="0"/>
        <w:numPr>
          <w:ilvl w:val="0"/>
          <w:numId w:val="43"/>
        </w:numPr>
        <w:ind w:left="0" w:firstLine="0"/>
        <w:jc w:val="both"/>
        <w:rPr>
          <w:sz w:val="20"/>
          <w:lang w:val="es-ES_tradnl"/>
        </w:rPr>
      </w:pPr>
      <w:r w:rsidRPr="009577DE">
        <w:rPr>
          <w:sz w:val="20"/>
          <w:lang w:val="es-ES_tradnl"/>
        </w:rPr>
        <w:t xml:space="preserve">En 2012 dieron comienzo las obras de construcción del Centro de Control.  Además, con la mira de mejorar la accesibilidad física de la OMPI se crearon ocho plazas para personas discapacitadas en el estacionamiento del nuevo edificio.  El programa tiene a su cargo la gestión de dichas plazas, las cuales son asignadas previa expedición del correspondiente certificado médico por la sección de los Servicios médicos de las Naciones Unidas en la </w:t>
      </w:r>
      <w:r>
        <w:rPr>
          <w:sz w:val="20"/>
          <w:lang w:val="es-ES_tradnl"/>
        </w:rPr>
        <w:t>Oficina de las NN.UU. en Ginebra (</w:t>
      </w:r>
      <w:r w:rsidRPr="009577DE">
        <w:rPr>
          <w:sz w:val="20"/>
          <w:lang w:val="es-ES_tradnl"/>
        </w:rPr>
        <w:t>ONUG</w:t>
      </w:r>
      <w:r>
        <w:rPr>
          <w:sz w:val="20"/>
          <w:lang w:val="es-ES_tradnl"/>
        </w:rPr>
        <w:t>)</w:t>
      </w:r>
      <w:r w:rsidRPr="009577DE">
        <w:rPr>
          <w:sz w:val="20"/>
          <w:lang w:val="es-ES_tradnl"/>
        </w:rPr>
        <w:t>.</w:t>
      </w:r>
    </w:p>
    <w:p w:rsidR="00B070BF" w:rsidRPr="009577DE" w:rsidRDefault="00B070BF" w:rsidP="00B070BF">
      <w:pPr>
        <w:widowControl w:val="0"/>
        <w:rPr>
          <w:rFonts w:eastAsia="MS Mincho"/>
          <w:sz w:val="20"/>
          <w:lang w:val="es-ES_tradnl" w:eastAsia="ja-JP" w:bidi="th-TH"/>
        </w:rPr>
      </w:pPr>
    </w:p>
    <w:p w:rsidR="00B070BF" w:rsidRPr="009577DE" w:rsidRDefault="00B070BF" w:rsidP="00B070BF">
      <w:pPr>
        <w:widowControl w:val="0"/>
        <w:rPr>
          <w:sz w:val="20"/>
          <w:lang w:val="es-ES_tradnl"/>
        </w:rPr>
      </w:pPr>
    </w:p>
    <w:p w:rsidR="00B070BF" w:rsidRPr="009577DE" w:rsidRDefault="00B070BF" w:rsidP="00B070BF">
      <w:pPr>
        <w:widowControl w:val="0"/>
        <w:jc w:val="both"/>
        <w:rPr>
          <w:sz w:val="20"/>
          <w:szCs w:val="22"/>
          <w:lang w:val="es-ES_tradnl"/>
        </w:rPr>
      </w:pPr>
      <w:r w:rsidRPr="008B2545">
        <w:rPr>
          <w:sz w:val="20"/>
          <w:szCs w:val="22"/>
          <w:lang w:val="es-ES_tradnl"/>
        </w:rPr>
        <w:t>DATOS SOBRE EL RENDIMIENTO</w:t>
      </w:r>
    </w:p>
    <w:p w:rsidR="00B070BF" w:rsidRPr="009577DE" w:rsidRDefault="00B070BF" w:rsidP="00B070BF">
      <w:pPr>
        <w:widowControl w:val="0"/>
        <w:jc w:val="both"/>
        <w:rPr>
          <w:sz w:val="20"/>
          <w:szCs w:val="22"/>
          <w:lang w:val="es-ES_tradnl"/>
        </w:rPr>
      </w:pPr>
    </w:p>
    <w:tbl>
      <w:tblPr>
        <w:tblW w:w="5000" w:type="pct"/>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630"/>
        <w:gridCol w:w="1498"/>
        <w:gridCol w:w="1710"/>
        <w:gridCol w:w="3494"/>
        <w:gridCol w:w="1239"/>
      </w:tblGrid>
      <w:tr w:rsidR="00B070BF" w:rsidRPr="009577DE" w:rsidTr="00C33D4A">
        <w:trPr>
          <w:cantSplit/>
        </w:trPr>
        <w:tc>
          <w:tcPr>
            <w:tcW w:w="5000" w:type="pct"/>
            <w:gridSpan w:val="5"/>
            <w:tcBorders>
              <w:top w:val="single" w:sz="4" w:space="0" w:color="auto"/>
              <w:bottom w:val="single" w:sz="4" w:space="0" w:color="auto"/>
            </w:tcBorders>
            <w:shd w:val="clear" w:color="auto" w:fill="CCFFFF"/>
            <w:vAlign w:val="center"/>
          </w:tcPr>
          <w:p w:rsidR="00B070BF" w:rsidRPr="009577DE" w:rsidRDefault="00B070BF" w:rsidP="00C33D4A">
            <w:pPr>
              <w:widowControl w:val="0"/>
              <w:tabs>
                <w:tab w:val="left" w:pos="1452"/>
              </w:tabs>
              <w:spacing w:before="120" w:after="120"/>
              <w:ind w:left="1452" w:hanging="1452"/>
              <w:rPr>
                <w:b/>
                <w:bCs/>
                <w:sz w:val="16"/>
                <w:szCs w:val="16"/>
                <w:lang w:val="es-ES_tradnl"/>
              </w:rPr>
            </w:pPr>
            <w:r w:rsidRPr="009577DE">
              <w:rPr>
                <w:b/>
                <w:bCs/>
                <w:sz w:val="16"/>
                <w:szCs w:val="16"/>
                <w:lang w:val="es-ES_tradnl"/>
              </w:rPr>
              <w:t>Resultado previsto:</w:t>
            </w:r>
            <w:r w:rsidRPr="009577DE">
              <w:rPr>
                <w:b/>
                <w:bCs/>
                <w:sz w:val="16"/>
                <w:szCs w:val="16"/>
                <w:lang w:val="es-ES_tradnl"/>
              </w:rPr>
              <w:tab/>
            </w:r>
            <w:r w:rsidRPr="009577DE">
              <w:rPr>
                <w:bCs/>
                <w:sz w:val="16"/>
                <w:szCs w:val="16"/>
                <w:lang w:val="es-ES_tradnl"/>
              </w:rPr>
              <w:t xml:space="preserve"> Se garantiza la seguridad del personal de la OMPI, los delegados, los visitantes, la información y los activos físicos.</w:t>
            </w:r>
          </w:p>
        </w:tc>
      </w:tr>
      <w:tr w:rsidR="00B070BF" w:rsidRPr="009577DE" w:rsidTr="00C33D4A">
        <w:trPr>
          <w:cantSplit/>
        </w:trPr>
        <w:tc>
          <w:tcPr>
            <w:tcW w:w="874" w:type="pct"/>
            <w:tcBorders>
              <w:top w:val="single" w:sz="4" w:space="0" w:color="auto"/>
            </w:tcBorders>
            <w:shd w:val="clear" w:color="auto" w:fill="auto"/>
            <w:vAlign w:val="center"/>
          </w:tcPr>
          <w:p w:rsidR="00B070BF" w:rsidRPr="009577DE" w:rsidRDefault="00B070BF" w:rsidP="00C33D4A">
            <w:pPr>
              <w:widowControl w:val="0"/>
              <w:spacing w:after="120"/>
              <w:rPr>
                <w:sz w:val="16"/>
                <w:szCs w:val="16"/>
                <w:lang w:val="es-ES_tradnl"/>
              </w:rPr>
            </w:pPr>
            <w:r w:rsidRPr="009577DE">
              <w:rPr>
                <w:b/>
                <w:bCs/>
                <w:sz w:val="16"/>
                <w:szCs w:val="16"/>
                <w:lang w:val="es-ES_tradnl"/>
              </w:rPr>
              <w:t>Indicadores de rendimiento</w:t>
            </w:r>
          </w:p>
        </w:tc>
        <w:tc>
          <w:tcPr>
            <w:tcW w:w="805" w:type="pct"/>
            <w:tcBorders>
              <w:top w:val="single" w:sz="4" w:space="0" w:color="auto"/>
            </w:tcBorders>
            <w:shd w:val="clear" w:color="auto" w:fill="C0C0C0"/>
          </w:tcPr>
          <w:p w:rsidR="00B070BF" w:rsidRPr="009577DE" w:rsidRDefault="00B070BF" w:rsidP="00C33D4A">
            <w:pPr>
              <w:widowControl w:val="0"/>
              <w:spacing w:after="120"/>
              <w:rPr>
                <w:b/>
                <w:bCs/>
                <w:sz w:val="16"/>
                <w:szCs w:val="16"/>
                <w:lang w:val="es-ES_tradnl"/>
              </w:rPr>
            </w:pPr>
            <w:r w:rsidRPr="009577DE">
              <w:rPr>
                <w:b/>
                <w:bCs/>
                <w:sz w:val="16"/>
                <w:szCs w:val="16"/>
                <w:lang w:val="es-ES_tradnl"/>
              </w:rPr>
              <w:t>Referencia (</w:t>
            </w:r>
            <w:proofErr w:type="spellStart"/>
            <w:r w:rsidRPr="009577DE">
              <w:rPr>
                <w:b/>
                <w:bCs/>
                <w:sz w:val="16"/>
                <w:szCs w:val="16"/>
                <w:lang w:val="es-ES_tradnl"/>
              </w:rPr>
              <w:t>Presup</w:t>
            </w:r>
            <w:proofErr w:type="spellEnd"/>
            <w:r w:rsidRPr="009577DE">
              <w:rPr>
                <w:b/>
                <w:bCs/>
                <w:sz w:val="16"/>
                <w:szCs w:val="16"/>
                <w:lang w:val="es-ES_tradnl"/>
              </w:rPr>
              <w:t xml:space="preserve">. por </w:t>
            </w:r>
            <w:proofErr w:type="spellStart"/>
            <w:r w:rsidRPr="009577DE">
              <w:rPr>
                <w:b/>
                <w:bCs/>
                <w:sz w:val="16"/>
                <w:szCs w:val="16"/>
                <w:lang w:val="es-ES_tradnl"/>
              </w:rPr>
              <w:t>prog</w:t>
            </w:r>
            <w:proofErr w:type="spellEnd"/>
            <w:r w:rsidRPr="009577DE">
              <w:rPr>
                <w:b/>
                <w:bCs/>
                <w:sz w:val="16"/>
                <w:szCs w:val="16"/>
                <w:lang w:val="es-ES_tradnl"/>
              </w:rPr>
              <w:t>. 2012/13)</w:t>
            </w:r>
          </w:p>
        </w:tc>
        <w:tc>
          <w:tcPr>
            <w:tcW w:w="916" w:type="pct"/>
            <w:tcBorders>
              <w:top w:val="single" w:sz="4" w:space="0" w:color="auto"/>
            </w:tcBorders>
            <w:shd w:val="clear" w:color="auto" w:fill="auto"/>
            <w:tcMar>
              <w:top w:w="110" w:type="dxa"/>
            </w:tcMar>
            <w:vAlign w:val="center"/>
          </w:tcPr>
          <w:p w:rsidR="00B070BF" w:rsidRPr="009577DE" w:rsidRDefault="00B070BF" w:rsidP="00C33D4A">
            <w:pPr>
              <w:widowControl w:val="0"/>
              <w:spacing w:after="120"/>
              <w:rPr>
                <w:b/>
                <w:sz w:val="16"/>
                <w:szCs w:val="16"/>
                <w:lang w:val="es-ES_tradnl"/>
              </w:rPr>
            </w:pPr>
            <w:r w:rsidRPr="00BF138D">
              <w:rPr>
                <w:b/>
                <w:color w:val="993300"/>
                <w:sz w:val="16"/>
                <w:szCs w:val="16"/>
                <w:lang w:val="es-ES_tradnl"/>
              </w:rPr>
              <w:t>Referencia actualizada a finales de 2011</w:t>
            </w:r>
            <w:r w:rsidRPr="009577DE">
              <w:rPr>
                <w:b/>
                <w:sz w:val="16"/>
                <w:szCs w:val="16"/>
                <w:lang w:val="es-ES_tradnl"/>
              </w:rPr>
              <w:t xml:space="preserve"> </w:t>
            </w:r>
          </w:p>
        </w:tc>
        <w:tc>
          <w:tcPr>
            <w:tcW w:w="1848" w:type="pct"/>
            <w:tcBorders>
              <w:top w:val="single" w:sz="4" w:space="0" w:color="auto"/>
            </w:tcBorders>
            <w:shd w:val="clear" w:color="auto" w:fill="FFFFFF"/>
            <w:tcMar>
              <w:top w:w="110" w:type="dxa"/>
            </w:tcMar>
            <w:vAlign w:val="center"/>
          </w:tcPr>
          <w:p w:rsidR="00B070BF" w:rsidRPr="009577DE" w:rsidRDefault="00B070BF" w:rsidP="00C33D4A">
            <w:pPr>
              <w:widowControl w:val="0"/>
              <w:spacing w:after="120"/>
              <w:rPr>
                <w:sz w:val="16"/>
                <w:szCs w:val="16"/>
                <w:lang w:val="es-ES_tradnl"/>
              </w:rPr>
            </w:pPr>
            <w:r w:rsidRPr="009577DE">
              <w:rPr>
                <w:b/>
                <w:bCs/>
                <w:sz w:val="16"/>
                <w:szCs w:val="16"/>
                <w:lang w:val="es-ES_tradnl"/>
              </w:rPr>
              <w:t>Datos sobre el rendimiento</w:t>
            </w:r>
          </w:p>
        </w:tc>
        <w:tc>
          <w:tcPr>
            <w:tcW w:w="557" w:type="pct"/>
            <w:tcBorders>
              <w:top w:val="single" w:sz="4" w:space="0" w:color="auto"/>
            </w:tcBorders>
            <w:shd w:val="clear" w:color="auto" w:fill="auto"/>
            <w:tcMar>
              <w:top w:w="110" w:type="dxa"/>
            </w:tcMar>
            <w:vAlign w:val="center"/>
          </w:tcPr>
          <w:p w:rsidR="00B070BF" w:rsidRPr="009577DE" w:rsidRDefault="00B070BF" w:rsidP="00C33D4A">
            <w:pPr>
              <w:widowControl w:val="0"/>
              <w:spacing w:after="120"/>
              <w:jc w:val="center"/>
              <w:rPr>
                <w:b/>
                <w:bCs/>
                <w:sz w:val="16"/>
                <w:szCs w:val="16"/>
                <w:lang w:val="es-ES_tradnl"/>
              </w:rPr>
            </w:pPr>
            <w:r w:rsidRPr="009577DE">
              <w:rPr>
                <w:b/>
                <w:bCs/>
                <w:sz w:val="16"/>
                <w:szCs w:val="16"/>
                <w:lang w:val="es-ES_tradnl"/>
              </w:rPr>
              <w:t>Clave de colores</w:t>
            </w:r>
          </w:p>
        </w:tc>
      </w:tr>
      <w:tr w:rsidR="00B070BF" w:rsidRPr="009577DE" w:rsidTr="00C33D4A">
        <w:trPr>
          <w:cantSplit/>
        </w:trPr>
        <w:tc>
          <w:tcPr>
            <w:tcW w:w="874" w:type="pct"/>
            <w:shd w:val="clear" w:color="auto" w:fill="auto"/>
          </w:tcPr>
          <w:p w:rsidR="00B070BF" w:rsidRPr="009577DE" w:rsidRDefault="00B070BF" w:rsidP="00C33D4A">
            <w:pPr>
              <w:widowControl w:val="0"/>
              <w:spacing w:after="120"/>
              <w:rPr>
                <w:sz w:val="16"/>
                <w:szCs w:val="16"/>
                <w:lang w:val="es-ES_tradnl"/>
              </w:rPr>
            </w:pPr>
            <w:r w:rsidRPr="009577DE">
              <w:rPr>
                <w:sz w:val="16"/>
                <w:szCs w:val="16"/>
                <w:lang w:val="es-ES_tradnl"/>
              </w:rPr>
              <w:t>Porcentaje de miembros del personal de la OMPI, delegados y visitantes que comunican daños o incidentes relacionados con el trabajo.</w:t>
            </w:r>
          </w:p>
        </w:tc>
        <w:tc>
          <w:tcPr>
            <w:tcW w:w="805" w:type="pct"/>
            <w:shd w:val="clear" w:color="auto" w:fill="C0C0C0"/>
          </w:tcPr>
          <w:p w:rsidR="00B070BF" w:rsidRPr="009577DE" w:rsidRDefault="00B070BF" w:rsidP="00C33D4A">
            <w:pPr>
              <w:widowControl w:val="0"/>
              <w:spacing w:after="120"/>
              <w:rPr>
                <w:sz w:val="16"/>
                <w:szCs w:val="16"/>
                <w:lang w:val="es-ES_tradnl"/>
              </w:rPr>
            </w:pPr>
            <w:r w:rsidRPr="009577DE">
              <w:rPr>
                <w:sz w:val="16"/>
                <w:szCs w:val="16"/>
                <w:lang w:val="es-ES_tradnl"/>
              </w:rPr>
              <w:t>2%</w:t>
            </w:r>
          </w:p>
        </w:tc>
        <w:tc>
          <w:tcPr>
            <w:tcW w:w="916" w:type="pct"/>
            <w:shd w:val="clear" w:color="auto" w:fill="auto"/>
            <w:tcMar>
              <w:top w:w="110" w:type="dxa"/>
            </w:tcMar>
          </w:tcPr>
          <w:p w:rsidR="00B070BF" w:rsidRPr="009577DE" w:rsidRDefault="00B070BF" w:rsidP="00C33D4A">
            <w:pPr>
              <w:widowControl w:val="0"/>
              <w:spacing w:after="120"/>
              <w:rPr>
                <w:sz w:val="16"/>
                <w:szCs w:val="16"/>
                <w:lang w:val="es-ES_tradnl"/>
              </w:rPr>
            </w:pPr>
          </w:p>
        </w:tc>
        <w:tc>
          <w:tcPr>
            <w:tcW w:w="1848" w:type="pct"/>
            <w:shd w:val="clear" w:color="auto" w:fill="FFFFFF"/>
            <w:tcMar>
              <w:top w:w="110" w:type="dxa"/>
            </w:tcMar>
          </w:tcPr>
          <w:p w:rsidR="00B070BF" w:rsidRPr="009577DE" w:rsidRDefault="00B070BF" w:rsidP="00C33D4A">
            <w:pPr>
              <w:widowControl w:val="0"/>
              <w:rPr>
                <w:sz w:val="16"/>
                <w:szCs w:val="16"/>
                <w:lang w:val="es-ES_tradnl"/>
              </w:rPr>
            </w:pPr>
            <w:r w:rsidRPr="009577DE">
              <w:rPr>
                <w:sz w:val="16"/>
                <w:szCs w:val="16"/>
                <w:lang w:val="es-ES_tradnl"/>
              </w:rPr>
              <w:t xml:space="preserve">En 2012 se denunciaron 6 incidentes con lesiones de miembros del personal.  El porcentaje total de incidentes en los que se han visto implicados miembros del personal fue muy inferior al 2%. </w:t>
            </w:r>
          </w:p>
        </w:tc>
        <w:tc>
          <w:tcPr>
            <w:tcW w:w="557" w:type="pct"/>
            <w:shd w:val="clear" w:color="auto" w:fill="auto"/>
            <w:tcMar>
              <w:top w:w="110" w:type="dxa"/>
            </w:tcMar>
          </w:tcPr>
          <w:p w:rsidR="00B070BF" w:rsidRPr="009577DE" w:rsidRDefault="00B070BF" w:rsidP="00C33D4A">
            <w:pPr>
              <w:widowControl w:val="0"/>
              <w:jc w:val="center"/>
              <w:rPr>
                <w:bCs/>
                <w:sz w:val="16"/>
                <w:szCs w:val="16"/>
                <w:lang w:val="es-ES_tradnl"/>
              </w:rPr>
            </w:pPr>
            <w:r w:rsidRPr="009577DE">
              <w:rPr>
                <w:b/>
                <w:bCs/>
                <w:color w:val="008000"/>
                <w:sz w:val="16"/>
                <w:szCs w:val="16"/>
                <w:lang w:val="es-ES_tradnl"/>
              </w:rPr>
              <w:t>Progresa con normalidad</w:t>
            </w:r>
            <w:r w:rsidRPr="009577DE" w:rsidDel="000B61C8">
              <w:rPr>
                <w:bCs/>
                <w:sz w:val="16"/>
                <w:szCs w:val="16"/>
                <w:lang w:val="es-ES_tradnl"/>
              </w:rPr>
              <w:t xml:space="preserve"> </w:t>
            </w:r>
          </w:p>
          <w:p w:rsidR="00B070BF" w:rsidRPr="009577DE" w:rsidRDefault="00B070BF" w:rsidP="00C33D4A">
            <w:pPr>
              <w:widowControl w:val="0"/>
              <w:jc w:val="center"/>
              <w:rPr>
                <w:bCs/>
                <w:sz w:val="16"/>
                <w:szCs w:val="16"/>
                <w:lang w:val="es-ES_tradnl"/>
              </w:rPr>
            </w:pPr>
          </w:p>
        </w:tc>
      </w:tr>
      <w:tr w:rsidR="00B070BF" w:rsidRPr="009577DE" w:rsidTr="00C33D4A">
        <w:trPr>
          <w:cantSplit/>
        </w:trPr>
        <w:tc>
          <w:tcPr>
            <w:tcW w:w="874" w:type="pct"/>
            <w:shd w:val="clear" w:color="auto" w:fill="auto"/>
          </w:tcPr>
          <w:p w:rsidR="00B070BF" w:rsidRPr="009577DE" w:rsidRDefault="00B070BF" w:rsidP="00C33D4A">
            <w:pPr>
              <w:widowControl w:val="0"/>
              <w:spacing w:after="120"/>
              <w:rPr>
                <w:sz w:val="16"/>
                <w:szCs w:val="16"/>
                <w:lang w:val="es-ES_tradnl"/>
              </w:rPr>
            </w:pPr>
            <w:r w:rsidRPr="009577DE">
              <w:rPr>
                <w:sz w:val="16"/>
                <w:szCs w:val="16"/>
                <w:lang w:val="es-ES_tradnl"/>
              </w:rPr>
              <w:lastRenderedPageBreak/>
              <w:t>Porcentaje de peticiones de asistencia relativas a la seguridad atendidas puntualmente en las conferencias o actividades organizadas en o fuera de Ginebra.</w:t>
            </w:r>
          </w:p>
        </w:tc>
        <w:tc>
          <w:tcPr>
            <w:tcW w:w="805" w:type="pct"/>
            <w:shd w:val="clear" w:color="auto" w:fill="B3B3B3"/>
          </w:tcPr>
          <w:p w:rsidR="00B070BF" w:rsidRPr="009577DE" w:rsidRDefault="00B070BF" w:rsidP="00C33D4A">
            <w:pPr>
              <w:widowControl w:val="0"/>
              <w:spacing w:after="120"/>
              <w:rPr>
                <w:sz w:val="16"/>
                <w:szCs w:val="16"/>
                <w:lang w:val="es-ES_tradnl"/>
              </w:rPr>
            </w:pPr>
            <w:r w:rsidRPr="009577DE">
              <w:rPr>
                <w:sz w:val="16"/>
                <w:szCs w:val="16"/>
                <w:lang w:val="es-ES_tradnl"/>
              </w:rPr>
              <w:t>65%</w:t>
            </w:r>
          </w:p>
        </w:tc>
        <w:tc>
          <w:tcPr>
            <w:tcW w:w="916" w:type="pct"/>
            <w:shd w:val="clear" w:color="auto" w:fill="auto"/>
            <w:tcMar>
              <w:top w:w="110" w:type="dxa"/>
            </w:tcMar>
          </w:tcPr>
          <w:p w:rsidR="00B070BF" w:rsidRPr="009577DE" w:rsidRDefault="00B070BF" w:rsidP="00C33D4A">
            <w:pPr>
              <w:widowControl w:val="0"/>
              <w:spacing w:after="120"/>
              <w:rPr>
                <w:sz w:val="16"/>
                <w:szCs w:val="16"/>
                <w:lang w:val="es-ES_tradnl"/>
              </w:rPr>
            </w:pPr>
          </w:p>
        </w:tc>
        <w:tc>
          <w:tcPr>
            <w:tcW w:w="1848" w:type="pct"/>
            <w:shd w:val="clear" w:color="auto" w:fill="FFFFFF"/>
            <w:tcMar>
              <w:top w:w="110" w:type="dxa"/>
            </w:tcMar>
          </w:tcPr>
          <w:p w:rsidR="00B070BF" w:rsidRPr="009577DE" w:rsidRDefault="00B070BF" w:rsidP="00C33D4A">
            <w:pPr>
              <w:widowControl w:val="0"/>
              <w:rPr>
                <w:sz w:val="16"/>
                <w:szCs w:val="16"/>
                <w:lang w:val="es-ES_tradnl"/>
              </w:rPr>
            </w:pPr>
            <w:r w:rsidRPr="009577DE">
              <w:rPr>
                <w:sz w:val="16"/>
                <w:szCs w:val="16"/>
                <w:lang w:val="es-ES_tradnl"/>
              </w:rPr>
              <w:t>Aproximadamente el 70% de todas las evaluaciones del riesgo y las auditorías que se han efectuado con respecto a la sede y los edificios de coordinación, conferencias, reuniones y diversas funciones cumplen las normas relativas al sistema de gestión de la seguridad de las Naciones Unidas.</w:t>
            </w:r>
          </w:p>
          <w:p w:rsidR="00B070BF" w:rsidRPr="009577DE" w:rsidRDefault="00B070BF" w:rsidP="00C33D4A">
            <w:pPr>
              <w:widowControl w:val="0"/>
              <w:rPr>
                <w:sz w:val="16"/>
                <w:szCs w:val="16"/>
                <w:lang w:val="es-ES_tradnl"/>
              </w:rPr>
            </w:pPr>
          </w:p>
          <w:p w:rsidR="00B070BF" w:rsidRPr="009577DE" w:rsidRDefault="00B070BF" w:rsidP="00C33D4A">
            <w:pPr>
              <w:widowControl w:val="0"/>
              <w:rPr>
                <w:sz w:val="16"/>
                <w:szCs w:val="16"/>
                <w:lang w:val="es-ES_tradnl"/>
              </w:rPr>
            </w:pPr>
            <w:r w:rsidRPr="009577DE">
              <w:rPr>
                <w:sz w:val="16"/>
                <w:szCs w:val="16"/>
                <w:lang w:val="es-ES_tradnl"/>
              </w:rPr>
              <w:t xml:space="preserve">En 2012, se realizaron 7 auditorías de oficinas externas y de 2 actos externos administrados directamente por la OMPI. Además, se realizaron tres auditorías de conferencias/reuniones externas para las que el DSS de las Naciones Unidas en el país prestó asistencia a la OMPI coordinando la seguridad. </w:t>
            </w:r>
          </w:p>
          <w:p w:rsidR="00B070BF" w:rsidRPr="009577DE" w:rsidRDefault="00B070BF" w:rsidP="00C33D4A">
            <w:pPr>
              <w:widowControl w:val="0"/>
              <w:rPr>
                <w:sz w:val="16"/>
                <w:szCs w:val="16"/>
                <w:lang w:val="es-ES_tradnl"/>
              </w:rPr>
            </w:pPr>
          </w:p>
        </w:tc>
        <w:tc>
          <w:tcPr>
            <w:tcW w:w="557" w:type="pct"/>
            <w:shd w:val="clear" w:color="auto" w:fill="auto"/>
          </w:tcPr>
          <w:p w:rsidR="00B070BF" w:rsidRPr="009577DE" w:rsidRDefault="00B070BF" w:rsidP="00C33D4A">
            <w:pPr>
              <w:widowControl w:val="0"/>
              <w:jc w:val="center"/>
              <w:rPr>
                <w:b/>
                <w:bCs/>
                <w:sz w:val="16"/>
                <w:szCs w:val="16"/>
                <w:lang w:val="es-ES_tradnl"/>
              </w:rPr>
            </w:pPr>
            <w:r w:rsidRPr="009577DE">
              <w:rPr>
                <w:b/>
                <w:bCs/>
                <w:color w:val="FF0000"/>
                <w:sz w:val="16"/>
                <w:szCs w:val="16"/>
                <w:lang w:val="es-ES_tradnl"/>
              </w:rPr>
              <w:t>Sin avances significativos</w:t>
            </w:r>
          </w:p>
          <w:p w:rsidR="00B070BF" w:rsidRPr="009577DE" w:rsidRDefault="00B070BF" w:rsidP="00C33D4A">
            <w:pPr>
              <w:widowControl w:val="0"/>
              <w:jc w:val="center"/>
              <w:rPr>
                <w:bCs/>
                <w:sz w:val="16"/>
                <w:szCs w:val="16"/>
                <w:lang w:val="es-ES_tradnl"/>
              </w:rPr>
            </w:pPr>
          </w:p>
          <w:p w:rsidR="00B070BF" w:rsidRPr="009577DE" w:rsidRDefault="00B070BF" w:rsidP="00C33D4A">
            <w:pPr>
              <w:widowControl w:val="0"/>
              <w:jc w:val="center"/>
              <w:rPr>
                <w:bCs/>
                <w:sz w:val="16"/>
                <w:szCs w:val="16"/>
                <w:lang w:val="es-ES_tradnl"/>
              </w:rPr>
            </w:pPr>
          </w:p>
        </w:tc>
      </w:tr>
    </w:tbl>
    <w:p w:rsidR="00B070BF" w:rsidRPr="009577DE" w:rsidRDefault="00B070BF" w:rsidP="00B070BF">
      <w:pPr>
        <w:widowControl w:val="0"/>
        <w:jc w:val="both"/>
        <w:rPr>
          <w:szCs w:val="22"/>
          <w:lang w:val="es-ES_tradnl"/>
        </w:rPr>
      </w:pPr>
    </w:p>
    <w:p w:rsidR="00B070BF" w:rsidRPr="009577DE" w:rsidRDefault="00B070BF" w:rsidP="00B070BF">
      <w:pPr>
        <w:widowControl w:val="0"/>
        <w:rPr>
          <w:b/>
          <w:sz w:val="18"/>
          <w:szCs w:val="18"/>
          <w:lang w:val="es-ES_tradnl"/>
        </w:rPr>
      </w:pPr>
    </w:p>
    <w:p w:rsidR="00B070BF" w:rsidRPr="009577DE" w:rsidRDefault="00B070BF" w:rsidP="00B070BF">
      <w:pPr>
        <w:widowControl w:val="0"/>
        <w:rPr>
          <w:sz w:val="20"/>
          <w:szCs w:val="22"/>
          <w:lang w:val="es-ES_tradnl"/>
        </w:rPr>
      </w:pPr>
      <w:r w:rsidRPr="009577DE">
        <w:rPr>
          <w:sz w:val="20"/>
          <w:szCs w:val="22"/>
          <w:lang w:val="es-ES_tradnl"/>
        </w:rPr>
        <w:t>PRESUPUESTO Y GASTOS REALES</w:t>
      </w:r>
    </w:p>
    <w:p w:rsidR="00B070BF" w:rsidRPr="009577DE" w:rsidRDefault="00B070BF" w:rsidP="00B070BF">
      <w:pPr>
        <w:widowControl w:val="0"/>
        <w:rPr>
          <w:sz w:val="20"/>
          <w:szCs w:val="22"/>
          <w:lang w:val="es-ES_tradnl"/>
        </w:rPr>
      </w:pPr>
    </w:p>
    <w:p w:rsidR="00B070BF" w:rsidRPr="00441E81" w:rsidRDefault="00B070BF" w:rsidP="00B070BF">
      <w:pPr>
        <w:widowControl w:val="0"/>
        <w:jc w:val="center"/>
        <w:rPr>
          <w:sz w:val="20"/>
          <w:lang w:val="es-ES_tradnl"/>
        </w:rPr>
      </w:pPr>
      <w:r w:rsidRPr="00441E81">
        <w:rPr>
          <w:sz w:val="20"/>
          <w:lang w:val="es-ES_tradnl"/>
        </w:rPr>
        <w:t>Presupuesto y gastos reales (por resultado)</w:t>
      </w:r>
    </w:p>
    <w:p w:rsidR="00B070BF" w:rsidRPr="009577DE" w:rsidRDefault="00B070BF" w:rsidP="00B070BF">
      <w:pPr>
        <w:widowControl w:val="0"/>
        <w:jc w:val="center"/>
        <w:rPr>
          <w:sz w:val="20"/>
          <w:szCs w:val="22"/>
          <w:lang w:val="es-ES_tradnl"/>
        </w:rPr>
      </w:pPr>
      <w:r w:rsidRPr="00441E81">
        <w:rPr>
          <w:i/>
          <w:iCs/>
          <w:sz w:val="20"/>
          <w:lang w:val="es-ES_tradnl"/>
        </w:rPr>
        <w:t>(en miles de francos suizos)</w:t>
      </w:r>
      <w:r w:rsidRPr="009577DE">
        <w:rPr>
          <w:i/>
          <w:iCs/>
          <w:szCs w:val="22"/>
          <w:lang w:val="es-ES_tradnl"/>
        </w:rPr>
        <w:br/>
      </w:r>
      <w:r w:rsidRPr="006964C6">
        <w:rPr>
          <w:i/>
          <w:iCs/>
          <w:sz w:val="20"/>
          <w:lang w:val="es-ES_tradnl"/>
        </w:rPr>
        <w:br/>
      </w:r>
      <w:r w:rsidRPr="009577DE">
        <w:rPr>
          <w:noProof/>
          <w:lang w:val="en-US" w:eastAsia="en-US"/>
        </w:rPr>
        <w:drawing>
          <wp:inline distT="0" distB="0" distL="0" distR="0" wp14:anchorId="4C3C886A" wp14:editId="494A265F">
            <wp:extent cx="5902325" cy="1021080"/>
            <wp:effectExtent l="0" t="0" r="3175" b="7620"/>
            <wp:docPr id="254" name="Pictur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5902325" cy="1021080"/>
                    </a:xfrm>
                    <a:prstGeom prst="rect">
                      <a:avLst/>
                    </a:prstGeom>
                    <a:noFill/>
                    <a:ln>
                      <a:noFill/>
                    </a:ln>
                  </pic:spPr>
                </pic:pic>
              </a:graphicData>
            </a:graphic>
          </wp:inline>
        </w:drawing>
      </w:r>
    </w:p>
    <w:p w:rsidR="00B070BF" w:rsidRPr="00441E81" w:rsidRDefault="00B070BF" w:rsidP="00B070BF">
      <w:pPr>
        <w:widowControl w:val="0"/>
        <w:jc w:val="center"/>
        <w:rPr>
          <w:sz w:val="18"/>
          <w:szCs w:val="18"/>
          <w:lang w:val="es-ES_tradnl"/>
        </w:rPr>
      </w:pPr>
    </w:p>
    <w:p w:rsidR="00B070BF" w:rsidRPr="00441E81" w:rsidRDefault="00B070BF" w:rsidP="00B070BF">
      <w:pPr>
        <w:widowControl w:val="0"/>
        <w:jc w:val="center"/>
        <w:rPr>
          <w:sz w:val="18"/>
          <w:szCs w:val="18"/>
          <w:lang w:val="es-ES_tradnl"/>
        </w:rPr>
      </w:pPr>
    </w:p>
    <w:p w:rsidR="00B070BF" w:rsidRPr="009577DE" w:rsidRDefault="00B070BF" w:rsidP="00B070BF">
      <w:pPr>
        <w:widowControl w:val="0"/>
        <w:jc w:val="center"/>
        <w:rPr>
          <w:sz w:val="20"/>
          <w:lang w:val="es-ES_tradnl"/>
        </w:rPr>
      </w:pPr>
      <w:r w:rsidRPr="00441E81">
        <w:rPr>
          <w:sz w:val="20"/>
          <w:lang w:val="es-ES_tradnl"/>
        </w:rPr>
        <w:t>Presupuesto y gastos reales (de personal y no relativos al personal)</w:t>
      </w:r>
      <w:r w:rsidRPr="00441E81">
        <w:rPr>
          <w:sz w:val="20"/>
          <w:lang w:val="es-ES_tradnl"/>
        </w:rPr>
        <w:br/>
      </w:r>
      <w:r w:rsidRPr="00441E81">
        <w:rPr>
          <w:i/>
          <w:sz w:val="20"/>
          <w:lang w:val="es-ES_tradnl"/>
        </w:rPr>
        <w:t>(en miles de francos suizos)</w:t>
      </w:r>
      <w:r>
        <w:rPr>
          <w:i/>
          <w:lang w:val="es-ES_tradnl"/>
        </w:rPr>
        <w:br/>
      </w:r>
      <w:r w:rsidRPr="006964C6">
        <w:rPr>
          <w:sz w:val="20"/>
          <w:lang w:val="es-ES_tradnl"/>
        </w:rPr>
        <w:br/>
      </w:r>
      <w:r w:rsidRPr="009577DE">
        <w:rPr>
          <w:noProof/>
          <w:lang w:val="en-US" w:eastAsia="en-US"/>
        </w:rPr>
        <w:drawing>
          <wp:inline distT="0" distB="0" distL="0" distR="0" wp14:anchorId="3CAEEF84" wp14:editId="1E276F1A">
            <wp:extent cx="5902325" cy="1187450"/>
            <wp:effectExtent l="0" t="0" r="3175" b="0"/>
            <wp:docPr id="253" name="Picture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5902325" cy="1187450"/>
                    </a:xfrm>
                    <a:prstGeom prst="rect">
                      <a:avLst/>
                    </a:prstGeom>
                    <a:noFill/>
                    <a:ln>
                      <a:noFill/>
                    </a:ln>
                  </pic:spPr>
                </pic:pic>
              </a:graphicData>
            </a:graphic>
          </wp:inline>
        </w:drawing>
      </w:r>
    </w:p>
    <w:p w:rsidR="00B070BF" w:rsidRPr="009577DE" w:rsidRDefault="00B070BF" w:rsidP="00B070BF">
      <w:pPr>
        <w:widowControl w:val="0"/>
        <w:rPr>
          <w:sz w:val="20"/>
          <w:lang w:val="es-ES_tradnl"/>
        </w:rPr>
      </w:pPr>
    </w:p>
    <w:p w:rsidR="00B070BF" w:rsidRPr="009577DE" w:rsidRDefault="00B070BF" w:rsidP="00B070BF">
      <w:pPr>
        <w:widowControl w:val="0"/>
        <w:autoSpaceDE w:val="0"/>
        <w:autoSpaceDN w:val="0"/>
        <w:adjustRightInd w:val="0"/>
        <w:rPr>
          <w:sz w:val="16"/>
          <w:szCs w:val="16"/>
          <w:lang w:val="es-ES_tradnl"/>
        </w:rPr>
      </w:pPr>
      <w:r w:rsidRPr="007C3E0F">
        <w:rPr>
          <w:sz w:val="16"/>
          <w:szCs w:val="16"/>
          <w:lang w:val="es-ES_tradnl"/>
        </w:rPr>
        <w:t>NOTAS:</w:t>
      </w:r>
    </w:p>
    <w:p w:rsidR="00B070BF" w:rsidRPr="009577DE" w:rsidRDefault="00B070BF" w:rsidP="00B070BF">
      <w:pPr>
        <w:widowControl w:val="0"/>
        <w:autoSpaceDE w:val="0"/>
        <w:autoSpaceDN w:val="0"/>
        <w:adjustRightInd w:val="0"/>
        <w:rPr>
          <w:sz w:val="16"/>
          <w:szCs w:val="16"/>
          <w:lang w:val="es-ES_tradnl"/>
        </w:rPr>
      </w:pPr>
    </w:p>
    <w:p w:rsidR="00B070BF" w:rsidRPr="009577DE" w:rsidRDefault="00B070BF" w:rsidP="00B070BF">
      <w:pPr>
        <w:widowControl w:val="0"/>
        <w:autoSpaceDE w:val="0"/>
        <w:autoSpaceDN w:val="0"/>
        <w:adjustRightInd w:val="0"/>
        <w:rPr>
          <w:sz w:val="16"/>
          <w:szCs w:val="16"/>
          <w:lang w:val="es-ES_tradnl"/>
        </w:rPr>
      </w:pPr>
      <w:r w:rsidRPr="009577DE">
        <w:rPr>
          <w:sz w:val="16"/>
          <w:szCs w:val="16"/>
          <w:lang w:val="es-ES_tradnl"/>
        </w:rPr>
        <w:t>1) El presupuesto después de las transferencias refleja el presupuesto de los programas ajustado después de las transferencias efectuadas en 2012/13 en virtud del artículo 5.5 del Reglamento Financiero.</w:t>
      </w:r>
    </w:p>
    <w:p w:rsidR="00B070BF" w:rsidRPr="009577DE" w:rsidRDefault="00B070BF" w:rsidP="00B070BF">
      <w:pPr>
        <w:widowControl w:val="0"/>
        <w:autoSpaceDE w:val="0"/>
        <w:autoSpaceDN w:val="0"/>
        <w:adjustRightInd w:val="0"/>
        <w:rPr>
          <w:sz w:val="16"/>
          <w:szCs w:val="16"/>
          <w:lang w:val="es-ES_tradnl"/>
        </w:rPr>
      </w:pPr>
    </w:p>
    <w:p w:rsidR="00B070BF" w:rsidRPr="009577DE" w:rsidRDefault="00B070BF" w:rsidP="00B070BF">
      <w:pPr>
        <w:widowControl w:val="0"/>
        <w:autoSpaceDE w:val="0"/>
        <w:autoSpaceDN w:val="0"/>
        <w:adjustRightInd w:val="0"/>
        <w:rPr>
          <w:sz w:val="16"/>
          <w:szCs w:val="16"/>
          <w:lang w:val="es-ES_tradnl"/>
        </w:rPr>
      </w:pPr>
      <w:r w:rsidRPr="009577DE">
        <w:rPr>
          <w:sz w:val="16"/>
          <w:szCs w:val="16"/>
          <w:lang w:val="es-ES_tradnl"/>
        </w:rPr>
        <w:t xml:space="preserve">2) La asignación para el personal del presupuesto de 2012/13 después de las transferencias representa los gastos reales efectuados hasta el 31 de marzo de 2013 y los importes presupuestados para los nueve meses restantes de 2013, sobre la base de costos estándar. </w:t>
      </w:r>
    </w:p>
    <w:p w:rsidR="00B070BF" w:rsidRPr="009577DE" w:rsidRDefault="00B070BF" w:rsidP="00B070BF">
      <w:pPr>
        <w:widowControl w:val="0"/>
        <w:autoSpaceDE w:val="0"/>
        <w:autoSpaceDN w:val="0"/>
        <w:adjustRightInd w:val="0"/>
        <w:rPr>
          <w:sz w:val="16"/>
          <w:szCs w:val="16"/>
          <w:lang w:val="es-ES_tradnl"/>
        </w:rPr>
      </w:pPr>
    </w:p>
    <w:p w:rsidR="00B070BF" w:rsidRPr="009577DE" w:rsidRDefault="00B070BF" w:rsidP="00B070BF">
      <w:pPr>
        <w:widowControl w:val="0"/>
        <w:autoSpaceDE w:val="0"/>
        <w:autoSpaceDN w:val="0"/>
        <w:adjustRightInd w:val="0"/>
        <w:rPr>
          <w:sz w:val="16"/>
          <w:szCs w:val="16"/>
          <w:lang w:val="es-ES_tradnl"/>
        </w:rPr>
      </w:pPr>
      <w:r w:rsidRPr="009577DE">
        <w:rPr>
          <w:sz w:val="16"/>
          <w:szCs w:val="16"/>
          <w:lang w:val="es-ES_tradnl"/>
        </w:rPr>
        <w:t>3) La asignación no relativa al personal del presupuesto de 2012/13 después de las transferencias refleja los ajustes a la baja efectuados para aumentar la eficacia en función de los costos, de conformidad con el compromiso de la Organización de reducir gastos por un importe de 10,2 millones de francos suizos en el bienio 2012/13.</w:t>
      </w:r>
    </w:p>
    <w:p w:rsidR="00B070BF" w:rsidRPr="009577DE" w:rsidRDefault="00B070BF" w:rsidP="00B070BF">
      <w:pPr>
        <w:widowControl w:val="0"/>
        <w:rPr>
          <w:sz w:val="20"/>
          <w:lang w:val="es-ES_tradnl"/>
        </w:rPr>
      </w:pPr>
    </w:p>
    <w:p w:rsidR="00B070BF" w:rsidRPr="009577DE" w:rsidRDefault="00B070BF" w:rsidP="00B070BF">
      <w:pPr>
        <w:widowControl w:val="0"/>
        <w:jc w:val="both"/>
        <w:rPr>
          <w:rFonts w:eastAsia="Batang"/>
          <w:sz w:val="20"/>
          <w:u w:val="single"/>
          <w:lang w:val="es-ES_tradnl" w:eastAsia="ko-KR"/>
        </w:rPr>
      </w:pPr>
    </w:p>
    <w:p w:rsidR="00B070BF" w:rsidRPr="009577DE" w:rsidRDefault="00B070BF" w:rsidP="00B070BF">
      <w:pPr>
        <w:widowControl w:val="0"/>
        <w:rPr>
          <w:sz w:val="20"/>
          <w:u w:val="single"/>
          <w:lang w:val="es-ES_tradnl"/>
        </w:rPr>
      </w:pPr>
      <w:r>
        <w:rPr>
          <w:sz w:val="20"/>
          <w:lang w:val="es-ES_tradnl"/>
        </w:rPr>
        <w:t xml:space="preserve">A.  </w:t>
      </w:r>
      <w:r w:rsidRPr="009577DE">
        <w:rPr>
          <w:sz w:val="20"/>
          <w:u w:val="single"/>
          <w:lang w:val="es-ES_tradnl"/>
        </w:rPr>
        <w:t xml:space="preserve">Presupuesto </w:t>
      </w:r>
      <w:r>
        <w:rPr>
          <w:sz w:val="20"/>
          <w:u w:val="single"/>
          <w:lang w:val="es-ES_tradnl"/>
        </w:rPr>
        <w:t>2012/13</w:t>
      </w:r>
      <w:r w:rsidRPr="009577DE">
        <w:rPr>
          <w:sz w:val="20"/>
          <w:u w:val="single"/>
          <w:lang w:val="es-ES_tradnl"/>
        </w:rPr>
        <w:t xml:space="preserve"> después de las transferencias</w:t>
      </w:r>
    </w:p>
    <w:p w:rsidR="00B070BF" w:rsidRPr="009577DE" w:rsidRDefault="00B070BF" w:rsidP="00B070BF">
      <w:pPr>
        <w:widowControl w:val="0"/>
        <w:rPr>
          <w:sz w:val="20"/>
          <w:u w:val="single"/>
          <w:lang w:val="es-ES_tradnl"/>
        </w:rPr>
      </w:pPr>
    </w:p>
    <w:p w:rsidR="00B070BF" w:rsidRPr="009577DE" w:rsidRDefault="00B070BF" w:rsidP="00B070BF">
      <w:pPr>
        <w:widowControl w:val="0"/>
        <w:numPr>
          <w:ilvl w:val="0"/>
          <w:numId w:val="43"/>
        </w:numPr>
        <w:ind w:left="0" w:firstLine="0"/>
        <w:jc w:val="both"/>
        <w:rPr>
          <w:sz w:val="20"/>
          <w:lang w:val="es-ES_tradnl"/>
        </w:rPr>
      </w:pPr>
      <w:r w:rsidRPr="009577DE">
        <w:rPr>
          <w:sz w:val="20"/>
          <w:lang w:val="es-ES_tradnl"/>
        </w:rPr>
        <w:t>El presupuesto de 2012/13 después de las transferencias refleja los ajustes que se detallan en las notas precedentes.</w:t>
      </w:r>
    </w:p>
    <w:p w:rsidR="00B070BF" w:rsidRDefault="00B070BF" w:rsidP="00B070BF">
      <w:pPr>
        <w:widowControl w:val="0"/>
        <w:jc w:val="both"/>
        <w:rPr>
          <w:rFonts w:eastAsia="Batang"/>
          <w:sz w:val="20"/>
          <w:lang w:val="es-ES_tradnl" w:eastAsia="ko-KR"/>
        </w:rPr>
      </w:pPr>
    </w:p>
    <w:p w:rsidR="00B070BF" w:rsidRPr="009577DE" w:rsidRDefault="00B070BF" w:rsidP="00B070BF">
      <w:pPr>
        <w:widowControl w:val="0"/>
        <w:jc w:val="both"/>
        <w:rPr>
          <w:rFonts w:eastAsia="Batang"/>
          <w:sz w:val="20"/>
          <w:u w:val="single"/>
          <w:lang w:val="es-ES_tradnl" w:eastAsia="ko-KR"/>
        </w:rPr>
      </w:pPr>
      <w:r w:rsidRPr="009577DE">
        <w:rPr>
          <w:rFonts w:eastAsia="Batang"/>
          <w:sz w:val="20"/>
          <w:lang w:val="es-ES_tradnl" w:eastAsia="ko-KR"/>
        </w:rPr>
        <w:t>B.</w:t>
      </w:r>
      <w:r>
        <w:rPr>
          <w:rFonts w:eastAsia="Batang"/>
          <w:sz w:val="20"/>
          <w:lang w:val="es-ES_tradnl" w:eastAsia="ko-KR"/>
        </w:rPr>
        <w:t xml:space="preserve"> </w:t>
      </w:r>
      <w:r w:rsidRPr="009577DE">
        <w:rPr>
          <w:rFonts w:eastAsia="Batang"/>
          <w:sz w:val="20"/>
          <w:lang w:val="es-ES_tradnl" w:eastAsia="ko-KR"/>
        </w:rPr>
        <w:t xml:space="preserve"> </w:t>
      </w:r>
      <w:r w:rsidRPr="009577DE">
        <w:rPr>
          <w:rFonts w:eastAsia="Batang"/>
          <w:sz w:val="20"/>
          <w:u w:val="single"/>
          <w:lang w:val="es-ES_tradnl" w:eastAsia="ko-KR"/>
        </w:rPr>
        <w:t>Utilización del presupuesto 2012</w:t>
      </w:r>
    </w:p>
    <w:p w:rsidR="00B070BF" w:rsidRPr="009577DE" w:rsidRDefault="00B070BF" w:rsidP="00B070BF">
      <w:pPr>
        <w:widowControl w:val="0"/>
        <w:rPr>
          <w:b/>
          <w:bCs/>
          <w:sz w:val="20"/>
          <w:lang w:val="es-ES_tradnl"/>
        </w:rPr>
      </w:pPr>
    </w:p>
    <w:p w:rsidR="00B070BF" w:rsidRPr="006964C6" w:rsidRDefault="00B070BF" w:rsidP="00B070BF">
      <w:pPr>
        <w:widowControl w:val="0"/>
        <w:numPr>
          <w:ilvl w:val="0"/>
          <w:numId w:val="43"/>
        </w:numPr>
        <w:tabs>
          <w:tab w:val="left" w:pos="709"/>
        </w:tabs>
        <w:ind w:left="0" w:firstLine="0"/>
        <w:jc w:val="both"/>
        <w:rPr>
          <w:sz w:val="20"/>
          <w:lang w:val="es-ES_tradnl"/>
        </w:rPr>
      </w:pPr>
      <w:r w:rsidRPr="006964C6">
        <w:rPr>
          <w:rFonts w:eastAsia="Batang"/>
          <w:sz w:val="20"/>
          <w:lang w:val="es-ES_tradnl" w:eastAsia="ko-KR"/>
        </w:rPr>
        <w:t xml:space="preserve">La </w:t>
      </w:r>
      <w:r w:rsidRPr="006964C6">
        <w:rPr>
          <w:sz w:val="20"/>
          <w:lang w:val="es-ES_tradnl"/>
        </w:rPr>
        <w:t>utilización</w:t>
      </w:r>
      <w:r w:rsidRPr="006964C6">
        <w:rPr>
          <w:rFonts w:eastAsia="Batang"/>
          <w:sz w:val="20"/>
          <w:lang w:val="es-ES_tradnl" w:eastAsia="ko-KR"/>
        </w:rPr>
        <w:t xml:space="preserve"> del presupuesto se mantiene entre el 40% y el 60% en el primer año del bienio y </w:t>
      </w:r>
      <w:r w:rsidRPr="006964C6">
        <w:rPr>
          <w:rFonts w:eastAsia="Batang"/>
          <w:sz w:val="20"/>
          <w:lang w:val="es-ES_tradnl" w:eastAsia="ko-KR"/>
        </w:rPr>
        <w:lastRenderedPageBreak/>
        <w:t>progresa con normalidad.</w:t>
      </w:r>
    </w:p>
    <w:p w:rsidR="00B070BF" w:rsidRPr="009577DE" w:rsidRDefault="00B070BF" w:rsidP="00B070BF">
      <w:pPr>
        <w:widowControl w:val="0"/>
        <w:spacing w:before="240" w:after="60"/>
        <w:ind w:left="2835" w:hanging="2835"/>
        <w:outlineLvl w:val="1"/>
        <w:rPr>
          <w:b/>
          <w:bCs/>
          <w:iCs/>
          <w:caps/>
          <w:szCs w:val="22"/>
          <w:lang w:val="es-ES_tradnl"/>
        </w:rPr>
      </w:pPr>
      <w:r w:rsidRPr="009577DE">
        <w:rPr>
          <w:bCs/>
          <w:iCs/>
          <w:caps/>
          <w:szCs w:val="28"/>
          <w:lang w:val="es-ES_tradnl"/>
        </w:rPr>
        <w:br w:type="page"/>
      </w:r>
      <w:bookmarkStart w:id="70" w:name="_Toc359846815"/>
      <w:bookmarkStart w:id="71" w:name="_Toc359949339"/>
      <w:r w:rsidRPr="009577DE">
        <w:rPr>
          <w:b/>
          <w:bCs/>
          <w:iCs/>
          <w:szCs w:val="22"/>
          <w:lang w:val="es-ES_tradnl"/>
        </w:rPr>
        <w:lastRenderedPageBreak/>
        <w:t>PROGRAMA 29</w:t>
      </w:r>
      <w:r w:rsidRPr="009577DE">
        <w:rPr>
          <w:bCs/>
          <w:iCs/>
          <w:szCs w:val="22"/>
          <w:lang w:val="es-ES_tradnl"/>
        </w:rPr>
        <w:tab/>
      </w:r>
      <w:r w:rsidRPr="009577DE">
        <w:rPr>
          <w:b/>
          <w:bCs/>
          <w:iCs/>
          <w:szCs w:val="22"/>
          <w:lang w:val="es-ES_tradnl"/>
        </w:rPr>
        <w:t>PROYECTOS DE CONSTRUCCIÓN</w:t>
      </w:r>
      <w:bookmarkEnd w:id="70"/>
      <w:bookmarkEnd w:id="71"/>
    </w:p>
    <w:p w:rsidR="00B070BF" w:rsidRPr="009577DE" w:rsidRDefault="00B070BF" w:rsidP="00B070BF">
      <w:pPr>
        <w:widowControl w:val="0"/>
        <w:rPr>
          <w:sz w:val="18"/>
          <w:szCs w:val="18"/>
          <w:lang w:val="es-ES_tradnl"/>
        </w:rPr>
      </w:pPr>
    </w:p>
    <w:p w:rsidR="00B070BF" w:rsidRPr="009577DE" w:rsidRDefault="00B070BF" w:rsidP="00B070BF">
      <w:pPr>
        <w:widowControl w:val="0"/>
        <w:rPr>
          <w:sz w:val="18"/>
          <w:szCs w:val="18"/>
          <w:lang w:val="es-ES_tradnl"/>
        </w:rPr>
      </w:pPr>
    </w:p>
    <w:p w:rsidR="00B070BF" w:rsidRPr="009577DE" w:rsidRDefault="00B070BF" w:rsidP="00B070BF">
      <w:pPr>
        <w:widowControl w:val="0"/>
        <w:tabs>
          <w:tab w:val="left" w:pos="2268"/>
        </w:tabs>
        <w:rPr>
          <w:b/>
          <w:szCs w:val="22"/>
          <w:lang w:val="es-ES_tradnl"/>
        </w:rPr>
      </w:pPr>
      <w:r w:rsidRPr="009577DE">
        <w:rPr>
          <w:b/>
          <w:szCs w:val="22"/>
          <w:lang w:val="es-ES_tradnl"/>
        </w:rPr>
        <w:t>Director del Programa</w:t>
      </w:r>
      <w:r w:rsidRPr="009577DE">
        <w:rPr>
          <w:b/>
          <w:szCs w:val="22"/>
          <w:lang w:val="es-ES_tradnl"/>
        </w:rPr>
        <w:tab/>
        <w:t>Sr. A. Sundaram</w:t>
      </w:r>
    </w:p>
    <w:p w:rsidR="00B070BF" w:rsidRPr="009577DE" w:rsidRDefault="00B070BF" w:rsidP="00B070BF">
      <w:pPr>
        <w:widowControl w:val="0"/>
        <w:rPr>
          <w:sz w:val="20"/>
          <w:szCs w:val="12"/>
          <w:lang w:val="es-ES_tradnl"/>
        </w:rPr>
      </w:pPr>
    </w:p>
    <w:p w:rsidR="00B070BF" w:rsidRPr="009577DE" w:rsidRDefault="00B070BF" w:rsidP="00B070BF">
      <w:pPr>
        <w:widowControl w:val="0"/>
        <w:rPr>
          <w:bCs/>
          <w:sz w:val="20"/>
          <w:szCs w:val="12"/>
          <w:lang w:val="es-ES_tradnl"/>
        </w:rPr>
      </w:pPr>
    </w:p>
    <w:p w:rsidR="00B070BF" w:rsidRPr="009577DE" w:rsidRDefault="00B070BF" w:rsidP="00B070BF">
      <w:pPr>
        <w:widowControl w:val="0"/>
        <w:spacing w:line="260" w:lineRule="atLeast"/>
        <w:rPr>
          <w:bCs/>
          <w:sz w:val="20"/>
          <w:szCs w:val="22"/>
          <w:lang w:val="es-ES_tradnl"/>
        </w:rPr>
      </w:pPr>
      <w:r w:rsidRPr="009577DE">
        <w:rPr>
          <w:bCs/>
          <w:sz w:val="20"/>
          <w:szCs w:val="22"/>
          <w:lang w:val="es-ES_tradnl"/>
        </w:rPr>
        <w:t>RESEÑA DE LOS AVANCES LOGRADOS EN 2012</w:t>
      </w:r>
    </w:p>
    <w:p w:rsidR="00B070BF" w:rsidRPr="009577DE" w:rsidRDefault="00B070BF" w:rsidP="00B070BF">
      <w:pPr>
        <w:widowControl w:val="0"/>
        <w:jc w:val="both"/>
        <w:rPr>
          <w:szCs w:val="22"/>
          <w:lang w:val="es-ES_tradnl"/>
        </w:rPr>
      </w:pPr>
    </w:p>
    <w:p w:rsidR="00B070BF" w:rsidRPr="009577DE" w:rsidRDefault="00B070BF" w:rsidP="00B070BF">
      <w:pPr>
        <w:widowControl w:val="0"/>
        <w:jc w:val="both"/>
        <w:rPr>
          <w:sz w:val="20"/>
          <w:u w:val="single"/>
          <w:lang w:val="es-ES_tradnl"/>
        </w:rPr>
      </w:pPr>
      <w:r w:rsidRPr="009577DE">
        <w:rPr>
          <w:sz w:val="20"/>
          <w:u w:val="single"/>
          <w:lang w:val="es-ES_tradnl"/>
        </w:rPr>
        <w:t xml:space="preserve">Proyecto de construcción </w:t>
      </w:r>
    </w:p>
    <w:p w:rsidR="00B070BF" w:rsidRPr="009577DE" w:rsidRDefault="00B070BF" w:rsidP="00B070BF">
      <w:pPr>
        <w:widowControl w:val="0"/>
        <w:jc w:val="both"/>
        <w:rPr>
          <w:sz w:val="20"/>
          <w:lang w:val="es-ES_tradnl"/>
        </w:rPr>
      </w:pPr>
    </w:p>
    <w:p w:rsidR="00B070BF" w:rsidRPr="009577DE" w:rsidRDefault="00B070BF" w:rsidP="00B070BF">
      <w:pPr>
        <w:widowControl w:val="0"/>
        <w:numPr>
          <w:ilvl w:val="0"/>
          <w:numId w:val="54"/>
        </w:numPr>
        <w:ind w:left="0" w:firstLine="0"/>
        <w:jc w:val="both"/>
        <w:rPr>
          <w:sz w:val="20"/>
          <w:lang w:val="es-ES_tradnl"/>
        </w:rPr>
      </w:pPr>
      <w:r w:rsidRPr="009577DE">
        <w:rPr>
          <w:sz w:val="20"/>
          <w:lang w:val="es-ES_tradnl"/>
        </w:rPr>
        <w:t xml:space="preserve">A fines de 2011 se hallaban pendientes diversos trabajos de reparación, sustitución y acabado sin que el ex-contratista general llegara a concluirlos.  En vista de los continuos retrasos, la Secretaría inició una serie de conversaciones de alto nivel con el ex-contratista general, las cuales se prolongaron desde diciembre de 2011 hasta julio de 2012.  Tras dichas reuniones, la OMPI y el ex-contratista general convinieron en cancelar el contrato de común acuerdo y amigablemente.  A partir del mes de agosto de 2012 todos los trabajos de reparación, sustitución y acabado corren por cuenta de la OMPI, mientras que los costos se sufragan con cargo a los últimos pagos efectuados al ex-contratista general.  Varios de los trabajos pendientes comenzaron a ejecutarse en el segundo semestre de 2012 y continuarán hasta fines de 2013 o mediados de 2014, según los casos.  </w:t>
      </w:r>
    </w:p>
    <w:p w:rsidR="00B070BF" w:rsidRPr="009577DE" w:rsidRDefault="00B070BF" w:rsidP="00B070BF">
      <w:pPr>
        <w:widowControl w:val="0"/>
        <w:jc w:val="both"/>
        <w:rPr>
          <w:sz w:val="20"/>
          <w:lang w:val="es-ES_tradnl"/>
        </w:rPr>
      </w:pPr>
    </w:p>
    <w:p w:rsidR="00B070BF" w:rsidRPr="009577DE" w:rsidRDefault="00B070BF" w:rsidP="00B070BF">
      <w:pPr>
        <w:widowControl w:val="0"/>
        <w:jc w:val="both"/>
        <w:rPr>
          <w:sz w:val="20"/>
          <w:u w:val="single"/>
          <w:lang w:val="es-ES_tradnl"/>
        </w:rPr>
      </w:pPr>
      <w:r w:rsidRPr="009577DE">
        <w:rPr>
          <w:sz w:val="20"/>
          <w:u w:val="single"/>
          <w:lang w:val="es-ES_tradnl"/>
        </w:rPr>
        <w:t xml:space="preserve">Nueva sala de conferencias </w:t>
      </w:r>
    </w:p>
    <w:p w:rsidR="00B070BF" w:rsidRPr="009577DE" w:rsidRDefault="00B070BF" w:rsidP="00B070BF">
      <w:pPr>
        <w:widowControl w:val="0"/>
        <w:jc w:val="both"/>
        <w:rPr>
          <w:sz w:val="20"/>
          <w:lang w:val="es-ES_tradnl"/>
        </w:rPr>
      </w:pPr>
    </w:p>
    <w:p w:rsidR="00B070BF" w:rsidRPr="009577DE" w:rsidRDefault="00B070BF" w:rsidP="00B070BF">
      <w:pPr>
        <w:widowControl w:val="0"/>
        <w:numPr>
          <w:ilvl w:val="0"/>
          <w:numId w:val="54"/>
        </w:numPr>
        <w:ind w:left="0" w:firstLine="0"/>
        <w:jc w:val="both"/>
        <w:rPr>
          <w:sz w:val="20"/>
          <w:lang w:val="es-ES_tradnl"/>
        </w:rPr>
      </w:pPr>
      <w:r w:rsidRPr="009577DE">
        <w:rPr>
          <w:sz w:val="20"/>
          <w:lang w:val="es-ES_tradnl"/>
        </w:rPr>
        <w:t xml:space="preserve">Las obras del proyecto de nueva sala de conferencias comenzaron a mediados de agosto de 2011 y la excavación y construcción de la estructura principal continuaron hasta fines de 2011.  En vista de los retrasos ocasionados por el ex-contratista general a comienzos de 2012 y del consiguiente incumplimiento de ciertas estipulaciones contractuales, la Secretaría inició una serie de conversaciones de alto nivel con el ex-contratista general que se prolongaron hasta julio de 2012.  Tras dichas reuniones, la OMPI y el ex-contratista general convinieron en cancelar el contrato de común acuerdo y amigablemente.  A partir del mes de agosto de 2012 el proyecto se encuentra bajo la responsabilidad directa de la OMPI.  Se introdujeron en la estructura de gestión del proyecto diversas modificaciones para ponerla en consonancia con la nueva situación en que no existe ya un contratista general;  en particular, se crearon comisiones específicas y se impartieron mandatos suplementarios a las empresas de arquitectura, de pilotaje y de ingeniería distribuyendo así los elementos integrantes del mandato del contratista general.  Desde agosto de 2012 el proyecto ha venido siendo gestionado sobre la base de esta estructura de gestión modificada, que aporta flexibilidad y rapidez de respuesta para la implementación de un proyecto de esta envergadura y alcance.  A fines de 2012, alrededor del 27% de los contratistas y proveedores estaban contractualmente comprometidos con la OMPI en virtud de un proceso de licitación específico que representa cerca del 42% del costo total de construcción.  </w:t>
      </w:r>
    </w:p>
    <w:p w:rsidR="00B070BF" w:rsidRPr="009577DE" w:rsidRDefault="00B070BF" w:rsidP="00B070BF">
      <w:pPr>
        <w:widowControl w:val="0"/>
        <w:jc w:val="both"/>
        <w:rPr>
          <w:sz w:val="20"/>
          <w:lang w:val="es-ES_tradnl"/>
        </w:rPr>
      </w:pPr>
    </w:p>
    <w:p w:rsidR="00B070BF" w:rsidRPr="009577DE" w:rsidRDefault="00B070BF" w:rsidP="00B070BF">
      <w:pPr>
        <w:widowControl w:val="0"/>
        <w:numPr>
          <w:ilvl w:val="0"/>
          <w:numId w:val="54"/>
        </w:numPr>
        <w:ind w:left="0" w:firstLine="0"/>
        <w:jc w:val="both"/>
        <w:rPr>
          <w:sz w:val="20"/>
          <w:lang w:val="es-ES_tradnl"/>
        </w:rPr>
      </w:pPr>
      <w:r w:rsidRPr="009577DE">
        <w:rPr>
          <w:sz w:val="20"/>
          <w:lang w:val="es-ES_tradnl"/>
        </w:rPr>
        <w:t>Los retrasos provocados por el ex-contratista general y la subsiguiente resolución amigable del contrato dieron lugar a una revisión del calendario provisional del proyecto y a la postergación de la fecha prevista para su culminación, que pasó de abril de 2013 a febrero de 2014.</w:t>
      </w:r>
    </w:p>
    <w:p w:rsidR="00B070BF" w:rsidRPr="009577DE" w:rsidRDefault="00B070BF" w:rsidP="00B070BF">
      <w:pPr>
        <w:widowControl w:val="0"/>
        <w:autoSpaceDE w:val="0"/>
        <w:autoSpaceDN w:val="0"/>
        <w:adjustRightInd w:val="0"/>
        <w:rPr>
          <w:b/>
          <w:bCs/>
          <w:sz w:val="20"/>
          <w:lang w:val="es-ES_tradnl"/>
        </w:rPr>
      </w:pPr>
    </w:p>
    <w:p w:rsidR="00B070BF" w:rsidRPr="009577DE" w:rsidRDefault="00B070BF" w:rsidP="00B070BF">
      <w:pPr>
        <w:widowControl w:val="0"/>
        <w:numPr>
          <w:ilvl w:val="0"/>
          <w:numId w:val="54"/>
        </w:numPr>
        <w:ind w:left="0" w:firstLine="0"/>
        <w:jc w:val="both"/>
        <w:rPr>
          <w:sz w:val="20"/>
          <w:lang w:val="es-ES_tradnl"/>
        </w:rPr>
      </w:pPr>
      <w:r w:rsidRPr="009577DE">
        <w:rPr>
          <w:sz w:val="20"/>
          <w:lang w:val="es-ES_tradnl"/>
        </w:rPr>
        <w:t>Todos los compromisos nuevos y en curso, al igual que todos los nuevos gastos, incluidos los resultantes de las modificaciones del marco contractual y de la nueva estructura establecida, fueron absorbidos por el presupuesto y la reserva aprobados por los Estados miembros en 2009 y 2011.  Las modificaciones que pudieren surgir durante la ejecución del proyecto, así como cualesquiera imprevistos, quedarían cubiertos por el importe residual de la reserva aprobada.</w:t>
      </w:r>
    </w:p>
    <w:p w:rsidR="00B070BF" w:rsidRPr="009577DE" w:rsidRDefault="00B070BF" w:rsidP="00B070BF">
      <w:pPr>
        <w:widowControl w:val="0"/>
        <w:autoSpaceDE w:val="0"/>
        <w:autoSpaceDN w:val="0"/>
        <w:adjustRightInd w:val="0"/>
        <w:rPr>
          <w:szCs w:val="22"/>
          <w:lang w:val="es-ES_tradnl"/>
        </w:rPr>
      </w:pPr>
    </w:p>
    <w:p w:rsidR="00B070BF" w:rsidRDefault="00B070BF" w:rsidP="00B070BF">
      <w:pPr>
        <w:rPr>
          <w:sz w:val="20"/>
          <w:szCs w:val="22"/>
          <w:lang w:val="es-ES_tradnl"/>
        </w:rPr>
      </w:pPr>
      <w:r>
        <w:rPr>
          <w:sz w:val="20"/>
          <w:szCs w:val="22"/>
          <w:lang w:val="es-ES_tradnl"/>
        </w:rPr>
        <w:br w:type="page"/>
      </w:r>
    </w:p>
    <w:p w:rsidR="00B070BF" w:rsidRPr="009577DE" w:rsidRDefault="00B070BF" w:rsidP="00B070BF">
      <w:pPr>
        <w:widowControl w:val="0"/>
        <w:jc w:val="both"/>
        <w:rPr>
          <w:sz w:val="20"/>
          <w:szCs w:val="22"/>
          <w:lang w:val="es-ES_tradnl"/>
        </w:rPr>
      </w:pPr>
    </w:p>
    <w:p w:rsidR="00B070BF" w:rsidRPr="009577DE" w:rsidRDefault="00B070BF" w:rsidP="00B070BF">
      <w:pPr>
        <w:widowControl w:val="0"/>
        <w:jc w:val="both"/>
        <w:rPr>
          <w:sz w:val="20"/>
          <w:szCs w:val="22"/>
          <w:lang w:val="es-ES_tradnl"/>
        </w:rPr>
      </w:pPr>
      <w:r w:rsidRPr="002B4B29">
        <w:rPr>
          <w:sz w:val="20"/>
          <w:szCs w:val="22"/>
          <w:lang w:val="es-ES_tradnl"/>
        </w:rPr>
        <w:t>DATOS SOBRE EL RENDIMIENTO</w:t>
      </w:r>
    </w:p>
    <w:p w:rsidR="00B070BF" w:rsidRPr="009577DE" w:rsidRDefault="00B070BF" w:rsidP="00B070BF">
      <w:pPr>
        <w:widowControl w:val="0"/>
        <w:rPr>
          <w:lang w:val="es-ES_tradnl"/>
        </w:rPr>
      </w:pPr>
    </w:p>
    <w:tbl>
      <w:tblPr>
        <w:tblW w:w="4842" w:type="pct"/>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676"/>
        <w:gridCol w:w="1542"/>
        <w:gridCol w:w="1754"/>
        <w:gridCol w:w="3131"/>
        <w:gridCol w:w="1166"/>
      </w:tblGrid>
      <w:tr w:rsidR="00B070BF" w:rsidRPr="009577DE" w:rsidTr="00C33D4A">
        <w:trPr>
          <w:cantSplit/>
        </w:trPr>
        <w:tc>
          <w:tcPr>
            <w:tcW w:w="5000" w:type="pct"/>
            <w:gridSpan w:val="5"/>
            <w:tcBorders>
              <w:top w:val="single" w:sz="4" w:space="0" w:color="auto"/>
              <w:bottom w:val="nil"/>
            </w:tcBorders>
            <w:shd w:val="clear" w:color="auto" w:fill="CCFFFF"/>
            <w:vAlign w:val="center"/>
          </w:tcPr>
          <w:p w:rsidR="00B070BF" w:rsidRPr="009577DE" w:rsidRDefault="00B070BF" w:rsidP="00C33D4A">
            <w:pPr>
              <w:widowControl w:val="0"/>
              <w:tabs>
                <w:tab w:val="left" w:pos="1452"/>
              </w:tabs>
              <w:spacing w:before="120" w:after="120"/>
              <w:ind w:left="1452" w:hanging="1452"/>
              <w:rPr>
                <w:b/>
                <w:bCs/>
                <w:sz w:val="16"/>
                <w:szCs w:val="16"/>
                <w:lang w:val="es-ES_tradnl"/>
              </w:rPr>
            </w:pPr>
            <w:r w:rsidRPr="009577DE">
              <w:rPr>
                <w:b/>
                <w:bCs/>
                <w:sz w:val="16"/>
                <w:szCs w:val="16"/>
                <w:lang w:val="es-ES_tradnl"/>
              </w:rPr>
              <w:t>Resultado previsto:</w:t>
            </w:r>
            <w:r w:rsidRPr="009577DE">
              <w:rPr>
                <w:b/>
                <w:bCs/>
                <w:sz w:val="16"/>
                <w:szCs w:val="16"/>
                <w:lang w:val="es-ES_tradnl"/>
              </w:rPr>
              <w:tab/>
            </w:r>
            <w:r w:rsidRPr="009577DE">
              <w:rPr>
                <w:bCs/>
                <w:sz w:val="16"/>
                <w:szCs w:val="16"/>
                <w:lang w:val="es-ES_tradnl"/>
              </w:rPr>
              <w:t xml:space="preserve"> La nueva sala de conferencias y las instalaciones conexas están disponibles para las reuniones de los Estados miembros.</w:t>
            </w:r>
          </w:p>
        </w:tc>
      </w:tr>
      <w:tr w:rsidR="00B070BF" w:rsidRPr="009577DE" w:rsidTr="00C33D4A">
        <w:trPr>
          <w:cantSplit/>
        </w:trPr>
        <w:tc>
          <w:tcPr>
            <w:tcW w:w="904" w:type="pct"/>
            <w:tcBorders>
              <w:top w:val="single" w:sz="4" w:space="0" w:color="auto"/>
              <w:bottom w:val="nil"/>
            </w:tcBorders>
            <w:vAlign w:val="center"/>
          </w:tcPr>
          <w:p w:rsidR="00B070BF" w:rsidRPr="009577DE" w:rsidRDefault="00B070BF" w:rsidP="00C33D4A">
            <w:pPr>
              <w:widowControl w:val="0"/>
              <w:spacing w:after="120"/>
              <w:rPr>
                <w:sz w:val="16"/>
                <w:szCs w:val="16"/>
                <w:lang w:val="es-ES_tradnl"/>
              </w:rPr>
            </w:pPr>
            <w:r w:rsidRPr="009577DE">
              <w:rPr>
                <w:b/>
                <w:bCs/>
                <w:sz w:val="16"/>
                <w:szCs w:val="16"/>
                <w:lang w:val="es-ES_tradnl"/>
              </w:rPr>
              <w:t>Indicadores de rendimiento</w:t>
            </w:r>
          </w:p>
        </w:tc>
        <w:tc>
          <w:tcPr>
            <w:tcW w:w="832" w:type="pct"/>
            <w:tcBorders>
              <w:top w:val="single" w:sz="4" w:space="0" w:color="auto"/>
              <w:bottom w:val="nil"/>
            </w:tcBorders>
            <w:shd w:val="clear" w:color="auto" w:fill="C0C0C0"/>
          </w:tcPr>
          <w:p w:rsidR="00B070BF" w:rsidRPr="009577DE" w:rsidRDefault="00B070BF" w:rsidP="00C33D4A">
            <w:pPr>
              <w:widowControl w:val="0"/>
              <w:spacing w:after="120"/>
              <w:rPr>
                <w:b/>
                <w:bCs/>
                <w:sz w:val="16"/>
                <w:szCs w:val="16"/>
                <w:lang w:val="es-ES_tradnl"/>
              </w:rPr>
            </w:pPr>
            <w:r w:rsidRPr="009577DE">
              <w:rPr>
                <w:b/>
                <w:bCs/>
                <w:sz w:val="16"/>
                <w:szCs w:val="16"/>
                <w:lang w:val="es-ES_tradnl"/>
              </w:rPr>
              <w:t>Referencia (</w:t>
            </w:r>
            <w:proofErr w:type="spellStart"/>
            <w:r w:rsidRPr="009577DE">
              <w:rPr>
                <w:b/>
                <w:bCs/>
                <w:sz w:val="16"/>
                <w:szCs w:val="16"/>
                <w:lang w:val="es-ES_tradnl"/>
              </w:rPr>
              <w:t>Presup</w:t>
            </w:r>
            <w:proofErr w:type="spellEnd"/>
            <w:r w:rsidRPr="009577DE">
              <w:rPr>
                <w:b/>
                <w:bCs/>
                <w:sz w:val="16"/>
                <w:szCs w:val="16"/>
                <w:lang w:val="es-ES_tradnl"/>
              </w:rPr>
              <w:t xml:space="preserve">. por </w:t>
            </w:r>
            <w:proofErr w:type="spellStart"/>
            <w:r w:rsidRPr="009577DE">
              <w:rPr>
                <w:b/>
                <w:bCs/>
                <w:sz w:val="16"/>
                <w:szCs w:val="16"/>
                <w:lang w:val="es-ES_tradnl"/>
              </w:rPr>
              <w:t>prog</w:t>
            </w:r>
            <w:proofErr w:type="spellEnd"/>
            <w:r w:rsidRPr="009577DE">
              <w:rPr>
                <w:b/>
                <w:bCs/>
                <w:sz w:val="16"/>
                <w:szCs w:val="16"/>
                <w:lang w:val="es-ES_tradnl"/>
              </w:rPr>
              <w:t>. 2012/13)</w:t>
            </w:r>
          </w:p>
        </w:tc>
        <w:tc>
          <w:tcPr>
            <w:tcW w:w="946" w:type="pct"/>
            <w:tcBorders>
              <w:top w:val="single" w:sz="4" w:space="0" w:color="auto"/>
              <w:bottom w:val="nil"/>
            </w:tcBorders>
            <w:tcMar>
              <w:top w:w="110" w:type="dxa"/>
            </w:tcMar>
            <w:vAlign w:val="center"/>
          </w:tcPr>
          <w:p w:rsidR="00B070BF" w:rsidRPr="009577DE" w:rsidRDefault="00B070BF" w:rsidP="00C33D4A">
            <w:pPr>
              <w:widowControl w:val="0"/>
              <w:spacing w:after="120"/>
              <w:rPr>
                <w:b/>
                <w:sz w:val="16"/>
                <w:szCs w:val="16"/>
                <w:lang w:val="es-ES_tradnl"/>
              </w:rPr>
            </w:pPr>
            <w:r w:rsidRPr="00BF138D">
              <w:rPr>
                <w:b/>
                <w:color w:val="993300"/>
                <w:sz w:val="16"/>
                <w:szCs w:val="16"/>
                <w:lang w:val="es-ES_tradnl"/>
              </w:rPr>
              <w:t>Referencia actualizada a finales de 2011</w:t>
            </w:r>
            <w:r w:rsidRPr="009577DE">
              <w:rPr>
                <w:b/>
                <w:sz w:val="16"/>
                <w:szCs w:val="16"/>
                <w:lang w:val="es-ES_tradnl"/>
              </w:rPr>
              <w:t xml:space="preserve"> </w:t>
            </w:r>
          </w:p>
        </w:tc>
        <w:tc>
          <w:tcPr>
            <w:tcW w:w="1689" w:type="pct"/>
            <w:tcBorders>
              <w:top w:val="single" w:sz="4" w:space="0" w:color="auto"/>
              <w:bottom w:val="nil"/>
            </w:tcBorders>
            <w:shd w:val="clear" w:color="auto" w:fill="FFFFFF"/>
            <w:tcMar>
              <w:top w:w="110" w:type="dxa"/>
            </w:tcMar>
            <w:vAlign w:val="center"/>
          </w:tcPr>
          <w:p w:rsidR="00B070BF" w:rsidRPr="009577DE" w:rsidRDefault="00B070BF" w:rsidP="00C33D4A">
            <w:pPr>
              <w:widowControl w:val="0"/>
              <w:spacing w:after="120"/>
              <w:rPr>
                <w:sz w:val="16"/>
                <w:szCs w:val="16"/>
                <w:lang w:val="es-ES_tradnl"/>
              </w:rPr>
            </w:pPr>
            <w:r w:rsidRPr="009577DE">
              <w:rPr>
                <w:b/>
                <w:bCs/>
                <w:sz w:val="16"/>
                <w:szCs w:val="16"/>
                <w:lang w:val="es-ES_tradnl"/>
              </w:rPr>
              <w:t>Datos sobre el rendimiento</w:t>
            </w:r>
          </w:p>
        </w:tc>
        <w:tc>
          <w:tcPr>
            <w:tcW w:w="630" w:type="pct"/>
            <w:tcBorders>
              <w:top w:val="single" w:sz="4" w:space="0" w:color="auto"/>
              <w:bottom w:val="nil"/>
            </w:tcBorders>
            <w:tcMar>
              <w:top w:w="110" w:type="dxa"/>
            </w:tcMar>
            <w:vAlign w:val="center"/>
          </w:tcPr>
          <w:p w:rsidR="00B070BF" w:rsidRPr="009577DE" w:rsidRDefault="00B070BF" w:rsidP="00C33D4A">
            <w:pPr>
              <w:widowControl w:val="0"/>
              <w:spacing w:after="120"/>
              <w:jc w:val="center"/>
              <w:rPr>
                <w:b/>
                <w:bCs/>
                <w:sz w:val="16"/>
                <w:szCs w:val="16"/>
                <w:lang w:val="es-ES_tradnl"/>
              </w:rPr>
            </w:pPr>
            <w:r w:rsidRPr="009577DE">
              <w:rPr>
                <w:b/>
                <w:bCs/>
                <w:sz w:val="16"/>
                <w:szCs w:val="16"/>
                <w:lang w:val="es-ES_tradnl"/>
              </w:rPr>
              <w:t>Clave de colores</w:t>
            </w:r>
          </w:p>
        </w:tc>
      </w:tr>
      <w:tr w:rsidR="00B070BF" w:rsidRPr="009577DE" w:rsidTr="00C33D4A">
        <w:trPr>
          <w:cantSplit/>
        </w:trPr>
        <w:tc>
          <w:tcPr>
            <w:tcW w:w="904" w:type="pct"/>
            <w:tcBorders>
              <w:top w:val="nil"/>
              <w:bottom w:val="single" w:sz="4" w:space="0" w:color="auto"/>
            </w:tcBorders>
          </w:tcPr>
          <w:p w:rsidR="00B070BF" w:rsidRPr="009577DE" w:rsidRDefault="00B070BF" w:rsidP="00C33D4A">
            <w:pPr>
              <w:widowControl w:val="0"/>
              <w:rPr>
                <w:sz w:val="16"/>
                <w:szCs w:val="16"/>
                <w:lang w:val="es-ES_tradnl"/>
              </w:rPr>
            </w:pPr>
            <w:r w:rsidRPr="009577DE">
              <w:rPr>
                <w:sz w:val="16"/>
                <w:szCs w:val="16"/>
                <w:lang w:val="es-ES_tradnl"/>
              </w:rPr>
              <w:t>Construcción de la nueva sala de conferencias e instalaciones conexas de conformidad con los criterios de calidad, el presupuesto y los plazos aprobados.</w:t>
            </w:r>
          </w:p>
        </w:tc>
        <w:tc>
          <w:tcPr>
            <w:tcW w:w="832" w:type="pct"/>
            <w:tcBorders>
              <w:top w:val="nil"/>
              <w:bottom w:val="single" w:sz="4" w:space="0" w:color="auto"/>
            </w:tcBorders>
            <w:shd w:val="clear" w:color="auto" w:fill="C0C0C0"/>
          </w:tcPr>
          <w:p w:rsidR="00B070BF" w:rsidRPr="009577DE" w:rsidRDefault="00B070BF" w:rsidP="00C33D4A">
            <w:pPr>
              <w:widowControl w:val="0"/>
              <w:rPr>
                <w:sz w:val="16"/>
                <w:szCs w:val="16"/>
                <w:lang w:val="es-ES_tradnl"/>
              </w:rPr>
            </w:pPr>
            <w:proofErr w:type="spellStart"/>
            <w:r>
              <w:rPr>
                <w:sz w:val="16"/>
                <w:szCs w:val="16"/>
                <w:lang w:val="es-ES_tradnl"/>
              </w:rPr>
              <w:t>n.d</w:t>
            </w:r>
            <w:proofErr w:type="spellEnd"/>
            <w:r>
              <w:rPr>
                <w:sz w:val="16"/>
                <w:szCs w:val="16"/>
                <w:lang w:val="es-ES_tradnl"/>
              </w:rPr>
              <w:t>.</w:t>
            </w:r>
          </w:p>
        </w:tc>
        <w:tc>
          <w:tcPr>
            <w:tcW w:w="946" w:type="pct"/>
            <w:tcBorders>
              <w:top w:val="nil"/>
              <w:bottom w:val="single" w:sz="4" w:space="0" w:color="auto"/>
            </w:tcBorders>
            <w:tcMar>
              <w:top w:w="110" w:type="dxa"/>
            </w:tcMar>
          </w:tcPr>
          <w:p w:rsidR="00B070BF" w:rsidRPr="009577DE" w:rsidRDefault="00B070BF" w:rsidP="00C33D4A">
            <w:pPr>
              <w:widowControl w:val="0"/>
              <w:rPr>
                <w:i/>
                <w:sz w:val="16"/>
                <w:szCs w:val="16"/>
                <w:highlight w:val="cyan"/>
                <w:lang w:val="es-ES_tradnl"/>
              </w:rPr>
            </w:pPr>
          </w:p>
        </w:tc>
        <w:tc>
          <w:tcPr>
            <w:tcW w:w="1689" w:type="pct"/>
            <w:tcBorders>
              <w:top w:val="nil"/>
              <w:bottom w:val="single" w:sz="4" w:space="0" w:color="auto"/>
            </w:tcBorders>
            <w:shd w:val="clear" w:color="auto" w:fill="FFFFFF"/>
            <w:tcMar>
              <w:top w:w="110" w:type="dxa"/>
            </w:tcMar>
          </w:tcPr>
          <w:p w:rsidR="00B070BF" w:rsidRPr="009577DE" w:rsidRDefault="00B070BF" w:rsidP="00C33D4A">
            <w:pPr>
              <w:widowControl w:val="0"/>
              <w:rPr>
                <w:sz w:val="16"/>
                <w:szCs w:val="16"/>
                <w:lang w:val="es-ES_tradnl" w:bidi="th-TH"/>
              </w:rPr>
            </w:pPr>
            <w:r w:rsidRPr="009577DE">
              <w:rPr>
                <w:sz w:val="16"/>
                <w:szCs w:val="16"/>
                <w:lang w:val="es-ES_tradnl" w:bidi="th-TH"/>
              </w:rPr>
              <w:t>La finalización del proyecto de construcción de la nueva sala de conferencias (la sala de conferencias propiamente dicha, la modificación de tres plantas del edificio AB y el nuevo centro de acceso al recinto de la OMPI) se retrasó hasta el primer trimestre de 2014 a raíz de la rescisión amistosa del contrato con el antiguo contratista general en julio de 2012 y de que la OMPI se hiciera cargo del proyecto.</w:t>
            </w:r>
          </w:p>
          <w:p w:rsidR="00B070BF" w:rsidRPr="009577DE" w:rsidRDefault="00B070BF" w:rsidP="00C33D4A">
            <w:pPr>
              <w:widowControl w:val="0"/>
              <w:rPr>
                <w:sz w:val="16"/>
                <w:szCs w:val="16"/>
                <w:lang w:val="es-ES_tradnl" w:bidi="th-TH"/>
              </w:rPr>
            </w:pPr>
          </w:p>
          <w:p w:rsidR="00B070BF" w:rsidRPr="009577DE" w:rsidRDefault="00B070BF" w:rsidP="00C33D4A">
            <w:pPr>
              <w:widowControl w:val="0"/>
              <w:rPr>
                <w:sz w:val="16"/>
                <w:szCs w:val="16"/>
                <w:lang w:val="es-ES_tradnl"/>
              </w:rPr>
            </w:pPr>
            <w:r w:rsidRPr="009577DE">
              <w:rPr>
                <w:sz w:val="16"/>
                <w:szCs w:val="16"/>
                <w:lang w:val="es-ES_tradnl"/>
              </w:rPr>
              <w:t>El Piloto y el Comité de Construcción continúan supervisando con gran atención el cumplimiento de los criterios de calidad y los límites presupuestarios aprobados y exigidos.</w:t>
            </w:r>
          </w:p>
          <w:p w:rsidR="00B070BF" w:rsidRPr="009577DE" w:rsidRDefault="00B070BF" w:rsidP="00C33D4A">
            <w:pPr>
              <w:widowControl w:val="0"/>
              <w:rPr>
                <w:sz w:val="16"/>
                <w:szCs w:val="16"/>
                <w:highlight w:val="cyan"/>
                <w:lang w:val="es-ES_tradnl"/>
              </w:rPr>
            </w:pPr>
          </w:p>
        </w:tc>
        <w:tc>
          <w:tcPr>
            <w:tcW w:w="630" w:type="pct"/>
            <w:tcBorders>
              <w:top w:val="nil"/>
              <w:bottom w:val="single" w:sz="4" w:space="0" w:color="auto"/>
            </w:tcBorders>
            <w:tcMar>
              <w:top w:w="110" w:type="dxa"/>
            </w:tcMar>
          </w:tcPr>
          <w:p w:rsidR="00B070BF" w:rsidRPr="009577DE" w:rsidRDefault="00B070BF" w:rsidP="00C33D4A">
            <w:pPr>
              <w:widowControl w:val="0"/>
              <w:jc w:val="center"/>
              <w:rPr>
                <w:b/>
                <w:sz w:val="16"/>
                <w:szCs w:val="16"/>
                <w:lang w:val="es-ES_tradnl"/>
              </w:rPr>
            </w:pPr>
            <w:r w:rsidRPr="009577DE">
              <w:rPr>
                <w:b/>
                <w:color w:val="FF0000"/>
                <w:sz w:val="16"/>
                <w:szCs w:val="16"/>
                <w:lang w:val="es-ES_tradnl"/>
              </w:rPr>
              <w:t>Sin avances significativos</w:t>
            </w:r>
          </w:p>
          <w:p w:rsidR="00B070BF" w:rsidRPr="009577DE" w:rsidRDefault="00B070BF" w:rsidP="00C33D4A">
            <w:pPr>
              <w:widowControl w:val="0"/>
              <w:jc w:val="center"/>
              <w:rPr>
                <w:b/>
                <w:bCs/>
                <w:sz w:val="16"/>
                <w:szCs w:val="16"/>
                <w:lang w:val="es-ES_tradnl"/>
              </w:rPr>
            </w:pPr>
          </w:p>
          <w:p w:rsidR="00B070BF" w:rsidRPr="009577DE" w:rsidRDefault="00B070BF" w:rsidP="00C33D4A">
            <w:pPr>
              <w:widowControl w:val="0"/>
              <w:jc w:val="center"/>
              <w:rPr>
                <w:b/>
                <w:bCs/>
                <w:sz w:val="16"/>
                <w:szCs w:val="16"/>
                <w:lang w:val="es-ES_tradnl"/>
              </w:rPr>
            </w:pPr>
          </w:p>
          <w:p w:rsidR="00B070BF" w:rsidRPr="009577DE" w:rsidRDefault="00B070BF" w:rsidP="00C33D4A">
            <w:pPr>
              <w:widowControl w:val="0"/>
              <w:jc w:val="center"/>
              <w:rPr>
                <w:b/>
                <w:bCs/>
                <w:sz w:val="16"/>
                <w:szCs w:val="16"/>
                <w:lang w:val="es-ES_tradnl"/>
              </w:rPr>
            </w:pPr>
          </w:p>
          <w:p w:rsidR="00B070BF" w:rsidRPr="009577DE" w:rsidRDefault="00B070BF" w:rsidP="00C33D4A">
            <w:pPr>
              <w:widowControl w:val="0"/>
              <w:jc w:val="center"/>
              <w:rPr>
                <w:b/>
                <w:bCs/>
                <w:sz w:val="16"/>
                <w:szCs w:val="16"/>
                <w:lang w:val="es-ES_tradnl"/>
              </w:rPr>
            </w:pPr>
          </w:p>
          <w:p w:rsidR="00B070BF" w:rsidRPr="009577DE" w:rsidRDefault="00B070BF" w:rsidP="00C33D4A">
            <w:pPr>
              <w:widowControl w:val="0"/>
              <w:jc w:val="center"/>
              <w:rPr>
                <w:b/>
                <w:bCs/>
                <w:sz w:val="16"/>
                <w:szCs w:val="16"/>
                <w:lang w:val="es-ES_tradnl"/>
              </w:rPr>
            </w:pPr>
          </w:p>
          <w:p w:rsidR="00B070BF" w:rsidRPr="009577DE" w:rsidRDefault="00B070BF" w:rsidP="00C33D4A">
            <w:pPr>
              <w:widowControl w:val="0"/>
              <w:jc w:val="center"/>
              <w:rPr>
                <w:b/>
                <w:bCs/>
                <w:sz w:val="16"/>
                <w:szCs w:val="16"/>
                <w:lang w:val="es-ES_tradnl"/>
              </w:rPr>
            </w:pPr>
          </w:p>
          <w:p w:rsidR="00B070BF" w:rsidRPr="009577DE" w:rsidRDefault="00B070BF" w:rsidP="00C33D4A">
            <w:pPr>
              <w:widowControl w:val="0"/>
              <w:jc w:val="center"/>
              <w:rPr>
                <w:b/>
                <w:bCs/>
                <w:sz w:val="16"/>
                <w:szCs w:val="16"/>
                <w:lang w:val="es-ES_tradnl"/>
              </w:rPr>
            </w:pPr>
          </w:p>
          <w:p w:rsidR="00B070BF" w:rsidRPr="009577DE" w:rsidRDefault="00B070BF" w:rsidP="00C33D4A">
            <w:pPr>
              <w:widowControl w:val="0"/>
              <w:jc w:val="center"/>
              <w:rPr>
                <w:b/>
                <w:bCs/>
                <w:sz w:val="16"/>
                <w:szCs w:val="16"/>
                <w:lang w:val="es-ES_tradnl"/>
              </w:rPr>
            </w:pPr>
          </w:p>
          <w:p w:rsidR="00B070BF" w:rsidRPr="009577DE" w:rsidRDefault="00B070BF" w:rsidP="00C33D4A">
            <w:pPr>
              <w:widowControl w:val="0"/>
              <w:jc w:val="center"/>
              <w:rPr>
                <w:bCs/>
                <w:sz w:val="16"/>
                <w:szCs w:val="16"/>
                <w:lang w:val="es-ES_tradnl"/>
              </w:rPr>
            </w:pPr>
            <w:r w:rsidRPr="009577DE">
              <w:rPr>
                <w:b/>
                <w:bCs/>
                <w:color w:val="008000"/>
                <w:sz w:val="16"/>
                <w:szCs w:val="16"/>
                <w:lang w:val="es-ES_tradnl"/>
              </w:rPr>
              <w:t>Progresa con normalidad</w:t>
            </w:r>
          </w:p>
          <w:p w:rsidR="00B070BF" w:rsidRPr="009577DE" w:rsidRDefault="00B070BF" w:rsidP="00C33D4A">
            <w:pPr>
              <w:widowControl w:val="0"/>
              <w:jc w:val="center"/>
              <w:rPr>
                <w:bCs/>
                <w:sz w:val="16"/>
                <w:szCs w:val="16"/>
                <w:lang w:val="es-ES_tradnl"/>
              </w:rPr>
            </w:pPr>
          </w:p>
        </w:tc>
      </w:tr>
      <w:tr w:rsidR="00B070BF" w:rsidRPr="009577DE" w:rsidTr="00C33D4A">
        <w:trPr>
          <w:cantSplit/>
        </w:trPr>
        <w:tc>
          <w:tcPr>
            <w:tcW w:w="5000" w:type="pct"/>
            <w:gridSpan w:val="5"/>
            <w:tcBorders>
              <w:top w:val="single" w:sz="4" w:space="0" w:color="auto"/>
              <w:bottom w:val="nil"/>
            </w:tcBorders>
            <w:shd w:val="clear" w:color="auto" w:fill="CCFFFF"/>
            <w:vAlign w:val="center"/>
          </w:tcPr>
          <w:p w:rsidR="00B070BF" w:rsidRPr="009577DE" w:rsidRDefault="00B070BF" w:rsidP="00C33D4A">
            <w:pPr>
              <w:widowControl w:val="0"/>
              <w:tabs>
                <w:tab w:val="left" w:pos="1452"/>
              </w:tabs>
              <w:spacing w:before="120" w:after="120"/>
              <w:ind w:left="1452" w:hanging="1452"/>
              <w:rPr>
                <w:b/>
                <w:bCs/>
                <w:sz w:val="16"/>
                <w:szCs w:val="16"/>
                <w:lang w:val="es-ES_tradnl"/>
              </w:rPr>
            </w:pPr>
            <w:r w:rsidRPr="009577DE">
              <w:rPr>
                <w:b/>
                <w:bCs/>
                <w:sz w:val="16"/>
                <w:szCs w:val="16"/>
                <w:lang w:val="es-ES_tradnl"/>
              </w:rPr>
              <w:t>Resultado previsto:</w:t>
            </w:r>
            <w:r w:rsidRPr="009577DE">
              <w:rPr>
                <w:b/>
                <w:bCs/>
                <w:sz w:val="16"/>
                <w:szCs w:val="16"/>
                <w:lang w:val="es-ES_tradnl"/>
              </w:rPr>
              <w:tab/>
            </w:r>
            <w:r w:rsidRPr="009577DE">
              <w:rPr>
                <w:bCs/>
                <w:sz w:val="16"/>
                <w:szCs w:val="16"/>
                <w:lang w:val="es-ES_tradnl"/>
              </w:rPr>
              <w:t xml:space="preserve"> Los costos relacionados con el nuevo edificio administrativo se mantienen al mínimo.</w:t>
            </w:r>
          </w:p>
        </w:tc>
      </w:tr>
      <w:tr w:rsidR="00B070BF" w:rsidRPr="009577DE" w:rsidTr="00C33D4A">
        <w:trPr>
          <w:cantSplit/>
        </w:trPr>
        <w:tc>
          <w:tcPr>
            <w:tcW w:w="904" w:type="pct"/>
            <w:tcBorders>
              <w:top w:val="single" w:sz="4" w:space="0" w:color="auto"/>
              <w:bottom w:val="nil"/>
            </w:tcBorders>
            <w:vAlign w:val="center"/>
          </w:tcPr>
          <w:p w:rsidR="00B070BF" w:rsidRPr="009577DE" w:rsidRDefault="00B070BF" w:rsidP="00C33D4A">
            <w:pPr>
              <w:widowControl w:val="0"/>
              <w:spacing w:after="120"/>
              <w:rPr>
                <w:sz w:val="16"/>
                <w:szCs w:val="16"/>
                <w:lang w:val="es-ES_tradnl"/>
              </w:rPr>
            </w:pPr>
            <w:r w:rsidRPr="009577DE">
              <w:rPr>
                <w:b/>
                <w:bCs/>
                <w:sz w:val="16"/>
                <w:szCs w:val="16"/>
                <w:lang w:val="es-ES_tradnl"/>
              </w:rPr>
              <w:t>Indicadores de rendimiento</w:t>
            </w:r>
          </w:p>
        </w:tc>
        <w:tc>
          <w:tcPr>
            <w:tcW w:w="832" w:type="pct"/>
            <w:tcBorders>
              <w:top w:val="single" w:sz="4" w:space="0" w:color="auto"/>
              <w:bottom w:val="nil"/>
            </w:tcBorders>
            <w:shd w:val="clear" w:color="auto" w:fill="C0C0C0"/>
          </w:tcPr>
          <w:p w:rsidR="00B070BF" w:rsidRPr="009577DE" w:rsidRDefault="00B070BF" w:rsidP="00C33D4A">
            <w:pPr>
              <w:widowControl w:val="0"/>
              <w:spacing w:after="120"/>
              <w:rPr>
                <w:b/>
                <w:bCs/>
                <w:sz w:val="16"/>
                <w:szCs w:val="16"/>
                <w:lang w:val="es-ES_tradnl"/>
              </w:rPr>
            </w:pPr>
            <w:r w:rsidRPr="009577DE">
              <w:rPr>
                <w:b/>
                <w:bCs/>
                <w:sz w:val="16"/>
                <w:szCs w:val="16"/>
                <w:lang w:val="es-ES_tradnl"/>
              </w:rPr>
              <w:t>Referencia (</w:t>
            </w:r>
            <w:proofErr w:type="spellStart"/>
            <w:r w:rsidRPr="009577DE">
              <w:rPr>
                <w:b/>
                <w:bCs/>
                <w:sz w:val="16"/>
                <w:szCs w:val="16"/>
                <w:lang w:val="es-ES_tradnl"/>
              </w:rPr>
              <w:t>Presup</w:t>
            </w:r>
            <w:proofErr w:type="spellEnd"/>
            <w:r w:rsidRPr="009577DE">
              <w:rPr>
                <w:b/>
                <w:bCs/>
                <w:sz w:val="16"/>
                <w:szCs w:val="16"/>
                <w:lang w:val="es-ES_tradnl"/>
              </w:rPr>
              <w:t xml:space="preserve">. por </w:t>
            </w:r>
            <w:proofErr w:type="spellStart"/>
            <w:r w:rsidRPr="009577DE">
              <w:rPr>
                <w:b/>
                <w:bCs/>
                <w:sz w:val="16"/>
                <w:szCs w:val="16"/>
                <w:lang w:val="es-ES_tradnl"/>
              </w:rPr>
              <w:t>prog</w:t>
            </w:r>
            <w:proofErr w:type="spellEnd"/>
            <w:r w:rsidRPr="009577DE">
              <w:rPr>
                <w:b/>
                <w:bCs/>
                <w:sz w:val="16"/>
                <w:szCs w:val="16"/>
                <w:lang w:val="es-ES_tradnl"/>
              </w:rPr>
              <w:t>. 2012/13)</w:t>
            </w:r>
          </w:p>
        </w:tc>
        <w:tc>
          <w:tcPr>
            <w:tcW w:w="946" w:type="pct"/>
            <w:tcBorders>
              <w:top w:val="single" w:sz="4" w:space="0" w:color="auto"/>
              <w:bottom w:val="nil"/>
            </w:tcBorders>
            <w:tcMar>
              <w:top w:w="110" w:type="dxa"/>
            </w:tcMar>
            <w:vAlign w:val="center"/>
          </w:tcPr>
          <w:p w:rsidR="00B070BF" w:rsidRPr="009577DE" w:rsidRDefault="00B070BF" w:rsidP="00C33D4A">
            <w:pPr>
              <w:widowControl w:val="0"/>
              <w:spacing w:after="120"/>
              <w:rPr>
                <w:b/>
                <w:sz w:val="16"/>
                <w:szCs w:val="16"/>
                <w:lang w:val="es-ES_tradnl"/>
              </w:rPr>
            </w:pPr>
            <w:r w:rsidRPr="00BF138D">
              <w:rPr>
                <w:b/>
                <w:color w:val="993300"/>
                <w:sz w:val="16"/>
                <w:szCs w:val="16"/>
                <w:lang w:val="es-ES_tradnl"/>
              </w:rPr>
              <w:t>Referencia actualizada a finales de 2011</w:t>
            </w:r>
            <w:r w:rsidRPr="009577DE">
              <w:rPr>
                <w:b/>
                <w:sz w:val="16"/>
                <w:szCs w:val="16"/>
                <w:lang w:val="es-ES_tradnl"/>
              </w:rPr>
              <w:t xml:space="preserve"> </w:t>
            </w:r>
          </w:p>
        </w:tc>
        <w:tc>
          <w:tcPr>
            <w:tcW w:w="1689" w:type="pct"/>
            <w:tcBorders>
              <w:top w:val="single" w:sz="4" w:space="0" w:color="auto"/>
              <w:bottom w:val="nil"/>
            </w:tcBorders>
            <w:shd w:val="clear" w:color="auto" w:fill="FFFFFF"/>
            <w:tcMar>
              <w:top w:w="110" w:type="dxa"/>
            </w:tcMar>
            <w:vAlign w:val="center"/>
          </w:tcPr>
          <w:p w:rsidR="00B070BF" w:rsidRPr="009577DE" w:rsidRDefault="00B070BF" w:rsidP="00C33D4A">
            <w:pPr>
              <w:widowControl w:val="0"/>
              <w:spacing w:after="120"/>
              <w:rPr>
                <w:sz w:val="16"/>
                <w:szCs w:val="16"/>
                <w:lang w:val="es-ES_tradnl"/>
              </w:rPr>
            </w:pPr>
            <w:r w:rsidRPr="009577DE">
              <w:rPr>
                <w:b/>
                <w:bCs/>
                <w:sz w:val="16"/>
                <w:szCs w:val="16"/>
                <w:lang w:val="es-ES_tradnl"/>
              </w:rPr>
              <w:t>Datos sobre el rendimiento</w:t>
            </w:r>
          </w:p>
        </w:tc>
        <w:tc>
          <w:tcPr>
            <w:tcW w:w="630" w:type="pct"/>
            <w:tcBorders>
              <w:top w:val="single" w:sz="4" w:space="0" w:color="auto"/>
              <w:bottom w:val="nil"/>
            </w:tcBorders>
            <w:tcMar>
              <w:top w:w="110" w:type="dxa"/>
            </w:tcMar>
            <w:vAlign w:val="center"/>
          </w:tcPr>
          <w:p w:rsidR="00B070BF" w:rsidRPr="009577DE" w:rsidRDefault="00B070BF" w:rsidP="00C33D4A">
            <w:pPr>
              <w:widowControl w:val="0"/>
              <w:spacing w:after="120"/>
              <w:jc w:val="center"/>
              <w:rPr>
                <w:b/>
                <w:bCs/>
                <w:sz w:val="16"/>
                <w:szCs w:val="16"/>
                <w:lang w:val="es-ES_tradnl"/>
              </w:rPr>
            </w:pPr>
            <w:r w:rsidRPr="009577DE">
              <w:rPr>
                <w:b/>
                <w:bCs/>
                <w:sz w:val="16"/>
                <w:szCs w:val="16"/>
                <w:lang w:val="es-ES_tradnl"/>
              </w:rPr>
              <w:t>Clave de colores</w:t>
            </w:r>
          </w:p>
        </w:tc>
      </w:tr>
      <w:tr w:rsidR="00B070BF" w:rsidRPr="009577DE" w:rsidTr="00C33D4A">
        <w:trPr>
          <w:cantSplit/>
        </w:trPr>
        <w:tc>
          <w:tcPr>
            <w:tcW w:w="904" w:type="pct"/>
            <w:tcBorders>
              <w:top w:val="nil"/>
              <w:bottom w:val="single" w:sz="4" w:space="0" w:color="auto"/>
            </w:tcBorders>
          </w:tcPr>
          <w:p w:rsidR="00B070BF" w:rsidRPr="009577DE" w:rsidRDefault="00B070BF" w:rsidP="00C33D4A">
            <w:pPr>
              <w:widowControl w:val="0"/>
              <w:rPr>
                <w:sz w:val="16"/>
                <w:szCs w:val="16"/>
                <w:lang w:val="es-ES_tradnl"/>
              </w:rPr>
            </w:pPr>
            <w:r w:rsidRPr="009577DE">
              <w:rPr>
                <w:sz w:val="16"/>
                <w:szCs w:val="16"/>
                <w:lang w:val="es-ES_tradnl"/>
              </w:rPr>
              <w:t>Utilización durante el período de garantía de la construcción de los fondos disponibles con arreglo a las provisiones y el presupuesto consolidado aprobado.</w:t>
            </w:r>
          </w:p>
          <w:p w:rsidR="00B070BF" w:rsidRPr="009577DE" w:rsidRDefault="00B070BF" w:rsidP="00C33D4A">
            <w:pPr>
              <w:widowControl w:val="0"/>
              <w:rPr>
                <w:sz w:val="16"/>
                <w:szCs w:val="16"/>
                <w:lang w:val="es-ES_tradnl"/>
              </w:rPr>
            </w:pPr>
          </w:p>
        </w:tc>
        <w:tc>
          <w:tcPr>
            <w:tcW w:w="832" w:type="pct"/>
            <w:tcBorders>
              <w:top w:val="nil"/>
              <w:bottom w:val="single" w:sz="4" w:space="0" w:color="auto"/>
            </w:tcBorders>
            <w:shd w:val="clear" w:color="auto" w:fill="C0C0C0"/>
          </w:tcPr>
          <w:p w:rsidR="00B070BF" w:rsidRPr="009577DE" w:rsidRDefault="00B070BF" w:rsidP="00C33D4A">
            <w:pPr>
              <w:widowControl w:val="0"/>
              <w:rPr>
                <w:sz w:val="16"/>
                <w:szCs w:val="16"/>
                <w:lang w:val="es-ES_tradnl"/>
              </w:rPr>
            </w:pPr>
            <w:proofErr w:type="spellStart"/>
            <w:r>
              <w:rPr>
                <w:sz w:val="16"/>
                <w:szCs w:val="16"/>
                <w:lang w:val="es-ES_tradnl"/>
              </w:rPr>
              <w:t>n.d</w:t>
            </w:r>
            <w:proofErr w:type="spellEnd"/>
            <w:r>
              <w:rPr>
                <w:sz w:val="16"/>
                <w:szCs w:val="16"/>
                <w:lang w:val="es-ES_tradnl"/>
              </w:rPr>
              <w:t>.</w:t>
            </w:r>
          </w:p>
        </w:tc>
        <w:tc>
          <w:tcPr>
            <w:tcW w:w="946" w:type="pct"/>
            <w:tcBorders>
              <w:top w:val="nil"/>
              <w:bottom w:val="single" w:sz="4" w:space="0" w:color="auto"/>
            </w:tcBorders>
            <w:tcMar>
              <w:top w:w="110" w:type="dxa"/>
            </w:tcMar>
          </w:tcPr>
          <w:p w:rsidR="00B070BF" w:rsidRPr="009577DE" w:rsidRDefault="00B070BF" w:rsidP="00C33D4A">
            <w:pPr>
              <w:widowControl w:val="0"/>
              <w:rPr>
                <w:i/>
                <w:sz w:val="16"/>
                <w:szCs w:val="16"/>
                <w:lang w:val="es-ES_tradnl"/>
              </w:rPr>
            </w:pPr>
          </w:p>
        </w:tc>
        <w:tc>
          <w:tcPr>
            <w:tcW w:w="1689" w:type="pct"/>
            <w:tcBorders>
              <w:top w:val="nil"/>
              <w:bottom w:val="single" w:sz="4" w:space="0" w:color="auto"/>
            </w:tcBorders>
            <w:shd w:val="clear" w:color="auto" w:fill="FFFFFF"/>
            <w:tcMar>
              <w:top w:w="110" w:type="dxa"/>
            </w:tcMar>
          </w:tcPr>
          <w:p w:rsidR="00B070BF" w:rsidRPr="009577DE" w:rsidRDefault="00B070BF" w:rsidP="00C33D4A">
            <w:pPr>
              <w:widowControl w:val="0"/>
              <w:rPr>
                <w:sz w:val="16"/>
                <w:szCs w:val="16"/>
                <w:lang w:val="es-ES_tradnl" w:bidi="th-TH"/>
              </w:rPr>
            </w:pPr>
            <w:r w:rsidRPr="009577DE">
              <w:rPr>
                <w:sz w:val="16"/>
                <w:szCs w:val="16"/>
                <w:lang w:val="es-ES_tradnl"/>
              </w:rPr>
              <w:t>A finales de 2012 los gastos seguían estando dentro de los límites presupuestarios.</w:t>
            </w:r>
          </w:p>
          <w:p w:rsidR="00B070BF" w:rsidRPr="009577DE" w:rsidRDefault="00B070BF" w:rsidP="00C33D4A">
            <w:pPr>
              <w:widowControl w:val="0"/>
              <w:rPr>
                <w:sz w:val="16"/>
                <w:szCs w:val="16"/>
                <w:lang w:val="es-ES_tradnl" w:bidi="th-TH"/>
              </w:rPr>
            </w:pPr>
          </w:p>
          <w:p w:rsidR="00B070BF" w:rsidRPr="009577DE" w:rsidRDefault="00B070BF" w:rsidP="00C33D4A">
            <w:pPr>
              <w:widowControl w:val="0"/>
              <w:rPr>
                <w:sz w:val="16"/>
                <w:szCs w:val="16"/>
                <w:lang w:val="es-ES_tradnl" w:bidi="th-TH"/>
              </w:rPr>
            </w:pPr>
          </w:p>
          <w:p w:rsidR="00B070BF" w:rsidRPr="009577DE" w:rsidRDefault="00B070BF" w:rsidP="00C33D4A">
            <w:pPr>
              <w:widowControl w:val="0"/>
              <w:rPr>
                <w:sz w:val="16"/>
                <w:szCs w:val="16"/>
                <w:lang w:val="es-ES_tradnl" w:bidi="th-TH"/>
              </w:rPr>
            </w:pPr>
          </w:p>
          <w:p w:rsidR="00B070BF" w:rsidRPr="009577DE" w:rsidRDefault="00B070BF" w:rsidP="00C33D4A">
            <w:pPr>
              <w:widowControl w:val="0"/>
              <w:rPr>
                <w:sz w:val="16"/>
                <w:szCs w:val="16"/>
                <w:lang w:val="es-ES_tradnl" w:bidi="th-TH"/>
              </w:rPr>
            </w:pPr>
          </w:p>
          <w:p w:rsidR="00B070BF" w:rsidRPr="009577DE" w:rsidRDefault="00B070BF" w:rsidP="00C33D4A">
            <w:pPr>
              <w:widowControl w:val="0"/>
              <w:rPr>
                <w:sz w:val="16"/>
                <w:szCs w:val="16"/>
                <w:lang w:val="es-ES_tradnl" w:bidi="th-TH"/>
              </w:rPr>
            </w:pPr>
          </w:p>
          <w:p w:rsidR="00B070BF" w:rsidRPr="009577DE" w:rsidRDefault="00B070BF" w:rsidP="00C33D4A">
            <w:pPr>
              <w:widowControl w:val="0"/>
              <w:rPr>
                <w:sz w:val="16"/>
                <w:szCs w:val="16"/>
                <w:lang w:val="es-ES_tradnl"/>
              </w:rPr>
            </w:pPr>
          </w:p>
        </w:tc>
        <w:tc>
          <w:tcPr>
            <w:tcW w:w="630" w:type="pct"/>
            <w:tcBorders>
              <w:top w:val="nil"/>
              <w:bottom w:val="single" w:sz="4" w:space="0" w:color="auto"/>
            </w:tcBorders>
            <w:tcMar>
              <w:top w:w="110" w:type="dxa"/>
            </w:tcMar>
          </w:tcPr>
          <w:p w:rsidR="00B070BF" w:rsidRPr="009577DE" w:rsidRDefault="00B070BF" w:rsidP="00C33D4A">
            <w:pPr>
              <w:widowControl w:val="0"/>
              <w:jc w:val="center"/>
              <w:rPr>
                <w:b/>
                <w:bCs/>
                <w:sz w:val="16"/>
                <w:szCs w:val="16"/>
                <w:lang w:val="es-ES_tradnl"/>
              </w:rPr>
            </w:pPr>
            <w:r w:rsidRPr="009577DE">
              <w:rPr>
                <w:b/>
                <w:bCs/>
                <w:color w:val="008000"/>
                <w:sz w:val="16"/>
                <w:szCs w:val="16"/>
                <w:lang w:val="es-ES_tradnl"/>
              </w:rPr>
              <w:t>Progresa con normalidad</w:t>
            </w:r>
          </w:p>
          <w:p w:rsidR="00B070BF" w:rsidRPr="009577DE" w:rsidRDefault="00B070BF" w:rsidP="00C33D4A">
            <w:pPr>
              <w:widowControl w:val="0"/>
              <w:jc w:val="center"/>
              <w:rPr>
                <w:bCs/>
                <w:sz w:val="16"/>
                <w:szCs w:val="16"/>
                <w:lang w:val="es-ES_tradnl"/>
              </w:rPr>
            </w:pPr>
          </w:p>
          <w:p w:rsidR="00B070BF" w:rsidRPr="009577DE" w:rsidRDefault="00B070BF" w:rsidP="00C33D4A">
            <w:pPr>
              <w:widowControl w:val="0"/>
              <w:jc w:val="center"/>
              <w:rPr>
                <w:bCs/>
                <w:sz w:val="16"/>
                <w:szCs w:val="16"/>
                <w:lang w:val="es-ES_tradnl"/>
              </w:rPr>
            </w:pPr>
          </w:p>
        </w:tc>
      </w:tr>
    </w:tbl>
    <w:p w:rsidR="00B070BF" w:rsidRPr="009577DE" w:rsidRDefault="00B070BF" w:rsidP="00B070BF">
      <w:pPr>
        <w:widowControl w:val="0"/>
        <w:rPr>
          <w:lang w:val="es-ES_tradnl"/>
        </w:rPr>
      </w:pPr>
    </w:p>
    <w:p w:rsidR="00B070BF" w:rsidRPr="009577DE" w:rsidRDefault="00B070BF" w:rsidP="00B070BF">
      <w:pPr>
        <w:widowControl w:val="0"/>
        <w:rPr>
          <w:sz w:val="20"/>
          <w:lang w:val="es-ES_tradnl"/>
        </w:rPr>
      </w:pPr>
    </w:p>
    <w:p w:rsidR="00B070BF" w:rsidRPr="009577DE" w:rsidRDefault="00B070BF" w:rsidP="00B070BF">
      <w:pPr>
        <w:widowControl w:val="0"/>
        <w:rPr>
          <w:sz w:val="20"/>
          <w:lang w:val="es-ES_tradnl"/>
        </w:rPr>
      </w:pPr>
      <w:r w:rsidRPr="009577DE">
        <w:rPr>
          <w:sz w:val="20"/>
          <w:lang w:val="es-ES_tradnl"/>
        </w:rPr>
        <w:t>PRESUPUESTO Y GASTOS REALES</w:t>
      </w:r>
    </w:p>
    <w:p w:rsidR="00B070BF" w:rsidRPr="00492EE7" w:rsidRDefault="00B070BF" w:rsidP="00B070BF">
      <w:pPr>
        <w:widowControl w:val="0"/>
        <w:rPr>
          <w:sz w:val="20"/>
          <w:lang w:val="es-ES_tradnl"/>
        </w:rPr>
      </w:pPr>
    </w:p>
    <w:p w:rsidR="00B070BF" w:rsidRPr="00492EE7" w:rsidRDefault="00B070BF" w:rsidP="00B070BF">
      <w:pPr>
        <w:widowControl w:val="0"/>
        <w:jc w:val="center"/>
        <w:rPr>
          <w:sz w:val="20"/>
          <w:lang w:val="es-ES_tradnl"/>
        </w:rPr>
      </w:pPr>
      <w:r w:rsidRPr="00492EE7">
        <w:rPr>
          <w:sz w:val="20"/>
          <w:lang w:val="es-ES_tradnl"/>
        </w:rPr>
        <w:t>Presupuesto y gastos reales (por resultado)</w:t>
      </w:r>
    </w:p>
    <w:p w:rsidR="00B070BF" w:rsidRPr="009577DE" w:rsidRDefault="00B070BF" w:rsidP="00B070BF">
      <w:pPr>
        <w:widowControl w:val="0"/>
        <w:jc w:val="center"/>
        <w:rPr>
          <w:sz w:val="20"/>
          <w:lang w:val="es-ES_tradnl"/>
        </w:rPr>
      </w:pPr>
      <w:r w:rsidRPr="00492EE7">
        <w:rPr>
          <w:i/>
          <w:iCs/>
          <w:sz w:val="20"/>
          <w:lang w:val="es-ES_tradnl"/>
        </w:rPr>
        <w:t>(en miles de francos suizos)</w:t>
      </w:r>
      <w:r w:rsidRPr="00492EE7">
        <w:rPr>
          <w:i/>
          <w:iCs/>
          <w:sz w:val="20"/>
          <w:lang w:val="es-ES_tradnl"/>
        </w:rPr>
        <w:br/>
      </w:r>
      <w:r w:rsidRPr="00492EE7">
        <w:rPr>
          <w:i/>
          <w:iCs/>
          <w:sz w:val="20"/>
          <w:lang w:val="es-ES_tradnl"/>
        </w:rPr>
        <w:br/>
      </w:r>
      <w:r w:rsidRPr="009577DE">
        <w:rPr>
          <w:noProof/>
          <w:lang w:val="en-US" w:eastAsia="en-US"/>
        </w:rPr>
        <w:drawing>
          <wp:inline distT="0" distB="0" distL="0" distR="0" wp14:anchorId="69DDEB3F" wp14:editId="0196AF93">
            <wp:extent cx="5902325" cy="1674495"/>
            <wp:effectExtent l="0" t="0" r="3175" b="1905"/>
            <wp:docPr id="256" name="Picture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5902325" cy="1674495"/>
                    </a:xfrm>
                    <a:prstGeom prst="rect">
                      <a:avLst/>
                    </a:prstGeom>
                    <a:noFill/>
                    <a:ln>
                      <a:noFill/>
                    </a:ln>
                  </pic:spPr>
                </pic:pic>
              </a:graphicData>
            </a:graphic>
          </wp:inline>
        </w:drawing>
      </w:r>
    </w:p>
    <w:p w:rsidR="00B070BF" w:rsidRPr="00492EE7" w:rsidRDefault="00B070BF" w:rsidP="00B070BF">
      <w:pPr>
        <w:widowControl w:val="0"/>
        <w:jc w:val="center"/>
        <w:rPr>
          <w:sz w:val="20"/>
          <w:lang w:val="es-ES_tradnl"/>
        </w:rPr>
      </w:pPr>
    </w:p>
    <w:p w:rsidR="00B070BF" w:rsidRPr="00492EE7" w:rsidRDefault="00B070BF" w:rsidP="00B070BF">
      <w:pPr>
        <w:widowControl w:val="0"/>
        <w:jc w:val="center"/>
        <w:rPr>
          <w:sz w:val="20"/>
          <w:lang w:val="es-ES_tradnl"/>
        </w:rPr>
      </w:pPr>
    </w:p>
    <w:p w:rsidR="00B070BF" w:rsidRPr="009577DE" w:rsidRDefault="00B070BF" w:rsidP="00B070BF">
      <w:pPr>
        <w:keepNext/>
        <w:keepLines/>
        <w:widowControl w:val="0"/>
        <w:jc w:val="center"/>
        <w:rPr>
          <w:sz w:val="20"/>
          <w:lang w:val="es-ES_tradnl"/>
        </w:rPr>
      </w:pPr>
      <w:r w:rsidRPr="00492EE7">
        <w:rPr>
          <w:sz w:val="20"/>
          <w:lang w:val="es-ES_tradnl"/>
        </w:rPr>
        <w:lastRenderedPageBreak/>
        <w:t>Presupuesto y gastos reales (de personal y no relativos al personal)</w:t>
      </w:r>
      <w:r w:rsidRPr="00492EE7">
        <w:rPr>
          <w:sz w:val="20"/>
          <w:lang w:val="es-ES_tradnl"/>
        </w:rPr>
        <w:br/>
      </w:r>
      <w:r w:rsidRPr="00492EE7">
        <w:rPr>
          <w:i/>
          <w:sz w:val="20"/>
          <w:lang w:val="es-ES_tradnl"/>
        </w:rPr>
        <w:t>(en miles de francos suizos)</w:t>
      </w:r>
      <w:r w:rsidRPr="00492EE7">
        <w:rPr>
          <w:sz w:val="20"/>
          <w:lang w:val="es-ES_tradnl"/>
        </w:rPr>
        <w:br/>
      </w:r>
      <w:r w:rsidRPr="00492EE7">
        <w:rPr>
          <w:sz w:val="20"/>
          <w:lang w:val="es-ES_tradnl"/>
        </w:rPr>
        <w:br/>
      </w:r>
      <w:r w:rsidRPr="009577DE">
        <w:rPr>
          <w:noProof/>
          <w:lang w:val="en-US" w:eastAsia="en-US"/>
        </w:rPr>
        <w:drawing>
          <wp:inline distT="0" distB="0" distL="0" distR="0" wp14:anchorId="0CDA4C28" wp14:editId="2DA86563">
            <wp:extent cx="5902325" cy="1187450"/>
            <wp:effectExtent l="0" t="0" r="3175" b="0"/>
            <wp:docPr id="255" name="Picture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5902325" cy="1187450"/>
                    </a:xfrm>
                    <a:prstGeom prst="rect">
                      <a:avLst/>
                    </a:prstGeom>
                    <a:noFill/>
                    <a:ln>
                      <a:noFill/>
                    </a:ln>
                  </pic:spPr>
                </pic:pic>
              </a:graphicData>
            </a:graphic>
          </wp:inline>
        </w:drawing>
      </w:r>
    </w:p>
    <w:p w:rsidR="00B070BF" w:rsidRPr="009577DE" w:rsidRDefault="00B070BF" w:rsidP="00B070BF">
      <w:pPr>
        <w:keepNext/>
        <w:keepLines/>
        <w:widowControl w:val="0"/>
        <w:tabs>
          <w:tab w:val="left" w:pos="709"/>
        </w:tabs>
        <w:jc w:val="both"/>
        <w:rPr>
          <w:sz w:val="20"/>
          <w:lang w:val="es-ES_tradnl"/>
        </w:rPr>
      </w:pPr>
    </w:p>
    <w:p w:rsidR="00B070BF" w:rsidRPr="009577DE" w:rsidRDefault="00B070BF" w:rsidP="00B070BF">
      <w:pPr>
        <w:widowControl w:val="0"/>
        <w:autoSpaceDE w:val="0"/>
        <w:autoSpaceDN w:val="0"/>
        <w:adjustRightInd w:val="0"/>
        <w:rPr>
          <w:sz w:val="16"/>
          <w:szCs w:val="16"/>
          <w:lang w:val="es-ES_tradnl"/>
        </w:rPr>
      </w:pPr>
      <w:r w:rsidRPr="007C3E0F">
        <w:rPr>
          <w:sz w:val="16"/>
          <w:szCs w:val="16"/>
          <w:lang w:val="es-ES_tradnl"/>
        </w:rPr>
        <w:t>NOTAS:</w:t>
      </w:r>
    </w:p>
    <w:p w:rsidR="00B070BF" w:rsidRPr="009577DE" w:rsidRDefault="00B070BF" w:rsidP="00B070BF">
      <w:pPr>
        <w:widowControl w:val="0"/>
        <w:autoSpaceDE w:val="0"/>
        <w:autoSpaceDN w:val="0"/>
        <w:adjustRightInd w:val="0"/>
        <w:rPr>
          <w:sz w:val="16"/>
          <w:szCs w:val="16"/>
          <w:lang w:val="es-ES_tradnl"/>
        </w:rPr>
      </w:pPr>
    </w:p>
    <w:p w:rsidR="00B070BF" w:rsidRPr="009577DE" w:rsidRDefault="00B070BF" w:rsidP="00B070BF">
      <w:pPr>
        <w:widowControl w:val="0"/>
        <w:autoSpaceDE w:val="0"/>
        <w:autoSpaceDN w:val="0"/>
        <w:adjustRightInd w:val="0"/>
        <w:rPr>
          <w:sz w:val="16"/>
          <w:szCs w:val="16"/>
          <w:lang w:val="es-ES_tradnl"/>
        </w:rPr>
      </w:pPr>
      <w:r w:rsidRPr="009577DE">
        <w:rPr>
          <w:sz w:val="16"/>
          <w:szCs w:val="16"/>
          <w:lang w:val="es-ES_tradnl"/>
        </w:rPr>
        <w:t>1) El presupuesto después de las transferencias refleja el presupuesto de los programas ajustado después de las transferencias efectuadas en 2012/13 en virtud del artículo 5.5 del Reglamento Financiero.</w:t>
      </w:r>
    </w:p>
    <w:p w:rsidR="00B070BF" w:rsidRPr="009577DE" w:rsidRDefault="00B070BF" w:rsidP="00B070BF">
      <w:pPr>
        <w:widowControl w:val="0"/>
        <w:autoSpaceDE w:val="0"/>
        <w:autoSpaceDN w:val="0"/>
        <w:adjustRightInd w:val="0"/>
        <w:rPr>
          <w:sz w:val="16"/>
          <w:szCs w:val="16"/>
          <w:lang w:val="es-ES_tradnl"/>
        </w:rPr>
      </w:pPr>
    </w:p>
    <w:p w:rsidR="00B070BF" w:rsidRPr="009577DE" w:rsidRDefault="00B070BF" w:rsidP="00B070BF">
      <w:pPr>
        <w:widowControl w:val="0"/>
        <w:autoSpaceDE w:val="0"/>
        <w:autoSpaceDN w:val="0"/>
        <w:adjustRightInd w:val="0"/>
        <w:rPr>
          <w:sz w:val="16"/>
          <w:szCs w:val="16"/>
          <w:lang w:val="es-ES_tradnl"/>
        </w:rPr>
      </w:pPr>
      <w:r w:rsidRPr="009577DE">
        <w:rPr>
          <w:sz w:val="16"/>
          <w:szCs w:val="16"/>
          <w:lang w:val="es-ES_tradnl"/>
        </w:rPr>
        <w:t xml:space="preserve">2) La asignación para el personal del presupuesto de 2012/13 después de las transferencias representa los gastos reales efectuados hasta el 31 de marzo de 2013 y los importes presupuestados para los nueve meses restantes de 2013, sobre la base de costos estándar. </w:t>
      </w:r>
    </w:p>
    <w:p w:rsidR="00B070BF" w:rsidRPr="009577DE" w:rsidRDefault="00B070BF" w:rsidP="00B070BF">
      <w:pPr>
        <w:widowControl w:val="0"/>
        <w:autoSpaceDE w:val="0"/>
        <w:autoSpaceDN w:val="0"/>
        <w:adjustRightInd w:val="0"/>
        <w:rPr>
          <w:sz w:val="16"/>
          <w:szCs w:val="16"/>
          <w:lang w:val="es-ES_tradnl"/>
        </w:rPr>
      </w:pPr>
    </w:p>
    <w:p w:rsidR="00B070BF" w:rsidRPr="009577DE" w:rsidRDefault="00B070BF" w:rsidP="00B070BF">
      <w:pPr>
        <w:widowControl w:val="0"/>
        <w:autoSpaceDE w:val="0"/>
        <w:autoSpaceDN w:val="0"/>
        <w:adjustRightInd w:val="0"/>
        <w:rPr>
          <w:sz w:val="16"/>
          <w:szCs w:val="16"/>
          <w:lang w:val="es-ES_tradnl"/>
        </w:rPr>
      </w:pPr>
      <w:r w:rsidRPr="009577DE">
        <w:rPr>
          <w:sz w:val="16"/>
          <w:szCs w:val="16"/>
          <w:lang w:val="es-ES_tradnl"/>
        </w:rPr>
        <w:t>3) La asignación no relativa al personal del presupuesto de 2012/13 después de las transferencias refleja los ajustes a la baja efectuados para aumentar la eficacia en función de los costos, de conformidad con el compromiso de la Organización de reducir gastos por un importe de 10,2 millones de francos suizos en el bienio 2012/13.</w:t>
      </w:r>
    </w:p>
    <w:p w:rsidR="00B070BF" w:rsidRPr="009577DE" w:rsidRDefault="00B070BF" w:rsidP="00B070BF">
      <w:pPr>
        <w:widowControl w:val="0"/>
        <w:rPr>
          <w:sz w:val="20"/>
          <w:lang w:val="es-ES_tradnl"/>
        </w:rPr>
      </w:pPr>
    </w:p>
    <w:p w:rsidR="00B070BF" w:rsidRPr="009577DE" w:rsidRDefault="00B070BF" w:rsidP="00B070BF">
      <w:pPr>
        <w:widowControl w:val="0"/>
        <w:tabs>
          <w:tab w:val="left" w:pos="709"/>
        </w:tabs>
        <w:jc w:val="both"/>
        <w:rPr>
          <w:sz w:val="20"/>
          <w:lang w:val="es-ES_tradnl"/>
        </w:rPr>
      </w:pPr>
    </w:p>
    <w:p w:rsidR="00B070BF" w:rsidRPr="009577DE" w:rsidRDefault="00B070BF" w:rsidP="00B070BF">
      <w:pPr>
        <w:widowControl w:val="0"/>
        <w:rPr>
          <w:rFonts w:eastAsia="Times New Roman"/>
          <w:sz w:val="20"/>
          <w:u w:val="single"/>
          <w:lang w:val="es-ES_tradnl" w:eastAsia="en-US"/>
        </w:rPr>
      </w:pPr>
      <w:r>
        <w:rPr>
          <w:rFonts w:eastAsia="Times New Roman"/>
          <w:sz w:val="20"/>
          <w:lang w:val="es-ES_tradnl" w:eastAsia="en-US"/>
        </w:rPr>
        <w:t xml:space="preserve">A.  </w:t>
      </w:r>
      <w:r w:rsidRPr="009577DE">
        <w:rPr>
          <w:rFonts w:eastAsia="Times New Roman"/>
          <w:sz w:val="20"/>
          <w:u w:val="single"/>
          <w:lang w:val="es-ES_tradnl" w:eastAsia="en-US"/>
        </w:rPr>
        <w:t xml:space="preserve">Presupuesto </w:t>
      </w:r>
      <w:r>
        <w:rPr>
          <w:rFonts w:eastAsia="Times New Roman"/>
          <w:sz w:val="20"/>
          <w:u w:val="single"/>
          <w:lang w:val="es-ES_tradnl" w:eastAsia="en-US"/>
        </w:rPr>
        <w:t>2012/13</w:t>
      </w:r>
      <w:r w:rsidRPr="009577DE">
        <w:rPr>
          <w:rFonts w:eastAsia="Times New Roman"/>
          <w:sz w:val="20"/>
          <w:u w:val="single"/>
          <w:lang w:val="es-ES_tradnl" w:eastAsia="en-US"/>
        </w:rPr>
        <w:t xml:space="preserve"> después de las transferencias</w:t>
      </w:r>
    </w:p>
    <w:p w:rsidR="00B070BF" w:rsidRPr="009577DE" w:rsidRDefault="00B070BF" w:rsidP="00B070BF">
      <w:pPr>
        <w:widowControl w:val="0"/>
        <w:rPr>
          <w:rFonts w:eastAsia="Times New Roman"/>
          <w:sz w:val="20"/>
          <w:u w:val="single"/>
          <w:lang w:val="es-ES_tradnl" w:eastAsia="en-US"/>
        </w:rPr>
      </w:pPr>
    </w:p>
    <w:p w:rsidR="00B070BF" w:rsidRPr="009577DE" w:rsidRDefault="00B070BF" w:rsidP="00B070BF">
      <w:pPr>
        <w:widowControl w:val="0"/>
        <w:numPr>
          <w:ilvl w:val="0"/>
          <w:numId w:val="54"/>
        </w:numPr>
        <w:tabs>
          <w:tab w:val="left" w:pos="709"/>
        </w:tabs>
        <w:ind w:left="0" w:firstLine="0"/>
        <w:jc w:val="both"/>
        <w:rPr>
          <w:rFonts w:eastAsia="Times New Roman"/>
          <w:sz w:val="20"/>
          <w:lang w:val="es-ES_tradnl" w:eastAsia="en-US"/>
        </w:rPr>
      </w:pPr>
      <w:r w:rsidRPr="009577DE">
        <w:rPr>
          <w:rFonts w:eastAsia="Times New Roman"/>
          <w:sz w:val="20"/>
          <w:lang w:val="es-ES_tradnl" w:eastAsia="en-US"/>
        </w:rPr>
        <w:t>El presupuesto de 2012/13 después de las transferencias refleja los ajustes que se detallan en las notas precedentes.</w:t>
      </w:r>
    </w:p>
    <w:p w:rsidR="00B070BF" w:rsidRPr="009577DE" w:rsidRDefault="00B070BF" w:rsidP="00B070BF">
      <w:pPr>
        <w:widowControl w:val="0"/>
        <w:jc w:val="both"/>
        <w:rPr>
          <w:rFonts w:eastAsia="Batang"/>
          <w:sz w:val="20"/>
          <w:lang w:val="es-ES_tradnl" w:eastAsia="ko-KR"/>
        </w:rPr>
      </w:pPr>
    </w:p>
    <w:p w:rsidR="00B070BF" w:rsidRPr="009577DE" w:rsidRDefault="00B070BF" w:rsidP="00B070BF">
      <w:pPr>
        <w:widowControl w:val="0"/>
        <w:jc w:val="both"/>
        <w:rPr>
          <w:rFonts w:eastAsia="Batang"/>
          <w:sz w:val="20"/>
          <w:u w:val="single"/>
          <w:lang w:val="es-ES_tradnl" w:eastAsia="ko-KR"/>
        </w:rPr>
      </w:pPr>
      <w:r w:rsidRPr="009577DE">
        <w:rPr>
          <w:rFonts w:eastAsia="Batang"/>
          <w:sz w:val="20"/>
          <w:lang w:val="es-ES_tradnl" w:eastAsia="ko-KR"/>
        </w:rPr>
        <w:t>B.</w:t>
      </w:r>
      <w:r>
        <w:rPr>
          <w:rFonts w:eastAsia="Batang"/>
          <w:sz w:val="20"/>
          <w:lang w:val="es-ES_tradnl" w:eastAsia="ko-KR"/>
        </w:rPr>
        <w:t xml:space="preserve"> </w:t>
      </w:r>
      <w:r w:rsidRPr="009577DE">
        <w:rPr>
          <w:rFonts w:eastAsia="Batang"/>
          <w:sz w:val="20"/>
          <w:lang w:val="es-ES_tradnl" w:eastAsia="ko-KR"/>
        </w:rPr>
        <w:t xml:space="preserve"> </w:t>
      </w:r>
      <w:r w:rsidRPr="009577DE">
        <w:rPr>
          <w:rFonts w:eastAsia="Batang"/>
          <w:sz w:val="20"/>
          <w:u w:val="single"/>
          <w:lang w:val="es-ES_tradnl" w:eastAsia="ko-KR"/>
        </w:rPr>
        <w:t>Utilización del presupuesto 2012</w:t>
      </w:r>
    </w:p>
    <w:p w:rsidR="00B070BF" w:rsidRPr="009577DE" w:rsidRDefault="00B070BF" w:rsidP="00B070BF">
      <w:pPr>
        <w:widowControl w:val="0"/>
        <w:rPr>
          <w:rFonts w:eastAsia="Times New Roman"/>
          <w:b/>
          <w:bCs/>
          <w:sz w:val="20"/>
          <w:lang w:val="es-ES_tradnl" w:eastAsia="en-US"/>
        </w:rPr>
      </w:pPr>
    </w:p>
    <w:p w:rsidR="00B070BF" w:rsidRPr="009577DE" w:rsidRDefault="00B070BF" w:rsidP="00B070BF">
      <w:pPr>
        <w:widowControl w:val="0"/>
        <w:numPr>
          <w:ilvl w:val="0"/>
          <w:numId w:val="54"/>
        </w:numPr>
        <w:tabs>
          <w:tab w:val="left" w:pos="709"/>
        </w:tabs>
        <w:ind w:left="0" w:firstLine="0"/>
        <w:jc w:val="both"/>
        <w:rPr>
          <w:rFonts w:eastAsia="Times New Roman"/>
          <w:sz w:val="20"/>
          <w:lang w:val="es-ES_tradnl" w:eastAsia="en-US"/>
        </w:rPr>
      </w:pPr>
      <w:r w:rsidRPr="009577DE">
        <w:rPr>
          <w:rFonts w:eastAsia="Batang"/>
          <w:sz w:val="20"/>
          <w:lang w:val="es-ES_tradnl" w:eastAsia="ko-KR"/>
        </w:rPr>
        <w:t>La utilización del presupuesto se mantiene entre el 40% y el 60% en el primer año del bienio y progresa con normalidad.</w:t>
      </w:r>
    </w:p>
    <w:p w:rsidR="00B070BF" w:rsidRPr="00492EE7" w:rsidRDefault="00B070BF" w:rsidP="00B070BF">
      <w:pPr>
        <w:widowControl w:val="0"/>
        <w:tabs>
          <w:tab w:val="left" w:pos="709"/>
        </w:tabs>
        <w:jc w:val="both"/>
        <w:rPr>
          <w:sz w:val="20"/>
          <w:lang w:val="es-ES_tradnl"/>
        </w:rPr>
      </w:pPr>
    </w:p>
    <w:p w:rsidR="00B070BF" w:rsidRPr="00492EE7" w:rsidRDefault="00B070BF" w:rsidP="00B070BF">
      <w:pPr>
        <w:widowControl w:val="0"/>
        <w:rPr>
          <w:sz w:val="20"/>
          <w:lang w:val="es-ES_tradnl"/>
        </w:rPr>
      </w:pPr>
    </w:p>
    <w:p w:rsidR="00B070BF" w:rsidRPr="00492EE7" w:rsidRDefault="00B070BF" w:rsidP="00B070BF">
      <w:pPr>
        <w:pStyle w:val="Endofdocument-Annex"/>
        <w:rPr>
          <w:sz w:val="20"/>
          <w:lang w:val="es-ES_tradnl"/>
        </w:rPr>
      </w:pPr>
      <w:r w:rsidRPr="00492EE7">
        <w:rPr>
          <w:sz w:val="20"/>
          <w:lang w:val="es-ES_tradnl"/>
        </w:rPr>
        <w:t>[Sigue el Apéndice]</w:t>
      </w:r>
    </w:p>
    <w:p w:rsidR="00B070BF" w:rsidRPr="009577DE" w:rsidRDefault="00B070BF" w:rsidP="00B070BF">
      <w:pPr>
        <w:widowControl w:val="0"/>
        <w:spacing w:before="240" w:after="60"/>
        <w:outlineLvl w:val="0"/>
        <w:rPr>
          <w:b/>
          <w:bCs/>
          <w:caps/>
          <w:kern w:val="32"/>
          <w:sz w:val="20"/>
          <w:szCs w:val="32"/>
        </w:rPr>
      </w:pPr>
    </w:p>
    <w:p w:rsidR="00B070BF" w:rsidRPr="009577DE" w:rsidRDefault="00B070BF" w:rsidP="00B070BF">
      <w:pPr>
        <w:widowControl w:val="0"/>
        <w:tabs>
          <w:tab w:val="left" w:pos="5387"/>
        </w:tabs>
        <w:rPr>
          <w:sz w:val="20"/>
        </w:rPr>
      </w:pPr>
    </w:p>
    <w:p w:rsidR="00B070BF" w:rsidRPr="009577DE" w:rsidRDefault="00B070BF" w:rsidP="00B070BF">
      <w:pPr>
        <w:widowControl w:val="0"/>
        <w:sectPr w:rsidR="00B070BF" w:rsidRPr="009577DE" w:rsidSect="009B014E">
          <w:headerReference w:type="default" r:id="rId100"/>
          <w:footerReference w:type="first" r:id="rId101"/>
          <w:pgSz w:w="11907" w:h="16840" w:code="9"/>
          <w:pgMar w:top="567" w:right="1134" w:bottom="1418" w:left="1418" w:header="510" w:footer="1021" w:gutter="0"/>
          <w:pgNumType w:start="1"/>
          <w:cols w:space="720"/>
          <w:titlePg/>
          <w:docGrid w:linePitch="299"/>
        </w:sectPr>
      </w:pPr>
    </w:p>
    <w:p w:rsidR="00B070BF" w:rsidRPr="0043556C" w:rsidRDefault="00B070BF" w:rsidP="00B070BF">
      <w:pPr>
        <w:pStyle w:val="Heading2"/>
        <w:jc w:val="center"/>
        <w:rPr>
          <w:b/>
          <w:lang w:val="es-ES_tradnl"/>
        </w:rPr>
      </w:pPr>
      <w:bookmarkStart w:id="72" w:name="_Toc358366950"/>
      <w:bookmarkStart w:id="73" w:name="_Toc359949340"/>
      <w:r w:rsidRPr="0043556C">
        <w:rPr>
          <w:b/>
          <w:lang w:val="es-ES_tradnl"/>
        </w:rPr>
        <w:lastRenderedPageBreak/>
        <w:t>APÉNDICE</w:t>
      </w:r>
      <w:r w:rsidRPr="0043556C">
        <w:rPr>
          <w:b/>
          <w:lang w:val="es-ES_tradnl"/>
        </w:rPr>
        <w:br/>
      </w:r>
      <w:r w:rsidRPr="0043556C">
        <w:rPr>
          <w:b/>
          <w:lang w:val="es-ES_tradnl"/>
        </w:rPr>
        <w:br/>
        <w:t>ACTIVIDADES REALIZADAS CON CARGO A LOS FONDOS FIDUCIARIOS EN 2012</w:t>
      </w:r>
      <w:bookmarkEnd w:id="72"/>
      <w:bookmarkEnd w:id="73"/>
    </w:p>
    <w:p w:rsidR="00B070BF" w:rsidRPr="009577DE" w:rsidRDefault="00B070BF" w:rsidP="00B070BF">
      <w:pPr>
        <w:widowControl w:val="0"/>
        <w:jc w:val="center"/>
        <w:rPr>
          <w:sz w:val="20"/>
          <w:lang w:val="es-ES_tradnl"/>
        </w:rPr>
      </w:pPr>
    </w:p>
    <w:p w:rsidR="00B070BF" w:rsidRPr="009577DE" w:rsidRDefault="00B070BF" w:rsidP="00B070BF">
      <w:pPr>
        <w:widowControl w:val="0"/>
        <w:jc w:val="both"/>
        <w:rPr>
          <w:sz w:val="20"/>
          <w:lang w:val="es-ES_tradnl"/>
        </w:rPr>
      </w:pPr>
      <w:r w:rsidRPr="009577DE">
        <w:rPr>
          <w:sz w:val="20"/>
          <w:lang w:val="es-ES_tradnl"/>
        </w:rPr>
        <w:t>Como parte de los esfuerzos realizados por la Organización para mejorar la integración de todas sus actividades en un mismo marco de gestión por resultados, indistintamente de las fuentes de procedencia de los fondos, el presente Apéndice proporciona un panorama general sobre las actividades llevadas a cabo con cargo a los fondos fiduciarios de la OMPI.  Al mismo tiempo, este informe responde a la petición realizada por los donantes en relación con la elaboración de un informe más completo sobre todos los fondos fiduciarios, que incluya tanto datos programáticos como financieros.  Con vistas a agilizar la presentación de información, el presente informe sobre fondos fiduciarios forma parte del Informe sobre el rendimiento de los programas, y en él se expone un panorama anual de las actividades realizadas en 2012.  El próximo informe anual sobre los fondos fiduciarios se incluirá en el Informe PPR bienal de 2012/13.  En este Apéndice se informa sobre los fondos fiduciarios enumerados en el siguiente cuadro y se excluyen los fondos fiduciarios para funcionarios subalternos del cuadro orgánico.</w:t>
      </w:r>
    </w:p>
    <w:p w:rsidR="00B070BF" w:rsidRPr="009577DE" w:rsidRDefault="00B070BF" w:rsidP="00B070BF">
      <w:pPr>
        <w:widowControl w:val="0"/>
        <w:jc w:val="both"/>
        <w:rPr>
          <w:sz w:val="20"/>
          <w:lang w:val="es-ES_tradnl"/>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068"/>
        <w:gridCol w:w="5220"/>
      </w:tblGrid>
      <w:tr w:rsidR="00B070BF" w:rsidRPr="009577DE" w:rsidTr="00C33D4A">
        <w:trPr>
          <w:trHeight w:val="293"/>
        </w:trPr>
        <w:tc>
          <w:tcPr>
            <w:tcW w:w="4068" w:type="dxa"/>
            <w:shd w:val="clear" w:color="auto" w:fill="CCFFFF"/>
            <w:tcMar>
              <w:top w:w="57" w:type="dxa"/>
              <w:left w:w="57" w:type="dxa"/>
              <w:bottom w:w="57" w:type="dxa"/>
              <w:right w:w="57" w:type="dxa"/>
            </w:tcMar>
          </w:tcPr>
          <w:p w:rsidR="00B070BF" w:rsidRPr="009577DE" w:rsidRDefault="00B070BF" w:rsidP="00C33D4A">
            <w:pPr>
              <w:widowControl w:val="0"/>
              <w:jc w:val="center"/>
              <w:rPr>
                <w:b/>
                <w:bCs/>
                <w:sz w:val="18"/>
                <w:szCs w:val="18"/>
                <w:lang w:val="es-ES_tradnl"/>
              </w:rPr>
            </w:pPr>
            <w:r w:rsidRPr="009577DE">
              <w:rPr>
                <w:b/>
                <w:bCs/>
                <w:sz w:val="18"/>
                <w:szCs w:val="18"/>
                <w:lang w:val="es-ES_tradnl"/>
              </w:rPr>
              <w:t>FONDO FIDUCIARIO</w:t>
            </w:r>
          </w:p>
        </w:tc>
        <w:tc>
          <w:tcPr>
            <w:tcW w:w="5220" w:type="dxa"/>
            <w:shd w:val="clear" w:color="auto" w:fill="CCFFFF"/>
            <w:tcMar>
              <w:top w:w="57" w:type="dxa"/>
              <w:left w:w="57" w:type="dxa"/>
              <w:bottom w:w="57" w:type="dxa"/>
              <w:right w:w="57" w:type="dxa"/>
            </w:tcMar>
          </w:tcPr>
          <w:p w:rsidR="00B070BF" w:rsidRPr="009577DE" w:rsidRDefault="00B070BF" w:rsidP="00C33D4A">
            <w:pPr>
              <w:widowControl w:val="0"/>
              <w:jc w:val="center"/>
              <w:rPr>
                <w:b/>
                <w:bCs/>
                <w:sz w:val="18"/>
                <w:szCs w:val="18"/>
                <w:lang w:val="es-ES_tradnl"/>
              </w:rPr>
            </w:pPr>
            <w:r w:rsidRPr="009577DE">
              <w:rPr>
                <w:b/>
                <w:bCs/>
                <w:sz w:val="18"/>
                <w:szCs w:val="18"/>
                <w:lang w:val="es-ES_tradnl"/>
              </w:rPr>
              <w:t>SECTOR DE APLICACIÓN</w:t>
            </w:r>
          </w:p>
        </w:tc>
      </w:tr>
      <w:tr w:rsidR="00B070BF" w:rsidRPr="009577DE" w:rsidTr="00C33D4A">
        <w:tc>
          <w:tcPr>
            <w:tcW w:w="4068" w:type="dxa"/>
            <w:tcMar>
              <w:top w:w="57" w:type="dxa"/>
              <w:left w:w="57" w:type="dxa"/>
              <w:bottom w:w="57" w:type="dxa"/>
              <w:right w:w="57" w:type="dxa"/>
            </w:tcMar>
          </w:tcPr>
          <w:p w:rsidR="00B070BF" w:rsidRPr="009577DE" w:rsidRDefault="00B070BF" w:rsidP="00C33D4A">
            <w:pPr>
              <w:widowControl w:val="0"/>
              <w:rPr>
                <w:sz w:val="18"/>
                <w:szCs w:val="18"/>
                <w:lang w:val="es-ES_tradnl"/>
              </w:rPr>
            </w:pPr>
            <w:r w:rsidRPr="009577DE">
              <w:rPr>
                <w:sz w:val="18"/>
                <w:szCs w:val="18"/>
                <w:lang w:val="es-ES_tradnl"/>
              </w:rPr>
              <w:t>Australia</w:t>
            </w:r>
          </w:p>
        </w:tc>
        <w:tc>
          <w:tcPr>
            <w:tcW w:w="5220" w:type="dxa"/>
            <w:tcMar>
              <w:top w:w="57" w:type="dxa"/>
              <w:left w:w="57" w:type="dxa"/>
              <w:bottom w:w="57" w:type="dxa"/>
              <w:right w:w="57" w:type="dxa"/>
            </w:tcMar>
          </w:tcPr>
          <w:p w:rsidR="00B070BF" w:rsidRPr="009577DE" w:rsidRDefault="00B070BF" w:rsidP="00C33D4A">
            <w:pPr>
              <w:widowControl w:val="0"/>
              <w:rPr>
                <w:sz w:val="18"/>
                <w:szCs w:val="18"/>
                <w:lang w:val="es-ES_tradnl"/>
              </w:rPr>
            </w:pPr>
            <w:r w:rsidRPr="009577DE">
              <w:rPr>
                <w:sz w:val="18"/>
                <w:szCs w:val="18"/>
                <w:lang w:val="es-ES_tradnl"/>
              </w:rPr>
              <w:t>Oficina del Director General</w:t>
            </w:r>
          </w:p>
        </w:tc>
      </w:tr>
      <w:tr w:rsidR="00B070BF" w:rsidRPr="009577DE" w:rsidTr="00C33D4A">
        <w:tc>
          <w:tcPr>
            <w:tcW w:w="4068" w:type="dxa"/>
            <w:tcMar>
              <w:top w:w="57" w:type="dxa"/>
              <w:left w:w="57" w:type="dxa"/>
              <w:bottom w:w="57" w:type="dxa"/>
              <w:right w:w="57" w:type="dxa"/>
            </w:tcMar>
          </w:tcPr>
          <w:p w:rsidR="00B070BF" w:rsidRPr="009577DE" w:rsidRDefault="00B070BF" w:rsidP="00C33D4A">
            <w:pPr>
              <w:widowControl w:val="0"/>
              <w:rPr>
                <w:sz w:val="18"/>
                <w:szCs w:val="18"/>
                <w:lang w:val="es-ES_tradnl"/>
              </w:rPr>
            </w:pPr>
            <w:r w:rsidRPr="009577DE">
              <w:rPr>
                <w:sz w:val="18"/>
                <w:szCs w:val="18"/>
                <w:lang w:val="es-ES_tradnl"/>
              </w:rPr>
              <w:t>Brasil</w:t>
            </w:r>
          </w:p>
        </w:tc>
        <w:tc>
          <w:tcPr>
            <w:tcW w:w="5220" w:type="dxa"/>
            <w:tcMar>
              <w:top w:w="57" w:type="dxa"/>
              <w:left w:w="57" w:type="dxa"/>
              <w:bottom w:w="57" w:type="dxa"/>
              <w:right w:w="57" w:type="dxa"/>
            </w:tcMar>
          </w:tcPr>
          <w:p w:rsidR="00B070BF" w:rsidRPr="009577DE" w:rsidRDefault="00B070BF" w:rsidP="00C33D4A">
            <w:pPr>
              <w:widowControl w:val="0"/>
              <w:rPr>
                <w:sz w:val="18"/>
                <w:szCs w:val="18"/>
                <w:lang w:val="es-ES_tradnl"/>
              </w:rPr>
            </w:pPr>
            <w:r w:rsidRPr="009577DE">
              <w:rPr>
                <w:sz w:val="18"/>
                <w:szCs w:val="18"/>
                <w:lang w:val="es-ES_tradnl"/>
              </w:rPr>
              <w:t>Sector de la Infraestructura Mundial</w:t>
            </w:r>
          </w:p>
        </w:tc>
      </w:tr>
      <w:tr w:rsidR="00B070BF" w:rsidRPr="009577DE" w:rsidTr="00C33D4A">
        <w:tc>
          <w:tcPr>
            <w:tcW w:w="4068" w:type="dxa"/>
            <w:tcMar>
              <w:top w:w="57" w:type="dxa"/>
              <w:left w:w="57" w:type="dxa"/>
              <w:bottom w:w="57" w:type="dxa"/>
              <w:right w:w="57" w:type="dxa"/>
            </w:tcMar>
            <w:vAlign w:val="center"/>
          </w:tcPr>
          <w:p w:rsidR="00B070BF" w:rsidRPr="009577DE" w:rsidRDefault="00B070BF" w:rsidP="00C33D4A">
            <w:pPr>
              <w:widowControl w:val="0"/>
              <w:rPr>
                <w:sz w:val="18"/>
                <w:szCs w:val="18"/>
                <w:lang w:val="es-ES_tradnl"/>
              </w:rPr>
            </w:pPr>
            <w:r w:rsidRPr="009577DE">
              <w:rPr>
                <w:sz w:val="18"/>
                <w:szCs w:val="18"/>
                <w:lang w:val="es-ES_tradnl"/>
              </w:rPr>
              <w:t>UE/Pakistán</w:t>
            </w:r>
          </w:p>
        </w:tc>
        <w:tc>
          <w:tcPr>
            <w:tcW w:w="5220" w:type="dxa"/>
            <w:tcMar>
              <w:top w:w="57" w:type="dxa"/>
              <w:left w:w="57" w:type="dxa"/>
              <w:bottom w:w="57" w:type="dxa"/>
              <w:right w:w="57" w:type="dxa"/>
            </w:tcMar>
            <w:vAlign w:val="center"/>
          </w:tcPr>
          <w:p w:rsidR="00B070BF" w:rsidRPr="009577DE" w:rsidRDefault="00B070BF" w:rsidP="00C33D4A">
            <w:pPr>
              <w:widowControl w:val="0"/>
              <w:rPr>
                <w:sz w:val="18"/>
                <w:szCs w:val="18"/>
                <w:lang w:val="es-ES_tradnl"/>
              </w:rPr>
            </w:pPr>
            <w:r w:rsidRPr="009577DE">
              <w:rPr>
                <w:sz w:val="18"/>
                <w:szCs w:val="18"/>
                <w:lang w:val="es-ES_tradnl"/>
              </w:rPr>
              <w:t>Sector de Desarrollo</w:t>
            </w:r>
          </w:p>
        </w:tc>
      </w:tr>
      <w:tr w:rsidR="00B070BF" w:rsidRPr="009577DE" w:rsidTr="00C33D4A">
        <w:tc>
          <w:tcPr>
            <w:tcW w:w="4068" w:type="dxa"/>
            <w:tcMar>
              <w:top w:w="57" w:type="dxa"/>
              <w:left w:w="57" w:type="dxa"/>
              <w:bottom w:w="57" w:type="dxa"/>
              <w:right w:w="57" w:type="dxa"/>
            </w:tcMar>
          </w:tcPr>
          <w:p w:rsidR="00B070BF" w:rsidRPr="009577DE" w:rsidRDefault="00B070BF" w:rsidP="00C33D4A">
            <w:pPr>
              <w:widowControl w:val="0"/>
              <w:rPr>
                <w:sz w:val="18"/>
                <w:szCs w:val="18"/>
                <w:lang w:val="es-ES_tradnl"/>
              </w:rPr>
            </w:pPr>
            <w:r w:rsidRPr="009577DE">
              <w:rPr>
                <w:sz w:val="18"/>
                <w:szCs w:val="18"/>
                <w:lang w:val="es-ES_tradnl"/>
              </w:rPr>
              <w:t>Finlandia – Derecho de autor I</w:t>
            </w:r>
          </w:p>
        </w:tc>
        <w:tc>
          <w:tcPr>
            <w:tcW w:w="5220" w:type="dxa"/>
            <w:tcMar>
              <w:top w:w="57" w:type="dxa"/>
              <w:left w:w="57" w:type="dxa"/>
              <w:bottom w:w="57" w:type="dxa"/>
              <w:right w:w="57" w:type="dxa"/>
            </w:tcMar>
          </w:tcPr>
          <w:p w:rsidR="00B070BF" w:rsidRPr="009577DE" w:rsidRDefault="00B070BF" w:rsidP="00C33D4A">
            <w:pPr>
              <w:widowControl w:val="0"/>
              <w:rPr>
                <w:sz w:val="18"/>
                <w:szCs w:val="18"/>
                <w:lang w:val="es-ES_tradnl"/>
              </w:rPr>
            </w:pPr>
            <w:r w:rsidRPr="009577DE">
              <w:rPr>
                <w:sz w:val="18"/>
                <w:szCs w:val="18"/>
                <w:lang w:val="es-ES_tradnl"/>
              </w:rPr>
              <w:t>Sector de Cultura e Industrias Creativas</w:t>
            </w:r>
          </w:p>
        </w:tc>
      </w:tr>
      <w:tr w:rsidR="00B070BF" w:rsidRPr="009577DE" w:rsidTr="00C33D4A">
        <w:tc>
          <w:tcPr>
            <w:tcW w:w="4068" w:type="dxa"/>
            <w:tcMar>
              <w:top w:w="57" w:type="dxa"/>
              <w:left w:w="57" w:type="dxa"/>
              <w:bottom w:w="57" w:type="dxa"/>
              <w:right w:w="57" w:type="dxa"/>
            </w:tcMar>
          </w:tcPr>
          <w:p w:rsidR="00B070BF" w:rsidRPr="009577DE" w:rsidRDefault="00B070BF" w:rsidP="00C33D4A">
            <w:pPr>
              <w:widowControl w:val="0"/>
              <w:rPr>
                <w:sz w:val="18"/>
                <w:szCs w:val="18"/>
                <w:lang w:val="es-ES_tradnl"/>
              </w:rPr>
            </w:pPr>
            <w:r w:rsidRPr="009577DE">
              <w:rPr>
                <w:sz w:val="18"/>
                <w:szCs w:val="18"/>
                <w:lang w:val="es-ES_tradnl"/>
              </w:rPr>
              <w:t>Finlandia – Derecho de autor II</w:t>
            </w:r>
          </w:p>
        </w:tc>
        <w:tc>
          <w:tcPr>
            <w:tcW w:w="5220" w:type="dxa"/>
            <w:tcMar>
              <w:top w:w="57" w:type="dxa"/>
              <w:left w:w="57" w:type="dxa"/>
              <w:bottom w:w="57" w:type="dxa"/>
              <w:right w:w="57" w:type="dxa"/>
            </w:tcMar>
          </w:tcPr>
          <w:p w:rsidR="00B070BF" w:rsidRPr="009577DE" w:rsidRDefault="00B070BF" w:rsidP="00C33D4A">
            <w:pPr>
              <w:widowControl w:val="0"/>
              <w:rPr>
                <w:sz w:val="18"/>
                <w:szCs w:val="18"/>
                <w:lang w:val="es-ES_tradnl"/>
              </w:rPr>
            </w:pPr>
            <w:r w:rsidRPr="009577DE">
              <w:rPr>
                <w:sz w:val="18"/>
                <w:szCs w:val="18"/>
                <w:lang w:val="es-ES_tradnl"/>
              </w:rPr>
              <w:t>Sector de Cultura e Industrias Creativas</w:t>
            </w:r>
          </w:p>
        </w:tc>
      </w:tr>
      <w:tr w:rsidR="00B070BF" w:rsidRPr="009577DE" w:rsidTr="00C33D4A">
        <w:tc>
          <w:tcPr>
            <w:tcW w:w="4068" w:type="dxa"/>
            <w:tcMar>
              <w:top w:w="57" w:type="dxa"/>
              <w:left w:w="57" w:type="dxa"/>
              <w:bottom w:w="57" w:type="dxa"/>
              <w:right w:w="57" w:type="dxa"/>
            </w:tcMar>
          </w:tcPr>
          <w:p w:rsidR="00B070BF" w:rsidRPr="009577DE" w:rsidRDefault="00B070BF" w:rsidP="00C33D4A">
            <w:pPr>
              <w:widowControl w:val="0"/>
              <w:rPr>
                <w:sz w:val="18"/>
                <w:szCs w:val="18"/>
                <w:lang w:val="es-ES_tradnl"/>
              </w:rPr>
            </w:pPr>
            <w:r w:rsidRPr="009577DE">
              <w:rPr>
                <w:sz w:val="18"/>
                <w:szCs w:val="18"/>
                <w:lang w:val="es-ES_tradnl"/>
              </w:rPr>
              <w:t>Finlandia – Derecho de autor III</w:t>
            </w:r>
          </w:p>
        </w:tc>
        <w:tc>
          <w:tcPr>
            <w:tcW w:w="5220" w:type="dxa"/>
            <w:tcMar>
              <w:top w:w="57" w:type="dxa"/>
              <w:left w:w="57" w:type="dxa"/>
              <w:bottom w:w="57" w:type="dxa"/>
              <w:right w:w="57" w:type="dxa"/>
            </w:tcMar>
          </w:tcPr>
          <w:p w:rsidR="00B070BF" w:rsidRPr="009577DE" w:rsidRDefault="00B070BF" w:rsidP="00C33D4A">
            <w:pPr>
              <w:widowControl w:val="0"/>
              <w:rPr>
                <w:sz w:val="18"/>
                <w:szCs w:val="18"/>
                <w:lang w:val="es-ES_tradnl"/>
              </w:rPr>
            </w:pPr>
            <w:r w:rsidRPr="009577DE">
              <w:rPr>
                <w:sz w:val="18"/>
                <w:szCs w:val="18"/>
                <w:lang w:val="es-ES_tradnl"/>
              </w:rPr>
              <w:t>Sector de Cultura e Industrias Creativas</w:t>
            </w:r>
          </w:p>
        </w:tc>
      </w:tr>
      <w:tr w:rsidR="00B070BF" w:rsidRPr="009577DE" w:rsidTr="00C33D4A">
        <w:tc>
          <w:tcPr>
            <w:tcW w:w="4068" w:type="dxa"/>
            <w:tcMar>
              <w:top w:w="57" w:type="dxa"/>
              <w:left w:w="57" w:type="dxa"/>
              <w:bottom w:w="57" w:type="dxa"/>
              <w:right w:w="57" w:type="dxa"/>
            </w:tcMar>
          </w:tcPr>
          <w:p w:rsidR="00B070BF" w:rsidRPr="009577DE" w:rsidRDefault="00B070BF" w:rsidP="00C33D4A">
            <w:pPr>
              <w:widowControl w:val="0"/>
              <w:rPr>
                <w:sz w:val="18"/>
                <w:szCs w:val="18"/>
                <w:lang w:val="es-ES_tradnl"/>
              </w:rPr>
            </w:pPr>
            <w:r w:rsidRPr="009577DE">
              <w:rPr>
                <w:sz w:val="18"/>
                <w:szCs w:val="18"/>
                <w:lang w:val="es-ES_tradnl"/>
              </w:rPr>
              <w:t>Francia – P.I.</w:t>
            </w:r>
          </w:p>
        </w:tc>
        <w:tc>
          <w:tcPr>
            <w:tcW w:w="5220" w:type="dxa"/>
            <w:tcMar>
              <w:top w:w="57" w:type="dxa"/>
              <w:left w:w="57" w:type="dxa"/>
              <w:bottom w:w="57" w:type="dxa"/>
              <w:right w:w="57" w:type="dxa"/>
            </w:tcMar>
          </w:tcPr>
          <w:p w:rsidR="00B070BF" w:rsidRPr="009577DE" w:rsidRDefault="00B070BF" w:rsidP="00C33D4A">
            <w:pPr>
              <w:widowControl w:val="0"/>
              <w:rPr>
                <w:sz w:val="18"/>
                <w:szCs w:val="18"/>
                <w:lang w:val="es-ES_tradnl"/>
              </w:rPr>
            </w:pPr>
            <w:r w:rsidRPr="009577DE">
              <w:rPr>
                <w:sz w:val="18"/>
                <w:szCs w:val="18"/>
                <w:lang w:val="es-ES_tradnl"/>
              </w:rPr>
              <w:t>Sector de Desarrollo</w:t>
            </w:r>
          </w:p>
        </w:tc>
      </w:tr>
      <w:tr w:rsidR="00B070BF" w:rsidRPr="009577DE" w:rsidTr="00C33D4A">
        <w:tc>
          <w:tcPr>
            <w:tcW w:w="4068" w:type="dxa"/>
            <w:tcMar>
              <w:top w:w="57" w:type="dxa"/>
              <w:left w:w="57" w:type="dxa"/>
              <w:bottom w:w="57" w:type="dxa"/>
              <w:right w:w="57" w:type="dxa"/>
            </w:tcMar>
          </w:tcPr>
          <w:p w:rsidR="00B070BF" w:rsidRPr="009577DE" w:rsidRDefault="00B070BF" w:rsidP="00C33D4A">
            <w:pPr>
              <w:widowControl w:val="0"/>
              <w:rPr>
                <w:sz w:val="18"/>
                <w:szCs w:val="18"/>
                <w:lang w:val="es-ES_tradnl"/>
              </w:rPr>
            </w:pPr>
            <w:r w:rsidRPr="009577DE">
              <w:rPr>
                <w:sz w:val="18"/>
                <w:szCs w:val="18"/>
                <w:lang w:val="es-ES_tradnl"/>
              </w:rPr>
              <w:t>Programa Iberoamericano de propiedad industrial</w:t>
            </w:r>
          </w:p>
        </w:tc>
        <w:tc>
          <w:tcPr>
            <w:tcW w:w="5220" w:type="dxa"/>
            <w:tcMar>
              <w:top w:w="57" w:type="dxa"/>
              <w:left w:w="57" w:type="dxa"/>
              <w:bottom w:w="57" w:type="dxa"/>
              <w:right w:w="57" w:type="dxa"/>
            </w:tcMar>
          </w:tcPr>
          <w:p w:rsidR="00B070BF" w:rsidRPr="009577DE" w:rsidRDefault="00B070BF" w:rsidP="00C33D4A">
            <w:pPr>
              <w:widowControl w:val="0"/>
              <w:rPr>
                <w:sz w:val="18"/>
                <w:szCs w:val="18"/>
                <w:lang w:val="es-ES_tradnl"/>
              </w:rPr>
            </w:pPr>
            <w:r w:rsidRPr="009577DE">
              <w:rPr>
                <w:sz w:val="18"/>
                <w:szCs w:val="18"/>
                <w:lang w:val="es-ES_tradnl"/>
              </w:rPr>
              <w:t>Sector de Desarrollo</w:t>
            </w:r>
          </w:p>
        </w:tc>
      </w:tr>
      <w:tr w:rsidR="00B070BF" w:rsidRPr="009577DE" w:rsidTr="00C33D4A">
        <w:tc>
          <w:tcPr>
            <w:tcW w:w="4068" w:type="dxa"/>
            <w:tcMar>
              <w:top w:w="57" w:type="dxa"/>
              <w:left w:w="57" w:type="dxa"/>
              <w:bottom w:w="57" w:type="dxa"/>
              <w:right w:w="57" w:type="dxa"/>
            </w:tcMar>
          </w:tcPr>
          <w:p w:rsidR="00B070BF" w:rsidRPr="009577DE" w:rsidRDefault="00B070BF" w:rsidP="00C33D4A">
            <w:pPr>
              <w:widowControl w:val="0"/>
              <w:rPr>
                <w:sz w:val="18"/>
                <w:szCs w:val="18"/>
                <w:lang w:val="es-ES_tradnl"/>
              </w:rPr>
            </w:pPr>
            <w:r w:rsidRPr="009577DE">
              <w:rPr>
                <w:sz w:val="18"/>
                <w:szCs w:val="18"/>
                <w:lang w:val="es-ES_tradnl"/>
              </w:rPr>
              <w:t>Italia</w:t>
            </w:r>
          </w:p>
        </w:tc>
        <w:tc>
          <w:tcPr>
            <w:tcW w:w="5220" w:type="dxa"/>
            <w:tcMar>
              <w:top w:w="57" w:type="dxa"/>
              <w:left w:w="57" w:type="dxa"/>
              <w:bottom w:w="57" w:type="dxa"/>
              <w:right w:w="57" w:type="dxa"/>
            </w:tcMar>
          </w:tcPr>
          <w:p w:rsidR="00B070BF" w:rsidRPr="009577DE" w:rsidRDefault="00B070BF" w:rsidP="00C33D4A">
            <w:pPr>
              <w:widowControl w:val="0"/>
              <w:rPr>
                <w:sz w:val="18"/>
                <w:szCs w:val="18"/>
                <w:lang w:val="es-ES_tradnl"/>
              </w:rPr>
            </w:pPr>
            <w:r w:rsidRPr="009577DE">
              <w:rPr>
                <w:sz w:val="18"/>
                <w:szCs w:val="18"/>
                <w:lang w:val="es-ES_tradnl"/>
              </w:rPr>
              <w:t>Sector de Desarrollo</w:t>
            </w:r>
          </w:p>
        </w:tc>
      </w:tr>
      <w:tr w:rsidR="00B070BF" w:rsidRPr="009577DE" w:rsidTr="00C33D4A">
        <w:tc>
          <w:tcPr>
            <w:tcW w:w="4068" w:type="dxa"/>
            <w:tcMar>
              <w:top w:w="57" w:type="dxa"/>
              <w:left w:w="57" w:type="dxa"/>
              <w:bottom w:w="57" w:type="dxa"/>
              <w:right w:w="57" w:type="dxa"/>
            </w:tcMar>
          </w:tcPr>
          <w:p w:rsidR="00B070BF" w:rsidRPr="009577DE" w:rsidRDefault="00B070BF" w:rsidP="00C33D4A">
            <w:pPr>
              <w:widowControl w:val="0"/>
              <w:rPr>
                <w:sz w:val="18"/>
                <w:szCs w:val="18"/>
                <w:lang w:val="es-ES_tradnl"/>
              </w:rPr>
            </w:pPr>
            <w:r w:rsidRPr="009577DE">
              <w:rPr>
                <w:sz w:val="18"/>
                <w:szCs w:val="18"/>
                <w:lang w:val="es-ES_tradnl"/>
              </w:rPr>
              <w:t>Japón – Derecho de autor</w:t>
            </w:r>
          </w:p>
        </w:tc>
        <w:tc>
          <w:tcPr>
            <w:tcW w:w="5220" w:type="dxa"/>
            <w:tcMar>
              <w:top w:w="57" w:type="dxa"/>
              <w:left w:w="57" w:type="dxa"/>
              <w:bottom w:w="57" w:type="dxa"/>
              <w:right w:w="57" w:type="dxa"/>
            </w:tcMar>
          </w:tcPr>
          <w:p w:rsidR="00B070BF" w:rsidRPr="009577DE" w:rsidRDefault="00B070BF" w:rsidP="00C33D4A">
            <w:pPr>
              <w:widowControl w:val="0"/>
              <w:rPr>
                <w:sz w:val="18"/>
                <w:szCs w:val="18"/>
                <w:lang w:val="es-ES_tradnl"/>
              </w:rPr>
            </w:pPr>
            <w:r w:rsidRPr="009577DE">
              <w:rPr>
                <w:sz w:val="18"/>
                <w:szCs w:val="18"/>
                <w:lang w:val="es-ES_tradnl"/>
              </w:rPr>
              <w:t>Sector de Cultura e Industrias Creativas</w:t>
            </w:r>
          </w:p>
        </w:tc>
      </w:tr>
      <w:tr w:rsidR="00B070BF" w:rsidRPr="009577DE" w:rsidTr="00C33D4A">
        <w:tc>
          <w:tcPr>
            <w:tcW w:w="4068" w:type="dxa"/>
            <w:tcMar>
              <w:top w:w="57" w:type="dxa"/>
              <w:left w:w="57" w:type="dxa"/>
              <w:bottom w:w="57" w:type="dxa"/>
              <w:right w:w="57" w:type="dxa"/>
            </w:tcMar>
          </w:tcPr>
          <w:p w:rsidR="00B070BF" w:rsidRPr="009577DE" w:rsidRDefault="00B070BF" w:rsidP="00C33D4A">
            <w:pPr>
              <w:widowControl w:val="0"/>
              <w:rPr>
                <w:sz w:val="18"/>
                <w:szCs w:val="18"/>
                <w:lang w:val="es-ES_tradnl"/>
              </w:rPr>
            </w:pPr>
            <w:r w:rsidRPr="009577DE">
              <w:rPr>
                <w:sz w:val="18"/>
                <w:szCs w:val="18"/>
                <w:lang w:val="es-ES_tradnl"/>
              </w:rPr>
              <w:t>Japón – P.I.</w:t>
            </w:r>
          </w:p>
        </w:tc>
        <w:tc>
          <w:tcPr>
            <w:tcW w:w="5220" w:type="dxa"/>
            <w:tcMar>
              <w:top w:w="57" w:type="dxa"/>
              <w:left w:w="57" w:type="dxa"/>
              <w:bottom w:w="57" w:type="dxa"/>
              <w:right w:w="57" w:type="dxa"/>
            </w:tcMar>
          </w:tcPr>
          <w:p w:rsidR="00B070BF" w:rsidRPr="009577DE" w:rsidRDefault="00B070BF" w:rsidP="00C33D4A">
            <w:pPr>
              <w:widowControl w:val="0"/>
              <w:rPr>
                <w:sz w:val="18"/>
                <w:szCs w:val="18"/>
                <w:lang w:val="es-ES_tradnl"/>
              </w:rPr>
            </w:pPr>
            <w:r w:rsidRPr="009577DE">
              <w:rPr>
                <w:sz w:val="18"/>
                <w:szCs w:val="18"/>
                <w:lang w:val="es-ES_tradnl"/>
              </w:rPr>
              <w:t>Sector de Desarrollo</w:t>
            </w:r>
          </w:p>
        </w:tc>
      </w:tr>
      <w:tr w:rsidR="00B070BF" w:rsidRPr="009577DE" w:rsidTr="00C33D4A">
        <w:tc>
          <w:tcPr>
            <w:tcW w:w="4068" w:type="dxa"/>
            <w:tcMar>
              <w:top w:w="57" w:type="dxa"/>
              <w:left w:w="57" w:type="dxa"/>
              <w:bottom w:w="57" w:type="dxa"/>
              <w:right w:w="57" w:type="dxa"/>
            </w:tcMar>
          </w:tcPr>
          <w:p w:rsidR="00B070BF" w:rsidRPr="009577DE" w:rsidRDefault="00B070BF" w:rsidP="00C33D4A">
            <w:pPr>
              <w:widowControl w:val="0"/>
              <w:rPr>
                <w:sz w:val="18"/>
                <w:szCs w:val="18"/>
                <w:lang w:val="es-ES_tradnl"/>
              </w:rPr>
            </w:pPr>
            <w:r w:rsidRPr="009577DE">
              <w:rPr>
                <w:sz w:val="18"/>
                <w:szCs w:val="18"/>
                <w:lang w:val="es-ES_tradnl"/>
              </w:rPr>
              <w:t>Japón – P.I./África</w:t>
            </w:r>
          </w:p>
        </w:tc>
        <w:tc>
          <w:tcPr>
            <w:tcW w:w="5220" w:type="dxa"/>
            <w:tcMar>
              <w:top w:w="57" w:type="dxa"/>
              <w:left w:w="57" w:type="dxa"/>
              <w:bottom w:w="57" w:type="dxa"/>
              <w:right w:w="57" w:type="dxa"/>
            </w:tcMar>
          </w:tcPr>
          <w:p w:rsidR="00B070BF" w:rsidRPr="009577DE" w:rsidRDefault="00B070BF" w:rsidP="00C33D4A">
            <w:pPr>
              <w:widowControl w:val="0"/>
              <w:rPr>
                <w:sz w:val="18"/>
                <w:szCs w:val="18"/>
                <w:lang w:val="es-ES_tradnl"/>
              </w:rPr>
            </w:pPr>
            <w:r w:rsidRPr="009577DE">
              <w:rPr>
                <w:sz w:val="18"/>
                <w:szCs w:val="18"/>
                <w:lang w:val="es-ES_tradnl"/>
              </w:rPr>
              <w:t>Sector de Desarrollo</w:t>
            </w:r>
          </w:p>
        </w:tc>
      </w:tr>
      <w:tr w:rsidR="00B070BF" w:rsidRPr="009577DE" w:rsidTr="00C33D4A">
        <w:tc>
          <w:tcPr>
            <w:tcW w:w="4068" w:type="dxa"/>
            <w:tcMar>
              <w:top w:w="57" w:type="dxa"/>
              <w:left w:w="57" w:type="dxa"/>
              <w:bottom w:w="57" w:type="dxa"/>
              <w:right w:w="57" w:type="dxa"/>
            </w:tcMar>
          </w:tcPr>
          <w:p w:rsidR="00B070BF" w:rsidRPr="009577DE" w:rsidRDefault="00B070BF" w:rsidP="00C33D4A">
            <w:pPr>
              <w:widowControl w:val="0"/>
              <w:rPr>
                <w:sz w:val="18"/>
                <w:szCs w:val="18"/>
                <w:lang w:val="es-ES_tradnl"/>
              </w:rPr>
            </w:pPr>
            <w:r w:rsidRPr="009577DE">
              <w:rPr>
                <w:sz w:val="18"/>
                <w:szCs w:val="18"/>
                <w:lang w:val="es-ES_tradnl"/>
              </w:rPr>
              <w:t>México</w:t>
            </w:r>
          </w:p>
        </w:tc>
        <w:tc>
          <w:tcPr>
            <w:tcW w:w="5220" w:type="dxa"/>
            <w:tcMar>
              <w:top w:w="57" w:type="dxa"/>
              <w:left w:w="57" w:type="dxa"/>
              <w:bottom w:w="57" w:type="dxa"/>
              <w:right w:w="57" w:type="dxa"/>
            </w:tcMar>
          </w:tcPr>
          <w:p w:rsidR="00B070BF" w:rsidRPr="009577DE" w:rsidRDefault="00B070BF" w:rsidP="00C33D4A">
            <w:pPr>
              <w:widowControl w:val="0"/>
              <w:rPr>
                <w:sz w:val="18"/>
                <w:szCs w:val="18"/>
                <w:lang w:val="es-ES_tradnl"/>
              </w:rPr>
            </w:pPr>
            <w:r w:rsidRPr="009577DE">
              <w:rPr>
                <w:sz w:val="18"/>
                <w:szCs w:val="18"/>
                <w:lang w:val="es-ES_tradnl"/>
              </w:rPr>
              <w:t>Sector de Desarrollo</w:t>
            </w:r>
          </w:p>
        </w:tc>
      </w:tr>
      <w:tr w:rsidR="00B070BF" w:rsidRPr="009577DE" w:rsidTr="00C33D4A">
        <w:tc>
          <w:tcPr>
            <w:tcW w:w="4068" w:type="dxa"/>
            <w:tcMar>
              <w:top w:w="57" w:type="dxa"/>
              <w:left w:w="57" w:type="dxa"/>
              <w:bottom w:w="57" w:type="dxa"/>
              <w:right w:w="57" w:type="dxa"/>
            </w:tcMar>
          </w:tcPr>
          <w:p w:rsidR="00B070BF" w:rsidRPr="009577DE" w:rsidRDefault="00B070BF" w:rsidP="00C33D4A">
            <w:pPr>
              <w:widowControl w:val="0"/>
              <w:rPr>
                <w:sz w:val="18"/>
                <w:szCs w:val="18"/>
                <w:lang w:val="es-ES_tradnl"/>
              </w:rPr>
            </w:pPr>
            <w:r w:rsidRPr="009577DE">
              <w:rPr>
                <w:sz w:val="18"/>
                <w:szCs w:val="18"/>
                <w:lang w:val="es-ES_tradnl"/>
              </w:rPr>
              <w:t>República de Corea – Derecho de autor</w:t>
            </w:r>
          </w:p>
        </w:tc>
        <w:tc>
          <w:tcPr>
            <w:tcW w:w="5220" w:type="dxa"/>
            <w:tcMar>
              <w:top w:w="57" w:type="dxa"/>
              <w:left w:w="57" w:type="dxa"/>
              <w:bottom w:w="57" w:type="dxa"/>
              <w:right w:w="57" w:type="dxa"/>
            </w:tcMar>
          </w:tcPr>
          <w:p w:rsidR="00B070BF" w:rsidRPr="009577DE" w:rsidRDefault="00B070BF" w:rsidP="00C33D4A">
            <w:pPr>
              <w:widowControl w:val="0"/>
              <w:rPr>
                <w:sz w:val="18"/>
                <w:szCs w:val="18"/>
                <w:lang w:val="es-ES_tradnl"/>
              </w:rPr>
            </w:pPr>
            <w:r w:rsidRPr="009577DE">
              <w:rPr>
                <w:sz w:val="18"/>
                <w:szCs w:val="18"/>
                <w:lang w:val="es-ES_tradnl"/>
              </w:rPr>
              <w:t>Sector de Cultura e Industrias Creativas</w:t>
            </w:r>
          </w:p>
        </w:tc>
      </w:tr>
      <w:tr w:rsidR="00B070BF" w:rsidRPr="009577DE" w:rsidTr="00C33D4A">
        <w:tc>
          <w:tcPr>
            <w:tcW w:w="4068" w:type="dxa"/>
            <w:tcMar>
              <w:top w:w="57" w:type="dxa"/>
              <w:left w:w="57" w:type="dxa"/>
              <w:bottom w:w="57" w:type="dxa"/>
              <w:right w:w="57" w:type="dxa"/>
            </w:tcMar>
          </w:tcPr>
          <w:p w:rsidR="00B070BF" w:rsidRPr="009577DE" w:rsidRDefault="00B070BF" w:rsidP="00C33D4A">
            <w:pPr>
              <w:widowControl w:val="0"/>
              <w:rPr>
                <w:sz w:val="18"/>
                <w:szCs w:val="18"/>
                <w:lang w:val="es-ES_tradnl"/>
              </w:rPr>
            </w:pPr>
            <w:r w:rsidRPr="009577DE">
              <w:rPr>
                <w:sz w:val="18"/>
                <w:szCs w:val="18"/>
                <w:lang w:val="es-ES_tradnl"/>
              </w:rPr>
              <w:t>República de Corea – Educación</w:t>
            </w:r>
          </w:p>
        </w:tc>
        <w:tc>
          <w:tcPr>
            <w:tcW w:w="5220" w:type="dxa"/>
            <w:tcMar>
              <w:top w:w="57" w:type="dxa"/>
              <w:left w:w="57" w:type="dxa"/>
              <w:bottom w:w="57" w:type="dxa"/>
              <w:right w:w="57" w:type="dxa"/>
            </w:tcMar>
          </w:tcPr>
          <w:p w:rsidR="00B070BF" w:rsidRPr="009577DE" w:rsidRDefault="00B070BF" w:rsidP="00C33D4A">
            <w:pPr>
              <w:widowControl w:val="0"/>
              <w:rPr>
                <w:sz w:val="18"/>
                <w:szCs w:val="18"/>
                <w:lang w:val="es-ES_tradnl"/>
              </w:rPr>
            </w:pPr>
            <w:r w:rsidRPr="009577DE">
              <w:rPr>
                <w:sz w:val="18"/>
                <w:szCs w:val="18"/>
                <w:lang w:val="es-ES_tradnl"/>
              </w:rPr>
              <w:t>Sector de Desarrollo</w:t>
            </w:r>
          </w:p>
        </w:tc>
      </w:tr>
      <w:tr w:rsidR="00B070BF" w:rsidRPr="009577DE" w:rsidTr="00C33D4A">
        <w:trPr>
          <w:trHeight w:val="238"/>
        </w:trPr>
        <w:tc>
          <w:tcPr>
            <w:tcW w:w="4068" w:type="dxa"/>
            <w:tcMar>
              <w:top w:w="57" w:type="dxa"/>
              <w:left w:w="57" w:type="dxa"/>
              <w:bottom w:w="57" w:type="dxa"/>
              <w:right w:w="57" w:type="dxa"/>
            </w:tcMar>
          </w:tcPr>
          <w:p w:rsidR="00B070BF" w:rsidRPr="009577DE" w:rsidRDefault="00B070BF" w:rsidP="00C33D4A">
            <w:pPr>
              <w:widowControl w:val="0"/>
              <w:rPr>
                <w:sz w:val="18"/>
                <w:szCs w:val="18"/>
                <w:lang w:val="es-ES_tradnl"/>
              </w:rPr>
            </w:pPr>
            <w:r w:rsidRPr="009577DE">
              <w:rPr>
                <w:sz w:val="18"/>
                <w:szCs w:val="18"/>
                <w:lang w:val="es-ES_tradnl"/>
              </w:rPr>
              <w:t>República de Corea – P.I.</w:t>
            </w:r>
          </w:p>
        </w:tc>
        <w:tc>
          <w:tcPr>
            <w:tcW w:w="5220" w:type="dxa"/>
            <w:tcMar>
              <w:top w:w="57" w:type="dxa"/>
              <w:left w:w="57" w:type="dxa"/>
              <w:bottom w:w="57" w:type="dxa"/>
              <w:right w:w="57" w:type="dxa"/>
            </w:tcMar>
          </w:tcPr>
          <w:p w:rsidR="00B070BF" w:rsidRPr="009577DE" w:rsidRDefault="00B070BF" w:rsidP="00C33D4A">
            <w:pPr>
              <w:widowControl w:val="0"/>
              <w:rPr>
                <w:sz w:val="18"/>
                <w:szCs w:val="18"/>
                <w:lang w:val="es-ES_tradnl"/>
              </w:rPr>
            </w:pPr>
            <w:r w:rsidRPr="009577DE">
              <w:rPr>
                <w:sz w:val="18"/>
                <w:szCs w:val="18"/>
                <w:lang w:val="es-ES_tradnl"/>
              </w:rPr>
              <w:t>Sector de Desarrollo</w:t>
            </w:r>
          </w:p>
        </w:tc>
      </w:tr>
      <w:tr w:rsidR="00B070BF" w:rsidRPr="009577DE" w:rsidTr="00C33D4A">
        <w:trPr>
          <w:trHeight w:val="238"/>
        </w:trPr>
        <w:tc>
          <w:tcPr>
            <w:tcW w:w="4068" w:type="dxa"/>
            <w:tcMar>
              <w:top w:w="57" w:type="dxa"/>
              <w:left w:w="57" w:type="dxa"/>
              <w:bottom w:w="57" w:type="dxa"/>
              <w:right w:w="57" w:type="dxa"/>
            </w:tcMar>
          </w:tcPr>
          <w:p w:rsidR="00B070BF" w:rsidRPr="009577DE" w:rsidRDefault="00B070BF" w:rsidP="00C33D4A">
            <w:pPr>
              <w:widowControl w:val="0"/>
              <w:rPr>
                <w:sz w:val="18"/>
                <w:szCs w:val="18"/>
                <w:lang w:val="es-ES_tradnl"/>
              </w:rPr>
            </w:pPr>
            <w:r w:rsidRPr="009577DE">
              <w:rPr>
                <w:sz w:val="18"/>
                <w:szCs w:val="18"/>
                <w:lang w:val="es-ES_tradnl"/>
              </w:rPr>
              <w:t>España</w:t>
            </w:r>
          </w:p>
        </w:tc>
        <w:tc>
          <w:tcPr>
            <w:tcW w:w="5220" w:type="dxa"/>
            <w:tcMar>
              <w:top w:w="57" w:type="dxa"/>
              <w:left w:w="57" w:type="dxa"/>
              <w:bottom w:w="57" w:type="dxa"/>
              <w:right w:w="57" w:type="dxa"/>
            </w:tcMar>
          </w:tcPr>
          <w:p w:rsidR="00B070BF" w:rsidRPr="009577DE" w:rsidRDefault="00B070BF" w:rsidP="00C33D4A">
            <w:pPr>
              <w:widowControl w:val="0"/>
              <w:rPr>
                <w:sz w:val="18"/>
                <w:szCs w:val="18"/>
                <w:lang w:val="es-ES_tradnl"/>
              </w:rPr>
            </w:pPr>
            <w:r w:rsidRPr="009577DE">
              <w:rPr>
                <w:sz w:val="18"/>
                <w:szCs w:val="18"/>
                <w:lang w:val="es-ES_tradnl"/>
              </w:rPr>
              <w:t>Sector de Desarrollo</w:t>
            </w:r>
          </w:p>
        </w:tc>
      </w:tr>
      <w:tr w:rsidR="00B070BF" w:rsidRPr="009577DE" w:rsidTr="00C33D4A">
        <w:trPr>
          <w:trHeight w:val="238"/>
        </w:trPr>
        <w:tc>
          <w:tcPr>
            <w:tcW w:w="4068" w:type="dxa"/>
            <w:tcMar>
              <w:top w:w="57" w:type="dxa"/>
              <w:left w:w="57" w:type="dxa"/>
              <w:bottom w:w="57" w:type="dxa"/>
              <w:right w:w="57" w:type="dxa"/>
            </w:tcMar>
          </w:tcPr>
          <w:p w:rsidR="00B070BF" w:rsidRPr="009577DE" w:rsidRDefault="00B070BF" w:rsidP="00C33D4A">
            <w:pPr>
              <w:widowControl w:val="0"/>
              <w:rPr>
                <w:sz w:val="18"/>
                <w:szCs w:val="18"/>
                <w:lang w:val="es-ES_tradnl"/>
              </w:rPr>
            </w:pPr>
            <w:r w:rsidRPr="009577DE">
              <w:rPr>
                <w:sz w:val="18"/>
                <w:szCs w:val="18"/>
                <w:lang w:val="es-ES_tradnl"/>
              </w:rPr>
              <w:t>Estados Unidos – Derecho de autor</w:t>
            </w:r>
          </w:p>
        </w:tc>
        <w:tc>
          <w:tcPr>
            <w:tcW w:w="5220" w:type="dxa"/>
            <w:tcMar>
              <w:top w:w="57" w:type="dxa"/>
              <w:left w:w="57" w:type="dxa"/>
              <w:bottom w:w="57" w:type="dxa"/>
              <w:right w:w="57" w:type="dxa"/>
            </w:tcMar>
          </w:tcPr>
          <w:p w:rsidR="00B070BF" w:rsidRPr="009577DE" w:rsidRDefault="00B070BF" w:rsidP="00C33D4A">
            <w:pPr>
              <w:widowControl w:val="0"/>
              <w:rPr>
                <w:sz w:val="18"/>
                <w:szCs w:val="18"/>
                <w:lang w:val="es-ES_tradnl"/>
              </w:rPr>
            </w:pPr>
            <w:r w:rsidRPr="009577DE">
              <w:rPr>
                <w:sz w:val="18"/>
                <w:szCs w:val="18"/>
                <w:lang w:val="es-ES_tradnl"/>
              </w:rPr>
              <w:t>Sector de Cultura e Industrias Creativas</w:t>
            </w:r>
          </w:p>
        </w:tc>
      </w:tr>
      <w:tr w:rsidR="00B070BF" w:rsidRPr="009577DE" w:rsidTr="00C33D4A">
        <w:trPr>
          <w:trHeight w:val="238"/>
        </w:trPr>
        <w:tc>
          <w:tcPr>
            <w:tcW w:w="4068" w:type="dxa"/>
            <w:tcMar>
              <w:top w:w="57" w:type="dxa"/>
              <w:left w:w="57" w:type="dxa"/>
              <w:bottom w:w="57" w:type="dxa"/>
              <w:right w:w="57" w:type="dxa"/>
            </w:tcMar>
          </w:tcPr>
          <w:p w:rsidR="00B070BF" w:rsidRPr="009577DE" w:rsidRDefault="00B070BF" w:rsidP="00C33D4A">
            <w:pPr>
              <w:widowControl w:val="0"/>
              <w:rPr>
                <w:sz w:val="18"/>
                <w:szCs w:val="18"/>
                <w:lang w:val="es-ES_tradnl"/>
              </w:rPr>
            </w:pPr>
            <w:r w:rsidRPr="009577DE">
              <w:rPr>
                <w:sz w:val="18"/>
                <w:szCs w:val="18"/>
                <w:lang w:val="es-ES_tradnl"/>
              </w:rPr>
              <w:t>Estados Unidos – P.I./Observancia</w:t>
            </w:r>
          </w:p>
        </w:tc>
        <w:tc>
          <w:tcPr>
            <w:tcW w:w="5220" w:type="dxa"/>
            <w:tcMar>
              <w:top w:w="57" w:type="dxa"/>
              <w:left w:w="57" w:type="dxa"/>
              <w:bottom w:w="57" w:type="dxa"/>
              <w:right w:w="57" w:type="dxa"/>
            </w:tcMar>
          </w:tcPr>
          <w:p w:rsidR="00B070BF" w:rsidRPr="009577DE" w:rsidRDefault="00B070BF" w:rsidP="00C33D4A">
            <w:pPr>
              <w:widowControl w:val="0"/>
              <w:rPr>
                <w:sz w:val="18"/>
                <w:szCs w:val="18"/>
                <w:lang w:val="es-ES_tradnl"/>
              </w:rPr>
            </w:pPr>
            <w:r w:rsidRPr="009577DE">
              <w:rPr>
                <w:sz w:val="18"/>
                <w:szCs w:val="18"/>
                <w:lang w:val="es-ES_tradnl"/>
              </w:rPr>
              <w:t>Sector de Cuestiones Mundiales</w:t>
            </w:r>
          </w:p>
        </w:tc>
      </w:tr>
      <w:tr w:rsidR="00B070BF" w:rsidRPr="009577DE" w:rsidTr="00C33D4A">
        <w:trPr>
          <w:trHeight w:val="238"/>
        </w:trPr>
        <w:tc>
          <w:tcPr>
            <w:tcW w:w="4068" w:type="dxa"/>
            <w:tcMar>
              <w:top w:w="57" w:type="dxa"/>
              <w:left w:w="57" w:type="dxa"/>
              <w:bottom w:w="57" w:type="dxa"/>
              <w:right w:w="57" w:type="dxa"/>
            </w:tcMar>
          </w:tcPr>
          <w:p w:rsidR="00B070BF" w:rsidRPr="009577DE" w:rsidRDefault="00B070BF" w:rsidP="00C33D4A">
            <w:pPr>
              <w:widowControl w:val="0"/>
              <w:rPr>
                <w:sz w:val="18"/>
                <w:szCs w:val="18"/>
                <w:lang w:val="es-ES_tradnl"/>
              </w:rPr>
            </w:pPr>
            <w:r w:rsidRPr="009577DE">
              <w:rPr>
                <w:sz w:val="18"/>
                <w:szCs w:val="18"/>
                <w:lang w:val="es-ES_tradnl"/>
              </w:rPr>
              <w:t>Estados Unidos – Pymes</w:t>
            </w:r>
          </w:p>
        </w:tc>
        <w:tc>
          <w:tcPr>
            <w:tcW w:w="5220" w:type="dxa"/>
            <w:tcMar>
              <w:top w:w="57" w:type="dxa"/>
              <w:left w:w="57" w:type="dxa"/>
              <w:bottom w:w="57" w:type="dxa"/>
              <w:right w:w="57" w:type="dxa"/>
            </w:tcMar>
          </w:tcPr>
          <w:p w:rsidR="00B070BF" w:rsidRPr="009577DE" w:rsidRDefault="00B070BF" w:rsidP="00C33D4A">
            <w:pPr>
              <w:widowControl w:val="0"/>
              <w:rPr>
                <w:sz w:val="18"/>
                <w:szCs w:val="18"/>
                <w:lang w:val="es-ES_tradnl"/>
              </w:rPr>
            </w:pPr>
            <w:r w:rsidRPr="009577DE">
              <w:rPr>
                <w:sz w:val="18"/>
                <w:szCs w:val="18"/>
                <w:lang w:val="es-ES_tradnl"/>
              </w:rPr>
              <w:t>Sector de Tecnología e Innovación</w:t>
            </w:r>
          </w:p>
        </w:tc>
      </w:tr>
    </w:tbl>
    <w:p w:rsidR="00B070BF" w:rsidRPr="009577DE" w:rsidRDefault="00B070BF" w:rsidP="00B070BF">
      <w:pPr>
        <w:widowControl w:val="0"/>
        <w:tabs>
          <w:tab w:val="left" w:pos="0"/>
          <w:tab w:val="left" w:pos="9071"/>
        </w:tabs>
        <w:rPr>
          <w:b/>
          <w:sz w:val="18"/>
          <w:szCs w:val="18"/>
          <w:lang w:val="es-ES_tradnl"/>
        </w:rPr>
      </w:pPr>
    </w:p>
    <w:p w:rsidR="00B070BF" w:rsidRPr="009577DE" w:rsidRDefault="00B070BF" w:rsidP="00B070BF">
      <w:pPr>
        <w:widowControl w:val="0"/>
        <w:tabs>
          <w:tab w:val="left" w:pos="0"/>
          <w:tab w:val="left" w:pos="9071"/>
        </w:tabs>
        <w:rPr>
          <w:b/>
          <w:sz w:val="18"/>
          <w:szCs w:val="18"/>
          <w:lang w:val="es-ES_tradnl"/>
        </w:rPr>
      </w:pPr>
    </w:p>
    <w:p w:rsidR="00B070BF" w:rsidRPr="009577DE" w:rsidRDefault="00B070BF" w:rsidP="00B070BF">
      <w:pPr>
        <w:rPr>
          <w:b/>
          <w:sz w:val="20"/>
          <w:lang w:val="es-ES_tradnl"/>
        </w:rPr>
      </w:pPr>
      <w:r w:rsidRPr="009577DE">
        <w:rPr>
          <w:b/>
          <w:sz w:val="20"/>
          <w:lang w:val="es-ES_tradnl"/>
        </w:rPr>
        <w:br w:type="page"/>
      </w:r>
    </w:p>
    <w:p w:rsidR="00B070BF" w:rsidRPr="009577DE" w:rsidRDefault="00B070BF" w:rsidP="00B070BF">
      <w:pPr>
        <w:widowControl w:val="0"/>
        <w:spacing w:line="480" w:lineRule="auto"/>
        <w:rPr>
          <w:b/>
          <w:sz w:val="20"/>
          <w:lang w:val="es-ES_tradnl"/>
        </w:rPr>
      </w:pPr>
      <w:r w:rsidRPr="009577DE">
        <w:rPr>
          <w:b/>
          <w:sz w:val="20"/>
          <w:lang w:val="es-ES_tradnl"/>
        </w:rPr>
        <w:lastRenderedPageBreak/>
        <w:t>AUSTRALIA</w:t>
      </w:r>
    </w:p>
    <w:tbl>
      <w:tblPr>
        <w:tblW w:w="9072" w:type="dxa"/>
        <w:tblInd w:w="108"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1843"/>
        <w:gridCol w:w="1127"/>
        <w:gridCol w:w="2842"/>
        <w:gridCol w:w="3260"/>
      </w:tblGrid>
      <w:tr w:rsidR="00B070BF" w:rsidRPr="009577DE" w:rsidTr="00C33D4A">
        <w:trPr>
          <w:trHeight w:val="315"/>
        </w:trPr>
        <w:tc>
          <w:tcPr>
            <w:tcW w:w="9072" w:type="dxa"/>
            <w:gridSpan w:val="4"/>
            <w:tcBorders>
              <w:top w:val="single" w:sz="4" w:space="0" w:color="000000"/>
              <w:bottom w:val="single" w:sz="4" w:space="0" w:color="000000"/>
            </w:tcBorders>
            <w:shd w:val="clear" w:color="auto" w:fill="CCFFFF"/>
          </w:tcPr>
          <w:p w:rsidR="00B070BF" w:rsidRPr="009577DE" w:rsidRDefault="00B070BF" w:rsidP="00C33D4A">
            <w:pPr>
              <w:widowControl w:val="0"/>
              <w:tabs>
                <w:tab w:val="left" w:pos="1740"/>
              </w:tabs>
              <w:spacing w:before="120" w:after="120"/>
              <w:ind w:left="1740" w:hanging="1740"/>
              <w:rPr>
                <w:sz w:val="16"/>
                <w:szCs w:val="16"/>
                <w:lang w:val="es-ES_tradnl"/>
              </w:rPr>
            </w:pPr>
            <w:r w:rsidRPr="009577DE">
              <w:rPr>
                <w:b/>
                <w:bCs/>
                <w:sz w:val="16"/>
                <w:szCs w:val="16"/>
                <w:lang w:val="es-ES_tradnl"/>
              </w:rPr>
              <w:t>RESULTADO</w:t>
            </w:r>
            <w:r w:rsidRPr="009577DE">
              <w:rPr>
                <w:bCs/>
                <w:sz w:val="16"/>
                <w:szCs w:val="16"/>
                <w:lang w:val="es-ES_tradnl"/>
              </w:rPr>
              <w:t>:</w:t>
            </w:r>
            <w:r w:rsidRPr="009577DE">
              <w:rPr>
                <w:bCs/>
                <w:sz w:val="16"/>
                <w:szCs w:val="16"/>
                <w:lang w:val="es-ES_tradnl"/>
              </w:rPr>
              <w:tab/>
              <w:t>Mejora de las capacidades en el ámbito de los recursos humanos para hacer frente al amplio espectro de exigencias que supone la utilización eficaz de la P.I. en aras del desarrollo en los países en desarrollo, PMA y países con economías en transición.</w:t>
            </w:r>
          </w:p>
        </w:tc>
      </w:tr>
      <w:tr w:rsidR="00B070BF" w:rsidRPr="009577DE" w:rsidTr="00C33D4A">
        <w:trPr>
          <w:trHeight w:val="402"/>
        </w:trPr>
        <w:tc>
          <w:tcPr>
            <w:tcW w:w="1843" w:type="dxa"/>
            <w:tcBorders>
              <w:top w:val="single" w:sz="4" w:space="0" w:color="000000"/>
            </w:tcBorders>
            <w:vAlign w:val="center"/>
          </w:tcPr>
          <w:p w:rsidR="00B070BF" w:rsidRPr="009577DE" w:rsidRDefault="00B070BF" w:rsidP="00C33D4A">
            <w:pPr>
              <w:widowControl w:val="0"/>
              <w:rPr>
                <w:b/>
                <w:bCs/>
                <w:sz w:val="16"/>
                <w:szCs w:val="16"/>
                <w:lang w:val="es-ES_tradnl"/>
              </w:rPr>
            </w:pPr>
            <w:r w:rsidRPr="009577DE">
              <w:rPr>
                <w:b/>
                <w:bCs/>
                <w:sz w:val="16"/>
                <w:szCs w:val="16"/>
                <w:lang w:val="es-ES_tradnl"/>
              </w:rPr>
              <w:t>Actividad</w:t>
            </w:r>
          </w:p>
        </w:tc>
        <w:tc>
          <w:tcPr>
            <w:tcW w:w="1127" w:type="dxa"/>
            <w:tcBorders>
              <w:top w:val="single" w:sz="4" w:space="0" w:color="000000"/>
            </w:tcBorders>
            <w:vAlign w:val="center"/>
          </w:tcPr>
          <w:p w:rsidR="00B070BF" w:rsidRPr="009577DE" w:rsidRDefault="00B070BF" w:rsidP="00C33D4A">
            <w:pPr>
              <w:widowControl w:val="0"/>
              <w:rPr>
                <w:sz w:val="16"/>
                <w:szCs w:val="16"/>
                <w:lang w:val="es-ES_tradnl"/>
              </w:rPr>
            </w:pPr>
            <w:r w:rsidRPr="009577DE">
              <w:rPr>
                <w:b/>
                <w:bCs/>
                <w:sz w:val="16"/>
                <w:szCs w:val="16"/>
                <w:lang w:val="es-ES_tradnl"/>
              </w:rPr>
              <w:t>Fecha</w:t>
            </w:r>
          </w:p>
        </w:tc>
        <w:tc>
          <w:tcPr>
            <w:tcW w:w="2842" w:type="dxa"/>
            <w:tcBorders>
              <w:top w:val="single" w:sz="4" w:space="0" w:color="000000"/>
            </w:tcBorders>
            <w:vAlign w:val="center"/>
          </w:tcPr>
          <w:p w:rsidR="00B070BF" w:rsidRPr="009577DE" w:rsidRDefault="00B070BF" w:rsidP="00C33D4A">
            <w:pPr>
              <w:widowControl w:val="0"/>
              <w:rPr>
                <w:sz w:val="16"/>
                <w:szCs w:val="16"/>
                <w:lang w:val="es-ES_tradnl"/>
              </w:rPr>
            </w:pPr>
            <w:r w:rsidRPr="009577DE">
              <w:rPr>
                <w:b/>
                <w:bCs/>
                <w:sz w:val="16"/>
                <w:szCs w:val="16"/>
                <w:lang w:val="es-ES_tradnl"/>
              </w:rPr>
              <w:t>País anfitrión/Beneficiarios</w:t>
            </w:r>
          </w:p>
        </w:tc>
        <w:tc>
          <w:tcPr>
            <w:tcW w:w="3260" w:type="dxa"/>
            <w:tcBorders>
              <w:top w:val="single" w:sz="4" w:space="0" w:color="000000"/>
            </w:tcBorders>
            <w:vAlign w:val="center"/>
          </w:tcPr>
          <w:p w:rsidR="00B070BF" w:rsidRPr="009577DE" w:rsidRDefault="00B070BF" w:rsidP="00C33D4A">
            <w:pPr>
              <w:widowControl w:val="0"/>
              <w:rPr>
                <w:sz w:val="16"/>
                <w:szCs w:val="16"/>
                <w:lang w:val="es-ES_tradnl"/>
              </w:rPr>
            </w:pPr>
            <w:r w:rsidRPr="009577DE">
              <w:rPr>
                <w:b/>
                <w:bCs/>
                <w:sz w:val="16"/>
                <w:szCs w:val="16"/>
                <w:lang w:val="es-ES_tradnl"/>
              </w:rPr>
              <w:t>Propósito(s)/Descripción</w:t>
            </w:r>
          </w:p>
        </w:tc>
      </w:tr>
      <w:tr w:rsidR="00B070BF" w:rsidRPr="009577DE" w:rsidTr="00C33D4A">
        <w:trPr>
          <w:trHeight w:val="315"/>
        </w:trPr>
        <w:tc>
          <w:tcPr>
            <w:tcW w:w="1843" w:type="dxa"/>
          </w:tcPr>
          <w:p w:rsidR="00B070BF" w:rsidRPr="009577DE" w:rsidRDefault="00B070BF" w:rsidP="00C33D4A">
            <w:pPr>
              <w:widowControl w:val="0"/>
              <w:spacing w:before="120"/>
              <w:rPr>
                <w:sz w:val="16"/>
                <w:szCs w:val="16"/>
                <w:lang w:val="es-ES_tradnl"/>
              </w:rPr>
            </w:pPr>
            <w:r w:rsidRPr="009577DE">
              <w:rPr>
                <w:sz w:val="16"/>
                <w:szCs w:val="16"/>
                <w:lang w:val="es-ES_tradnl"/>
              </w:rPr>
              <w:t xml:space="preserve">Seminario regional de la OMPI sobre los aspectos legislativos, económicos y de política del sistema de protección de los modelos de utilidad, en cooperación con la </w:t>
            </w:r>
            <w:proofErr w:type="spellStart"/>
            <w:r w:rsidRPr="009577DE">
              <w:rPr>
                <w:i/>
                <w:sz w:val="16"/>
                <w:szCs w:val="16"/>
                <w:lang w:val="es-ES_tradnl"/>
              </w:rPr>
              <w:t>Intellectual</w:t>
            </w:r>
            <w:proofErr w:type="spellEnd"/>
            <w:r w:rsidRPr="009577DE">
              <w:rPr>
                <w:i/>
                <w:sz w:val="16"/>
                <w:szCs w:val="16"/>
                <w:lang w:val="es-ES_tradnl"/>
              </w:rPr>
              <w:t xml:space="preserve"> </w:t>
            </w:r>
            <w:proofErr w:type="spellStart"/>
            <w:r w:rsidRPr="009577DE">
              <w:rPr>
                <w:i/>
                <w:sz w:val="16"/>
                <w:szCs w:val="16"/>
                <w:lang w:val="es-ES_tradnl"/>
              </w:rPr>
              <w:t>Property</w:t>
            </w:r>
            <w:proofErr w:type="spellEnd"/>
            <w:r w:rsidRPr="009577DE">
              <w:rPr>
                <w:i/>
                <w:sz w:val="16"/>
                <w:szCs w:val="16"/>
                <w:lang w:val="es-ES_tradnl"/>
              </w:rPr>
              <w:t xml:space="preserve"> </w:t>
            </w:r>
            <w:proofErr w:type="spellStart"/>
            <w:r w:rsidRPr="009577DE">
              <w:rPr>
                <w:i/>
                <w:sz w:val="16"/>
                <w:szCs w:val="16"/>
                <w:lang w:val="es-ES_tradnl"/>
              </w:rPr>
              <w:t>Corporation</w:t>
            </w:r>
            <w:proofErr w:type="spellEnd"/>
            <w:r w:rsidRPr="009577DE">
              <w:rPr>
                <w:i/>
                <w:sz w:val="16"/>
                <w:szCs w:val="16"/>
                <w:lang w:val="es-ES_tradnl"/>
              </w:rPr>
              <w:t xml:space="preserve"> of Malaysia</w:t>
            </w:r>
            <w:r w:rsidRPr="009577DE">
              <w:rPr>
                <w:sz w:val="16"/>
                <w:szCs w:val="16"/>
                <w:lang w:val="es-ES_tradnl"/>
              </w:rPr>
              <w:t xml:space="preserve"> (</w:t>
            </w:r>
            <w:proofErr w:type="spellStart"/>
            <w:r w:rsidRPr="009577DE">
              <w:rPr>
                <w:sz w:val="16"/>
                <w:szCs w:val="16"/>
                <w:lang w:val="es-ES_tradnl"/>
              </w:rPr>
              <w:t>MyIPO</w:t>
            </w:r>
            <w:proofErr w:type="spellEnd"/>
            <w:r w:rsidRPr="009577DE">
              <w:rPr>
                <w:sz w:val="16"/>
                <w:szCs w:val="16"/>
                <w:lang w:val="es-ES_tradnl"/>
              </w:rPr>
              <w:t>), y con la asistencia de la Oficina Japonesa de Patentes (JPO).</w:t>
            </w:r>
          </w:p>
        </w:tc>
        <w:tc>
          <w:tcPr>
            <w:tcW w:w="1127" w:type="dxa"/>
          </w:tcPr>
          <w:p w:rsidR="00B070BF" w:rsidRPr="009577DE" w:rsidRDefault="00B070BF" w:rsidP="00C33D4A">
            <w:pPr>
              <w:widowControl w:val="0"/>
              <w:autoSpaceDE w:val="0"/>
              <w:autoSpaceDN w:val="0"/>
              <w:adjustRightInd w:val="0"/>
              <w:spacing w:before="120" w:after="120"/>
              <w:rPr>
                <w:sz w:val="16"/>
                <w:szCs w:val="16"/>
                <w:lang w:val="es-ES_tradnl"/>
              </w:rPr>
            </w:pPr>
            <w:r w:rsidRPr="009577DE">
              <w:rPr>
                <w:sz w:val="16"/>
                <w:szCs w:val="16"/>
                <w:lang w:val="es-ES_tradnl"/>
              </w:rPr>
              <w:t>Septiembre de 2012</w:t>
            </w:r>
          </w:p>
        </w:tc>
        <w:tc>
          <w:tcPr>
            <w:tcW w:w="2842" w:type="dxa"/>
          </w:tcPr>
          <w:p w:rsidR="00B070BF" w:rsidRPr="009577DE" w:rsidRDefault="00B070BF" w:rsidP="00C33D4A">
            <w:pPr>
              <w:widowControl w:val="0"/>
              <w:spacing w:before="120"/>
              <w:rPr>
                <w:sz w:val="16"/>
                <w:szCs w:val="16"/>
                <w:lang w:val="es-ES_tradnl"/>
              </w:rPr>
            </w:pPr>
            <w:r w:rsidRPr="009577DE">
              <w:rPr>
                <w:sz w:val="16"/>
                <w:szCs w:val="16"/>
                <w:lang w:val="es-ES_tradnl"/>
              </w:rPr>
              <w:t xml:space="preserve">Malasia/ se invitó a 20 participantes de los 13 países siguientes:  Bangladesh (1), Bután (1), Camboya (1), China (2), India (2), Indonesia (2), Filipinas (2), Mongolia (2), Pakistán (1), República Democrática Popular Lao (1), Sri Lanka (1), Tailandia (2) y </w:t>
            </w:r>
            <w:proofErr w:type="spellStart"/>
            <w:r w:rsidRPr="009577DE">
              <w:rPr>
                <w:sz w:val="16"/>
                <w:szCs w:val="16"/>
                <w:lang w:val="es-ES_tradnl"/>
              </w:rPr>
              <w:t>Viet</w:t>
            </w:r>
            <w:proofErr w:type="spellEnd"/>
            <w:r w:rsidRPr="009577DE">
              <w:rPr>
                <w:sz w:val="16"/>
                <w:szCs w:val="16"/>
                <w:lang w:val="es-ES_tradnl"/>
              </w:rPr>
              <w:t xml:space="preserve"> </w:t>
            </w:r>
            <w:proofErr w:type="spellStart"/>
            <w:r w:rsidRPr="009577DE">
              <w:rPr>
                <w:sz w:val="16"/>
                <w:szCs w:val="16"/>
                <w:lang w:val="es-ES_tradnl"/>
              </w:rPr>
              <w:t>Nam</w:t>
            </w:r>
            <w:proofErr w:type="spellEnd"/>
            <w:r w:rsidRPr="009577DE">
              <w:rPr>
                <w:sz w:val="16"/>
                <w:szCs w:val="16"/>
                <w:lang w:val="es-ES_tradnl"/>
              </w:rPr>
              <w:t xml:space="preserve"> (2).  Asimismo, participaron representantes del país anfitrión, Malasia</w:t>
            </w:r>
          </w:p>
          <w:p w:rsidR="00B070BF" w:rsidRPr="009577DE" w:rsidRDefault="00B070BF" w:rsidP="00C33D4A">
            <w:pPr>
              <w:widowControl w:val="0"/>
              <w:autoSpaceDE w:val="0"/>
              <w:autoSpaceDN w:val="0"/>
              <w:adjustRightInd w:val="0"/>
              <w:spacing w:before="120" w:after="120"/>
              <w:rPr>
                <w:sz w:val="16"/>
                <w:szCs w:val="16"/>
                <w:lang w:val="es-ES_tradnl"/>
              </w:rPr>
            </w:pPr>
          </w:p>
        </w:tc>
        <w:tc>
          <w:tcPr>
            <w:tcW w:w="3260" w:type="dxa"/>
          </w:tcPr>
          <w:p w:rsidR="00B070BF" w:rsidRPr="009577DE" w:rsidRDefault="00B070BF" w:rsidP="00C33D4A">
            <w:pPr>
              <w:widowControl w:val="0"/>
              <w:autoSpaceDE w:val="0"/>
              <w:autoSpaceDN w:val="0"/>
              <w:adjustRightInd w:val="0"/>
              <w:spacing w:before="120" w:after="120"/>
              <w:rPr>
                <w:sz w:val="16"/>
                <w:szCs w:val="16"/>
                <w:lang w:val="es-ES_tradnl"/>
              </w:rPr>
            </w:pPr>
            <w:r w:rsidRPr="009577DE">
              <w:rPr>
                <w:sz w:val="16"/>
                <w:szCs w:val="16"/>
                <w:lang w:val="es-ES_tradnl"/>
              </w:rPr>
              <w:t>Los objetivos fueron los siguientes:  i) facilitar la comprensión de las ventajas del sistema de protección de los modelos de utilidad;  ii) examinar los distintos enfoques legislativos y las prácticas de las oficinas de P.I. en materia de protección de los modelos de utilidad;  iii) compartir las prácticas óptimas relativas a la utilización eficaz del sistema para fomentar la innovación;  y iv) señalar los aspectos jurídicos y de políticas que cabe tomar en consideración al redactar legislación nacional sobre modelos de utilidad.</w:t>
            </w:r>
          </w:p>
        </w:tc>
      </w:tr>
      <w:tr w:rsidR="00B070BF" w:rsidRPr="009577DE" w:rsidTr="00C33D4A">
        <w:trPr>
          <w:trHeight w:val="315"/>
        </w:trPr>
        <w:tc>
          <w:tcPr>
            <w:tcW w:w="1843" w:type="dxa"/>
          </w:tcPr>
          <w:p w:rsidR="00B070BF" w:rsidRPr="009577DE" w:rsidRDefault="00B070BF" w:rsidP="00C33D4A">
            <w:pPr>
              <w:widowControl w:val="0"/>
              <w:autoSpaceDE w:val="0"/>
              <w:autoSpaceDN w:val="0"/>
              <w:adjustRightInd w:val="0"/>
              <w:spacing w:before="120" w:after="120"/>
              <w:rPr>
                <w:sz w:val="16"/>
                <w:szCs w:val="16"/>
                <w:lang w:val="es-ES_tradnl"/>
              </w:rPr>
            </w:pPr>
            <w:r w:rsidRPr="009577DE">
              <w:rPr>
                <w:sz w:val="16"/>
                <w:szCs w:val="16"/>
                <w:lang w:val="es-ES_tradnl"/>
              </w:rPr>
              <w:t xml:space="preserve">Seminario destinado a una delegación de funcionarios de </w:t>
            </w:r>
            <w:proofErr w:type="spellStart"/>
            <w:r w:rsidRPr="009577DE">
              <w:rPr>
                <w:sz w:val="16"/>
                <w:szCs w:val="16"/>
                <w:lang w:val="es-ES_tradnl"/>
              </w:rPr>
              <w:t>Viet</w:t>
            </w:r>
            <w:proofErr w:type="spellEnd"/>
            <w:r w:rsidRPr="009577DE">
              <w:rPr>
                <w:sz w:val="16"/>
                <w:szCs w:val="16"/>
                <w:lang w:val="es-ES_tradnl"/>
              </w:rPr>
              <w:t xml:space="preserve"> </w:t>
            </w:r>
            <w:proofErr w:type="spellStart"/>
            <w:r w:rsidRPr="009577DE">
              <w:rPr>
                <w:sz w:val="16"/>
                <w:szCs w:val="16"/>
                <w:lang w:val="es-ES_tradnl"/>
              </w:rPr>
              <w:t>Nam</w:t>
            </w:r>
            <w:proofErr w:type="spellEnd"/>
            <w:r w:rsidRPr="009577DE">
              <w:rPr>
                <w:sz w:val="16"/>
                <w:szCs w:val="16"/>
                <w:lang w:val="es-ES_tradnl"/>
              </w:rPr>
              <w:t xml:space="preserve"> de visita en Canberra (Australia), realizado en cooperación con </w:t>
            </w:r>
            <w:r w:rsidRPr="009577DE">
              <w:rPr>
                <w:i/>
                <w:sz w:val="16"/>
                <w:szCs w:val="16"/>
                <w:lang w:val="es-ES_tradnl"/>
              </w:rPr>
              <w:t>IP Australia</w:t>
            </w:r>
            <w:r w:rsidRPr="009577DE">
              <w:rPr>
                <w:sz w:val="16"/>
                <w:szCs w:val="16"/>
                <w:lang w:val="es-ES_tradnl"/>
              </w:rPr>
              <w:t>.</w:t>
            </w:r>
          </w:p>
        </w:tc>
        <w:tc>
          <w:tcPr>
            <w:tcW w:w="1127" w:type="dxa"/>
          </w:tcPr>
          <w:p w:rsidR="00B070BF" w:rsidRPr="009577DE" w:rsidRDefault="00B070BF" w:rsidP="00C33D4A">
            <w:pPr>
              <w:widowControl w:val="0"/>
              <w:autoSpaceDE w:val="0"/>
              <w:autoSpaceDN w:val="0"/>
              <w:adjustRightInd w:val="0"/>
              <w:spacing w:before="120" w:after="120"/>
              <w:rPr>
                <w:sz w:val="16"/>
                <w:szCs w:val="16"/>
                <w:lang w:val="es-ES_tradnl"/>
              </w:rPr>
            </w:pPr>
            <w:r w:rsidRPr="009577DE">
              <w:rPr>
                <w:sz w:val="16"/>
                <w:szCs w:val="16"/>
                <w:lang w:val="es-ES_tradnl"/>
              </w:rPr>
              <w:t>24 y 25 de octubre de 2012</w:t>
            </w:r>
          </w:p>
        </w:tc>
        <w:tc>
          <w:tcPr>
            <w:tcW w:w="2842" w:type="dxa"/>
          </w:tcPr>
          <w:p w:rsidR="00B070BF" w:rsidRPr="009577DE" w:rsidRDefault="00B070BF" w:rsidP="00C33D4A">
            <w:pPr>
              <w:widowControl w:val="0"/>
              <w:spacing w:before="120"/>
              <w:rPr>
                <w:sz w:val="16"/>
                <w:szCs w:val="16"/>
                <w:lang w:val="es-ES_tradnl"/>
              </w:rPr>
            </w:pPr>
            <w:r w:rsidRPr="009577DE">
              <w:rPr>
                <w:sz w:val="16"/>
                <w:szCs w:val="16"/>
                <w:lang w:val="es-ES_tradnl"/>
              </w:rPr>
              <w:t xml:space="preserve">Australia/ 12 participantes:  una delegación de </w:t>
            </w:r>
            <w:proofErr w:type="spellStart"/>
            <w:r w:rsidRPr="009577DE">
              <w:rPr>
                <w:sz w:val="16"/>
                <w:szCs w:val="16"/>
                <w:lang w:val="es-ES_tradnl"/>
              </w:rPr>
              <w:t>Viet</w:t>
            </w:r>
            <w:proofErr w:type="spellEnd"/>
            <w:r w:rsidRPr="009577DE">
              <w:rPr>
                <w:sz w:val="16"/>
                <w:szCs w:val="16"/>
                <w:lang w:val="es-ES_tradnl"/>
              </w:rPr>
              <w:t xml:space="preserve"> </w:t>
            </w:r>
            <w:proofErr w:type="spellStart"/>
            <w:r w:rsidRPr="009577DE">
              <w:rPr>
                <w:sz w:val="16"/>
                <w:szCs w:val="16"/>
                <w:lang w:val="es-ES_tradnl"/>
              </w:rPr>
              <w:t>Nam</w:t>
            </w:r>
            <w:proofErr w:type="spellEnd"/>
            <w:r w:rsidRPr="009577DE">
              <w:rPr>
                <w:sz w:val="16"/>
                <w:szCs w:val="16"/>
                <w:lang w:val="es-ES_tradnl"/>
              </w:rPr>
              <w:t xml:space="preserve"> de visita</w:t>
            </w:r>
          </w:p>
        </w:tc>
        <w:tc>
          <w:tcPr>
            <w:tcW w:w="3260" w:type="dxa"/>
          </w:tcPr>
          <w:p w:rsidR="00B070BF" w:rsidRPr="009577DE" w:rsidRDefault="00B070BF" w:rsidP="00C33D4A">
            <w:pPr>
              <w:widowControl w:val="0"/>
              <w:spacing w:before="120"/>
              <w:rPr>
                <w:sz w:val="16"/>
                <w:szCs w:val="16"/>
                <w:lang w:val="es-ES_tradnl"/>
              </w:rPr>
            </w:pPr>
            <w:r w:rsidRPr="009577DE">
              <w:rPr>
                <w:sz w:val="16"/>
                <w:szCs w:val="16"/>
                <w:lang w:val="es-ES_tradnl"/>
              </w:rPr>
              <w:t>Los objetivos fueron facilitar entre los funcionarios la comprensión de:  i) la importancia de la P.I. y de cómo su protección y explotación puede arrojar beneficios económicos para un país y sus empresas;  ii) las estrategias básicas de protección de la P.I.;  iii) las estrategias básicas de comercialización de la P.I.</w:t>
            </w:r>
          </w:p>
          <w:p w:rsidR="00B070BF" w:rsidRPr="009577DE" w:rsidRDefault="00B070BF" w:rsidP="00C33D4A">
            <w:pPr>
              <w:widowControl w:val="0"/>
              <w:autoSpaceDE w:val="0"/>
              <w:autoSpaceDN w:val="0"/>
              <w:adjustRightInd w:val="0"/>
              <w:spacing w:before="120" w:after="120"/>
              <w:rPr>
                <w:sz w:val="16"/>
                <w:szCs w:val="16"/>
                <w:lang w:val="es-ES_tradnl"/>
              </w:rPr>
            </w:pPr>
          </w:p>
        </w:tc>
      </w:tr>
      <w:tr w:rsidR="00B070BF" w:rsidRPr="009577DE" w:rsidTr="00C33D4A">
        <w:trPr>
          <w:trHeight w:val="315"/>
        </w:trPr>
        <w:tc>
          <w:tcPr>
            <w:tcW w:w="1843" w:type="dxa"/>
            <w:tcBorders>
              <w:bottom w:val="single" w:sz="4" w:space="0" w:color="000000"/>
            </w:tcBorders>
          </w:tcPr>
          <w:p w:rsidR="00B070BF" w:rsidRPr="009577DE" w:rsidRDefault="00B070BF" w:rsidP="00C33D4A">
            <w:pPr>
              <w:widowControl w:val="0"/>
              <w:autoSpaceDE w:val="0"/>
              <w:autoSpaceDN w:val="0"/>
              <w:adjustRightInd w:val="0"/>
              <w:spacing w:before="120" w:after="120"/>
              <w:rPr>
                <w:sz w:val="16"/>
                <w:szCs w:val="16"/>
                <w:lang w:val="es-ES_tradnl"/>
              </w:rPr>
            </w:pPr>
            <w:r w:rsidRPr="009577DE">
              <w:rPr>
                <w:sz w:val="16"/>
                <w:szCs w:val="16"/>
                <w:lang w:val="es-ES_tradnl"/>
              </w:rPr>
              <w:t xml:space="preserve">Visita de estudio a </w:t>
            </w:r>
            <w:r w:rsidRPr="009577DE">
              <w:rPr>
                <w:i/>
                <w:sz w:val="16"/>
                <w:szCs w:val="16"/>
                <w:lang w:val="es-ES_tradnl"/>
              </w:rPr>
              <w:t>IP Australia</w:t>
            </w:r>
            <w:r w:rsidRPr="009577DE">
              <w:rPr>
                <w:sz w:val="16"/>
                <w:szCs w:val="16"/>
                <w:lang w:val="es-ES_tradnl"/>
              </w:rPr>
              <w:t xml:space="preserve"> de un estudiante de la </w:t>
            </w:r>
            <w:r w:rsidRPr="009577DE">
              <w:rPr>
                <w:i/>
                <w:sz w:val="16"/>
                <w:szCs w:val="16"/>
                <w:lang w:val="es-ES_tradnl"/>
              </w:rPr>
              <w:t xml:space="preserve">Queensland </w:t>
            </w:r>
            <w:proofErr w:type="spellStart"/>
            <w:r w:rsidRPr="009577DE">
              <w:rPr>
                <w:i/>
                <w:sz w:val="16"/>
                <w:szCs w:val="16"/>
                <w:lang w:val="es-ES_tradnl"/>
              </w:rPr>
              <w:t>University</w:t>
            </w:r>
            <w:proofErr w:type="spellEnd"/>
            <w:r w:rsidRPr="009577DE">
              <w:rPr>
                <w:i/>
                <w:sz w:val="16"/>
                <w:szCs w:val="16"/>
                <w:lang w:val="es-ES_tradnl"/>
              </w:rPr>
              <w:t xml:space="preserve"> of </w:t>
            </w:r>
            <w:proofErr w:type="spellStart"/>
            <w:r w:rsidRPr="009577DE">
              <w:rPr>
                <w:i/>
                <w:sz w:val="16"/>
                <w:szCs w:val="16"/>
                <w:lang w:val="es-ES_tradnl"/>
              </w:rPr>
              <w:t>Technology</w:t>
            </w:r>
            <w:proofErr w:type="spellEnd"/>
            <w:r w:rsidRPr="009577DE">
              <w:rPr>
                <w:sz w:val="16"/>
                <w:szCs w:val="16"/>
                <w:lang w:val="es-ES_tradnl"/>
              </w:rPr>
              <w:t xml:space="preserve"> (inscrito en el curso de Licenciatura en Derecho de Propiedad Intelectual).</w:t>
            </w:r>
          </w:p>
        </w:tc>
        <w:tc>
          <w:tcPr>
            <w:tcW w:w="1127" w:type="dxa"/>
            <w:tcBorders>
              <w:bottom w:val="single" w:sz="4" w:space="0" w:color="000000"/>
            </w:tcBorders>
          </w:tcPr>
          <w:p w:rsidR="00B070BF" w:rsidRPr="009577DE" w:rsidRDefault="00B070BF" w:rsidP="00C33D4A">
            <w:pPr>
              <w:widowControl w:val="0"/>
              <w:autoSpaceDE w:val="0"/>
              <w:autoSpaceDN w:val="0"/>
              <w:adjustRightInd w:val="0"/>
              <w:spacing w:before="120" w:after="120"/>
              <w:rPr>
                <w:sz w:val="16"/>
                <w:szCs w:val="16"/>
                <w:lang w:val="es-ES_tradnl"/>
              </w:rPr>
            </w:pPr>
            <w:r w:rsidRPr="009577DE">
              <w:rPr>
                <w:sz w:val="16"/>
                <w:szCs w:val="16"/>
                <w:lang w:val="es-ES_tradnl"/>
              </w:rPr>
              <w:t>5 a 9 de noviembre de 2012</w:t>
            </w:r>
          </w:p>
        </w:tc>
        <w:tc>
          <w:tcPr>
            <w:tcW w:w="2842" w:type="dxa"/>
            <w:tcBorders>
              <w:bottom w:val="single" w:sz="4" w:space="0" w:color="000000"/>
            </w:tcBorders>
          </w:tcPr>
          <w:p w:rsidR="00B070BF" w:rsidRPr="009577DE" w:rsidRDefault="00B070BF" w:rsidP="00C33D4A">
            <w:pPr>
              <w:widowControl w:val="0"/>
              <w:spacing w:before="120"/>
              <w:rPr>
                <w:sz w:val="16"/>
                <w:szCs w:val="16"/>
                <w:lang w:val="es-ES_tradnl"/>
              </w:rPr>
            </w:pPr>
            <w:r w:rsidRPr="009577DE">
              <w:rPr>
                <w:sz w:val="16"/>
                <w:szCs w:val="16"/>
                <w:lang w:val="es-ES_tradnl"/>
              </w:rPr>
              <w:t xml:space="preserve">Un estudiante de </w:t>
            </w:r>
            <w:proofErr w:type="spellStart"/>
            <w:r w:rsidRPr="009577DE">
              <w:rPr>
                <w:sz w:val="16"/>
                <w:szCs w:val="16"/>
                <w:lang w:val="es-ES_tradnl"/>
              </w:rPr>
              <w:t>Botswana</w:t>
            </w:r>
            <w:proofErr w:type="spellEnd"/>
            <w:r w:rsidRPr="009577DE">
              <w:rPr>
                <w:sz w:val="16"/>
                <w:szCs w:val="16"/>
                <w:lang w:val="es-ES_tradnl"/>
              </w:rPr>
              <w:t xml:space="preserve"> (Oficina de Registro de Empresas y Propiedad Intelectual (ROCIP) realizó la visita de estudio</w:t>
            </w:r>
          </w:p>
          <w:p w:rsidR="00B070BF" w:rsidRPr="009577DE" w:rsidRDefault="00B070BF" w:rsidP="00C33D4A">
            <w:pPr>
              <w:widowControl w:val="0"/>
              <w:autoSpaceDE w:val="0"/>
              <w:autoSpaceDN w:val="0"/>
              <w:adjustRightInd w:val="0"/>
              <w:spacing w:before="120" w:after="120"/>
              <w:rPr>
                <w:sz w:val="16"/>
                <w:szCs w:val="16"/>
                <w:lang w:val="es-ES_tradnl"/>
              </w:rPr>
            </w:pPr>
          </w:p>
        </w:tc>
        <w:tc>
          <w:tcPr>
            <w:tcW w:w="3260" w:type="dxa"/>
            <w:tcBorders>
              <w:bottom w:val="single" w:sz="4" w:space="0" w:color="000000"/>
            </w:tcBorders>
          </w:tcPr>
          <w:p w:rsidR="00B070BF" w:rsidRPr="009577DE" w:rsidRDefault="00B070BF" w:rsidP="00C33D4A">
            <w:pPr>
              <w:widowControl w:val="0"/>
              <w:autoSpaceDE w:val="0"/>
              <w:autoSpaceDN w:val="0"/>
              <w:adjustRightInd w:val="0"/>
              <w:spacing w:before="120" w:after="120"/>
              <w:rPr>
                <w:sz w:val="16"/>
                <w:szCs w:val="16"/>
                <w:lang w:val="es-ES_tradnl"/>
              </w:rPr>
            </w:pPr>
            <w:r w:rsidRPr="009577DE">
              <w:rPr>
                <w:sz w:val="16"/>
                <w:szCs w:val="16"/>
                <w:lang w:val="es-ES_tradnl"/>
              </w:rPr>
              <w:t xml:space="preserve">El propósito de la visita fue dar al estudiante la posibilidad de experimentar personalmente el funcionamiento de </w:t>
            </w:r>
            <w:r w:rsidRPr="009577DE">
              <w:rPr>
                <w:i/>
                <w:sz w:val="16"/>
                <w:szCs w:val="16"/>
                <w:lang w:val="es-ES_tradnl"/>
              </w:rPr>
              <w:t>IP Australia</w:t>
            </w:r>
            <w:r w:rsidRPr="009577DE">
              <w:rPr>
                <w:sz w:val="16"/>
                <w:szCs w:val="16"/>
                <w:lang w:val="es-ES_tradnl"/>
              </w:rPr>
              <w:t>, dándole ejemplos de tareas de examen de solicitudes de P.I. (en particular en el ámbito de las marcas) y de administración, ejemplos que pueden ser de utilidad para el ROCIP.</w:t>
            </w:r>
          </w:p>
        </w:tc>
      </w:tr>
    </w:tbl>
    <w:p w:rsidR="00B070BF" w:rsidRPr="009577DE" w:rsidRDefault="00B070BF" w:rsidP="00B070BF">
      <w:pPr>
        <w:widowControl w:val="0"/>
        <w:tabs>
          <w:tab w:val="left" w:pos="0"/>
          <w:tab w:val="left" w:pos="9071"/>
        </w:tabs>
        <w:rPr>
          <w:b/>
          <w:sz w:val="18"/>
          <w:szCs w:val="18"/>
          <w:lang w:val="es-ES_tradnl"/>
        </w:rPr>
      </w:pPr>
    </w:p>
    <w:p w:rsidR="00B070BF" w:rsidRPr="009577DE" w:rsidRDefault="00B070BF" w:rsidP="00B070BF">
      <w:pPr>
        <w:widowControl w:val="0"/>
        <w:tabs>
          <w:tab w:val="left" w:pos="0"/>
          <w:tab w:val="left" w:pos="9071"/>
        </w:tabs>
        <w:rPr>
          <w:b/>
          <w:sz w:val="18"/>
          <w:szCs w:val="18"/>
          <w:lang w:val="es-ES_tradnl"/>
        </w:rPr>
      </w:pPr>
    </w:p>
    <w:p w:rsidR="00B070BF" w:rsidRPr="009577DE" w:rsidRDefault="00B070BF" w:rsidP="00B070BF">
      <w:pPr>
        <w:widowControl w:val="0"/>
        <w:spacing w:line="480" w:lineRule="auto"/>
        <w:rPr>
          <w:b/>
          <w:sz w:val="18"/>
          <w:szCs w:val="18"/>
          <w:lang w:val="es-ES_tradnl"/>
        </w:rPr>
      </w:pPr>
      <w:r w:rsidRPr="009577DE">
        <w:rPr>
          <w:b/>
          <w:sz w:val="18"/>
          <w:szCs w:val="18"/>
          <w:lang w:val="es-ES_tradnl"/>
        </w:rPr>
        <w:t xml:space="preserve">AUSTRALIA – </w:t>
      </w:r>
      <w:r w:rsidRPr="009577DE">
        <w:rPr>
          <w:b/>
          <w:sz w:val="20"/>
          <w:lang w:val="es-ES_tradnl"/>
        </w:rPr>
        <w:t>Contribuciones</w:t>
      </w:r>
      <w:r w:rsidRPr="009577DE">
        <w:rPr>
          <w:b/>
          <w:sz w:val="18"/>
          <w:szCs w:val="18"/>
          <w:lang w:val="es-ES_tradnl"/>
        </w:rPr>
        <w:t xml:space="preserve"> de donantes y gastos de 2012</w:t>
      </w:r>
      <w:r w:rsidRPr="009577DE">
        <w:rPr>
          <w:rFonts w:ascii="Arial Bold" w:hAnsi="Arial Bold" w:cs="Arial Bold"/>
          <w:b/>
          <w:bCs/>
          <w:sz w:val="18"/>
          <w:szCs w:val="18"/>
          <w:vertAlign w:val="superscript"/>
          <w:lang w:val="es-ES_tradnl"/>
        </w:rPr>
        <w:t>1</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0"/>
        <w:gridCol w:w="1540"/>
        <w:gridCol w:w="1870"/>
        <w:gridCol w:w="1650"/>
        <w:gridCol w:w="2200"/>
      </w:tblGrid>
      <w:tr w:rsidR="00B070BF" w:rsidRPr="009577DE" w:rsidTr="00C33D4A">
        <w:trPr>
          <w:trHeight w:val="437"/>
        </w:trPr>
        <w:tc>
          <w:tcPr>
            <w:tcW w:w="1870" w:type="dxa"/>
            <w:shd w:val="clear" w:color="auto" w:fill="CCFFFF"/>
            <w:vAlign w:val="center"/>
          </w:tcPr>
          <w:p w:rsidR="00B070BF" w:rsidRPr="009577DE" w:rsidRDefault="00B070BF" w:rsidP="00C33D4A">
            <w:pPr>
              <w:widowControl w:val="0"/>
              <w:spacing w:after="220"/>
              <w:jc w:val="center"/>
              <w:rPr>
                <w:b/>
                <w:sz w:val="16"/>
                <w:szCs w:val="16"/>
                <w:lang w:val="es-ES_tradnl"/>
              </w:rPr>
            </w:pPr>
            <w:r w:rsidRPr="009577DE">
              <w:rPr>
                <w:b/>
                <w:sz w:val="16"/>
                <w:szCs w:val="16"/>
                <w:lang w:val="es-ES_tradnl"/>
              </w:rPr>
              <w:t>Balance a 31 de diciembre de 2011</w:t>
            </w:r>
          </w:p>
        </w:tc>
        <w:tc>
          <w:tcPr>
            <w:tcW w:w="1540" w:type="dxa"/>
            <w:shd w:val="clear" w:color="auto" w:fill="CCFFFF"/>
            <w:vAlign w:val="center"/>
          </w:tcPr>
          <w:p w:rsidR="00B070BF" w:rsidRPr="009577DE" w:rsidRDefault="00B070BF" w:rsidP="00C33D4A">
            <w:pPr>
              <w:widowControl w:val="0"/>
              <w:spacing w:after="220"/>
              <w:jc w:val="center"/>
              <w:rPr>
                <w:b/>
                <w:sz w:val="16"/>
                <w:szCs w:val="16"/>
                <w:lang w:val="es-ES_tradnl"/>
              </w:rPr>
            </w:pPr>
            <w:r w:rsidRPr="009577DE">
              <w:rPr>
                <w:b/>
                <w:sz w:val="16"/>
                <w:szCs w:val="16"/>
                <w:lang w:val="es-ES_tradnl"/>
              </w:rPr>
              <w:t>Ingresos en 2012</w:t>
            </w:r>
          </w:p>
        </w:tc>
        <w:tc>
          <w:tcPr>
            <w:tcW w:w="1870" w:type="dxa"/>
            <w:shd w:val="clear" w:color="auto" w:fill="CCFFFF"/>
            <w:vAlign w:val="center"/>
          </w:tcPr>
          <w:p w:rsidR="00B070BF" w:rsidRPr="009577DE" w:rsidRDefault="00B070BF" w:rsidP="00C33D4A">
            <w:pPr>
              <w:widowControl w:val="0"/>
              <w:spacing w:after="220"/>
              <w:jc w:val="center"/>
              <w:rPr>
                <w:b/>
                <w:sz w:val="16"/>
                <w:szCs w:val="16"/>
                <w:lang w:val="es-ES_tradnl"/>
              </w:rPr>
            </w:pPr>
            <w:r w:rsidRPr="009577DE">
              <w:rPr>
                <w:b/>
                <w:sz w:val="16"/>
                <w:szCs w:val="16"/>
                <w:lang w:val="es-ES_tradnl"/>
              </w:rPr>
              <w:t>Gastos en 2012</w:t>
            </w:r>
          </w:p>
        </w:tc>
        <w:tc>
          <w:tcPr>
            <w:tcW w:w="1650" w:type="dxa"/>
            <w:shd w:val="clear" w:color="auto" w:fill="CCFFFF"/>
            <w:vAlign w:val="center"/>
          </w:tcPr>
          <w:p w:rsidR="00B070BF" w:rsidRPr="009577DE" w:rsidRDefault="00B070BF" w:rsidP="00C33D4A">
            <w:pPr>
              <w:widowControl w:val="0"/>
              <w:spacing w:after="220"/>
              <w:jc w:val="center"/>
              <w:rPr>
                <w:b/>
                <w:sz w:val="16"/>
                <w:szCs w:val="16"/>
                <w:lang w:val="es-ES_tradnl"/>
              </w:rPr>
            </w:pPr>
            <w:r w:rsidRPr="009577DE">
              <w:rPr>
                <w:b/>
                <w:sz w:val="16"/>
                <w:szCs w:val="16"/>
                <w:lang w:val="es-ES_tradnl"/>
              </w:rPr>
              <w:t>Reembolsos</w:t>
            </w:r>
          </w:p>
        </w:tc>
        <w:tc>
          <w:tcPr>
            <w:tcW w:w="2200" w:type="dxa"/>
            <w:shd w:val="clear" w:color="auto" w:fill="CCFFFF"/>
            <w:vAlign w:val="center"/>
          </w:tcPr>
          <w:p w:rsidR="00B070BF" w:rsidRPr="009577DE" w:rsidRDefault="00B070BF" w:rsidP="00C33D4A">
            <w:pPr>
              <w:widowControl w:val="0"/>
              <w:spacing w:after="220"/>
              <w:jc w:val="center"/>
              <w:rPr>
                <w:b/>
                <w:sz w:val="16"/>
                <w:szCs w:val="16"/>
                <w:lang w:val="es-ES_tradnl"/>
              </w:rPr>
            </w:pPr>
            <w:r w:rsidRPr="009577DE">
              <w:rPr>
                <w:b/>
                <w:sz w:val="16"/>
                <w:szCs w:val="16"/>
                <w:lang w:val="es-ES_tradnl"/>
              </w:rPr>
              <w:t>Balance a 31 de diciembre de 2012</w:t>
            </w:r>
          </w:p>
        </w:tc>
      </w:tr>
      <w:tr w:rsidR="00B070BF" w:rsidRPr="009577DE" w:rsidTr="00C33D4A">
        <w:trPr>
          <w:trHeight w:val="567"/>
        </w:trPr>
        <w:tc>
          <w:tcPr>
            <w:tcW w:w="1870" w:type="dxa"/>
            <w:shd w:val="clear" w:color="auto" w:fill="auto"/>
            <w:vAlign w:val="center"/>
          </w:tcPr>
          <w:p w:rsidR="00B070BF" w:rsidRPr="009577DE" w:rsidRDefault="00B070BF" w:rsidP="00C33D4A">
            <w:pPr>
              <w:widowControl w:val="0"/>
              <w:autoSpaceDE w:val="0"/>
              <w:autoSpaceDN w:val="0"/>
              <w:adjustRightInd w:val="0"/>
              <w:spacing w:after="220"/>
              <w:jc w:val="center"/>
              <w:rPr>
                <w:rFonts w:eastAsia="MS Mincho"/>
                <w:sz w:val="16"/>
                <w:szCs w:val="16"/>
                <w:lang w:val="es-ES_tradnl" w:eastAsia="ja-JP" w:bidi="th-TH"/>
              </w:rPr>
            </w:pPr>
            <w:r w:rsidRPr="009577DE">
              <w:rPr>
                <w:rFonts w:eastAsia="MS Mincho"/>
                <w:sz w:val="16"/>
                <w:szCs w:val="16"/>
                <w:lang w:val="es-ES_tradnl" w:eastAsia="ja-JP" w:bidi="th-TH"/>
              </w:rPr>
              <w:t>–</w:t>
            </w:r>
          </w:p>
        </w:tc>
        <w:tc>
          <w:tcPr>
            <w:tcW w:w="1540" w:type="dxa"/>
            <w:shd w:val="clear" w:color="auto" w:fill="auto"/>
            <w:vAlign w:val="center"/>
          </w:tcPr>
          <w:p w:rsidR="00B070BF" w:rsidRPr="009577DE" w:rsidRDefault="00B070BF" w:rsidP="00C33D4A">
            <w:pPr>
              <w:widowControl w:val="0"/>
              <w:spacing w:after="220"/>
              <w:jc w:val="center"/>
              <w:rPr>
                <w:rFonts w:eastAsia="MS Mincho"/>
                <w:sz w:val="16"/>
                <w:szCs w:val="16"/>
                <w:lang w:val="es-ES_tradnl" w:eastAsia="ja-JP" w:bidi="th-TH"/>
              </w:rPr>
            </w:pPr>
            <w:r w:rsidRPr="009577DE">
              <w:rPr>
                <w:rFonts w:eastAsia="MS Mincho"/>
                <w:sz w:val="16"/>
                <w:szCs w:val="16"/>
                <w:lang w:val="es-ES_tradnl" w:eastAsia="ja-JP" w:bidi="th-TH"/>
              </w:rPr>
              <w:t>1.861.475</w:t>
            </w:r>
          </w:p>
        </w:tc>
        <w:tc>
          <w:tcPr>
            <w:tcW w:w="1870" w:type="dxa"/>
            <w:shd w:val="clear" w:color="auto" w:fill="auto"/>
            <w:vAlign w:val="center"/>
          </w:tcPr>
          <w:p w:rsidR="00B070BF" w:rsidRPr="009577DE" w:rsidRDefault="00B070BF" w:rsidP="00C33D4A">
            <w:pPr>
              <w:widowControl w:val="0"/>
              <w:autoSpaceDE w:val="0"/>
              <w:autoSpaceDN w:val="0"/>
              <w:adjustRightInd w:val="0"/>
              <w:spacing w:after="220"/>
              <w:jc w:val="center"/>
              <w:rPr>
                <w:rFonts w:eastAsia="MS Mincho"/>
                <w:sz w:val="16"/>
                <w:szCs w:val="16"/>
                <w:lang w:val="es-ES_tradnl" w:eastAsia="ja-JP" w:bidi="th-TH"/>
              </w:rPr>
            </w:pPr>
            <w:r w:rsidRPr="009577DE">
              <w:rPr>
                <w:rFonts w:eastAsia="MS Mincho"/>
                <w:sz w:val="16"/>
                <w:szCs w:val="16"/>
                <w:lang w:val="es-ES_tradnl" w:eastAsia="ja-JP" w:bidi="th-TH"/>
              </w:rPr>
              <w:t>20.068</w:t>
            </w:r>
          </w:p>
        </w:tc>
        <w:tc>
          <w:tcPr>
            <w:tcW w:w="1650" w:type="dxa"/>
            <w:shd w:val="clear" w:color="auto" w:fill="auto"/>
            <w:vAlign w:val="center"/>
          </w:tcPr>
          <w:p w:rsidR="00B070BF" w:rsidRPr="009577DE" w:rsidRDefault="00B070BF" w:rsidP="00C33D4A">
            <w:pPr>
              <w:widowControl w:val="0"/>
              <w:autoSpaceDE w:val="0"/>
              <w:autoSpaceDN w:val="0"/>
              <w:adjustRightInd w:val="0"/>
              <w:spacing w:after="220"/>
              <w:jc w:val="center"/>
              <w:rPr>
                <w:rFonts w:eastAsia="MS Mincho"/>
                <w:sz w:val="16"/>
                <w:szCs w:val="16"/>
                <w:lang w:val="es-ES_tradnl" w:eastAsia="ja-JP" w:bidi="th-TH"/>
              </w:rPr>
            </w:pPr>
            <w:r w:rsidRPr="009577DE">
              <w:rPr>
                <w:rFonts w:eastAsia="MS Mincho"/>
                <w:sz w:val="16"/>
                <w:szCs w:val="16"/>
                <w:lang w:val="es-ES_tradnl" w:eastAsia="ja-JP" w:bidi="th-TH"/>
              </w:rPr>
              <w:t>–</w:t>
            </w:r>
          </w:p>
        </w:tc>
        <w:tc>
          <w:tcPr>
            <w:tcW w:w="2200" w:type="dxa"/>
            <w:shd w:val="clear" w:color="auto" w:fill="auto"/>
            <w:vAlign w:val="center"/>
          </w:tcPr>
          <w:p w:rsidR="00B070BF" w:rsidRPr="009577DE" w:rsidRDefault="00B070BF" w:rsidP="00C33D4A">
            <w:pPr>
              <w:widowControl w:val="0"/>
              <w:autoSpaceDE w:val="0"/>
              <w:autoSpaceDN w:val="0"/>
              <w:adjustRightInd w:val="0"/>
              <w:spacing w:after="220"/>
              <w:jc w:val="center"/>
              <w:rPr>
                <w:rFonts w:eastAsia="MS Mincho"/>
                <w:sz w:val="16"/>
                <w:szCs w:val="16"/>
                <w:lang w:val="es-ES_tradnl" w:eastAsia="ja-JP" w:bidi="th-TH"/>
              </w:rPr>
            </w:pPr>
            <w:r w:rsidRPr="009577DE">
              <w:rPr>
                <w:rFonts w:eastAsia="MS Mincho"/>
                <w:sz w:val="16"/>
                <w:szCs w:val="16"/>
                <w:lang w:val="es-ES_tradnl" w:eastAsia="ja-JP" w:bidi="th-TH"/>
              </w:rPr>
              <w:t>1.841.40</w:t>
            </w:r>
            <w:r>
              <w:rPr>
                <w:rFonts w:eastAsia="MS Mincho"/>
                <w:sz w:val="16"/>
                <w:szCs w:val="16"/>
                <w:lang w:val="es-ES_tradnl" w:eastAsia="ja-JP" w:bidi="th-TH"/>
              </w:rPr>
              <w:t>6</w:t>
            </w:r>
          </w:p>
        </w:tc>
      </w:tr>
    </w:tbl>
    <w:p w:rsidR="00B070BF" w:rsidRPr="009577DE" w:rsidRDefault="00B070BF" w:rsidP="00B070BF">
      <w:pPr>
        <w:widowControl w:val="0"/>
        <w:tabs>
          <w:tab w:val="left" w:pos="284"/>
        </w:tabs>
        <w:spacing w:before="120" w:line="480" w:lineRule="auto"/>
        <w:rPr>
          <w:i/>
          <w:iCs/>
          <w:sz w:val="16"/>
          <w:szCs w:val="16"/>
          <w:lang w:val="es-ES_tradnl"/>
        </w:rPr>
      </w:pPr>
      <w:r w:rsidRPr="009577DE">
        <w:rPr>
          <w:i/>
          <w:iCs/>
          <w:sz w:val="16"/>
          <w:szCs w:val="16"/>
          <w:vertAlign w:val="superscript"/>
          <w:lang w:val="es-ES_tradnl"/>
        </w:rPr>
        <w:t xml:space="preserve">1 </w:t>
      </w:r>
      <w:r w:rsidRPr="009577DE">
        <w:rPr>
          <w:i/>
          <w:iCs/>
          <w:sz w:val="16"/>
          <w:szCs w:val="16"/>
          <w:lang w:val="es-ES_tradnl"/>
        </w:rPr>
        <w:t>Estados financieros de la OMPI de 2012 (Anexo III)</w:t>
      </w:r>
    </w:p>
    <w:p w:rsidR="00B070BF" w:rsidRPr="009577DE" w:rsidRDefault="00B070BF" w:rsidP="00B070BF">
      <w:pPr>
        <w:rPr>
          <w:b/>
          <w:sz w:val="18"/>
          <w:szCs w:val="18"/>
          <w:lang w:val="es-ES_tradnl"/>
        </w:rPr>
      </w:pPr>
      <w:r w:rsidRPr="009577DE">
        <w:rPr>
          <w:b/>
          <w:sz w:val="18"/>
          <w:szCs w:val="18"/>
          <w:lang w:val="es-ES_tradnl"/>
        </w:rPr>
        <w:br w:type="page"/>
      </w:r>
    </w:p>
    <w:p w:rsidR="00B070BF" w:rsidRPr="009577DE" w:rsidRDefault="00B070BF" w:rsidP="00B070BF">
      <w:pPr>
        <w:widowControl w:val="0"/>
        <w:tabs>
          <w:tab w:val="left" w:pos="0"/>
          <w:tab w:val="left" w:pos="9071"/>
        </w:tabs>
        <w:spacing w:line="480" w:lineRule="auto"/>
        <w:rPr>
          <w:b/>
          <w:sz w:val="20"/>
          <w:lang w:val="es-ES_tradnl"/>
        </w:rPr>
      </w:pPr>
      <w:r w:rsidRPr="009577DE">
        <w:rPr>
          <w:b/>
          <w:sz w:val="20"/>
          <w:lang w:val="es-ES_tradnl"/>
        </w:rPr>
        <w:lastRenderedPageBreak/>
        <w:t>BRASIL</w:t>
      </w:r>
    </w:p>
    <w:tbl>
      <w:tblPr>
        <w:tblW w:w="9072" w:type="dxa"/>
        <w:tblInd w:w="108"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1843"/>
        <w:gridCol w:w="1134"/>
        <w:gridCol w:w="2835"/>
        <w:gridCol w:w="3260"/>
      </w:tblGrid>
      <w:tr w:rsidR="00B070BF" w:rsidRPr="009577DE" w:rsidTr="00C33D4A">
        <w:tc>
          <w:tcPr>
            <w:tcW w:w="9072" w:type="dxa"/>
            <w:gridSpan w:val="4"/>
            <w:tcBorders>
              <w:top w:val="single" w:sz="4" w:space="0" w:color="000000"/>
              <w:bottom w:val="single" w:sz="4" w:space="0" w:color="000000"/>
            </w:tcBorders>
            <w:shd w:val="clear" w:color="auto" w:fill="CCFFFF"/>
            <w:vAlign w:val="center"/>
          </w:tcPr>
          <w:p w:rsidR="00B070BF" w:rsidRPr="009577DE" w:rsidRDefault="00B070BF" w:rsidP="00C33D4A">
            <w:pPr>
              <w:widowControl w:val="0"/>
              <w:tabs>
                <w:tab w:val="left" w:pos="1740"/>
              </w:tabs>
              <w:spacing w:before="120" w:after="120"/>
              <w:ind w:left="1740" w:hanging="1740"/>
              <w:rPr>
                <w:b/>
                <w:bCs/>
                <w:sz w:val="16"/>
                <w:szCs w:val="16"/>
                <w:lang w:val="es-ES_tradnl"/>
              </w:rPr>
            </w:pPr>
            <w:r w:rsidRPr="009577DE">
              <w:rPr>
                <w:b/>
                <w:bCs/>
                <w:sz w:val="16"/>
                <w:szCs w:val="16"/>
                <w:lang w:val="es-ES_tradnl"/>
              </w:rPr>
              <w:t>RESULTADO:</w:t>
            </w:r>
            <w:r w:rsidRPr="009577DE">
              <w:rPr>
                <w:b/>
                <w:bCs/>
                <w:sz w:val="16"/>
                <w:szCs w:val="16"/>
                <w:lang w:val="es-ES_tradnl"/>
              </w:rPr>
              <w:tab/>
            </w:r>
            <w:r w:rsidRPr="009577DE">
              <w:rPr>
                <w:bCs/>
                <w:sz w:val="16"/>
                <w:szCs w:val="16"/>
                <w:lang w:val="es-ES_tradnl"/>
              </w:rPr>
              <w:t>Mejora en la infraestructura técnica y de conocimientos de las oficinas y demás instituciones de P.I. que les permite prestar mejores servicios (más económicos, más rápidos y de mejor calidad) a sus usuarios</w:t>
            </w:r>
          </w:p>
        </w:tc>
      </w:tr>
      <w:tr w:rsidR="00B070BF" w:rsidRPr="009577DE" w:rsidTr="00C33D4A">
        <w:tc>
          <w:tcPr>
            <w:tcW w:w="1843" w:type="dxa"/>
            <w:tcBorders>
              <w:top w:val="single" w:sz="4" w:space="0" w:color="000000"/>
            </w:tcBorders>
            <w:vAlign w:val="center"/>
          </w:tcPr>
          <w:p w:rsidR="00B070BF" w:rsidRPr="009577DE" w:rsidRDefault="00B070BF" w:rsidP="00C33D4A">
            <w:pPr>
              <w:widowControl w:val="0"/>
              <w:rPr>
                <w:b/>
                <w:bCs/>
                <w:sz w:val="16"/>
                <w:szCs w:val="16"/>
                <w:lang w:val="es-ES_tradnl"/>
              </w:rPr>
            </w:pPr>
            <w:r w:rsidRPr="009577DE">
              <w:rPr>
                <w:b/>
                <w:bCs/>
                <w:sz w:val="16"/>
                <w:szCs w:val="16"/>
                <w:lang w:val="es-ES_tradnl"/>
              </w:rPr>
              <w:t>Actividad</w:t>
            </w:r>
          </w:p>
        </w:tc>
        <w:tc>
          <w:tcPr>
            <w:tcW w:w="1134" w:type="dxa"/>
            <w:tcBorders>
              <w:top w:val="single" w:sz="4" w:space="0" w:color="000000"/>
            </w:tcBorders>
            <w:shd w:val="clear" w:color="auto" w:fill="auto"/>
            <w:tcMar>
              <w:top w:w="110" w:type="dxa"/>
            </w:tcMar>
            <w:vAlign w:val="center"/>
          </w:tcPr>
          <w:p w:rsidR="00B070BF" w:rsidRPr="009577DE" w:rsidRDefault="00B070BF" w:rsidP="00C33D4A">
            <w:pPr>
              <w:widowControl w:val="0"/>
              <w:rPr>
                <w:sz w:val="16"/>
                <w:szCs w:val="16"/>
                <w:lang w:val="es-ES_tradnl"/>
              </w:rPr>
            </w:pPr>
            <w:r w:rsidRPr="009577DE">
              <w:rPr>
                <w:b/>
                <w:bCs/>
                <w:sz w:val="16"/>
                <w:szCs w:val="16"/>
                <w:lang w:val="es-ES_tradnl"/>
              </w:rPr>
              <w:t>Fecha</w:t>
            </w:r>
          </w:p>
        </w:tc>
        <w:tc>
          <w:tcPr>
            <w:tcW w:w="2835" w:type="dxa"/>
            <w:tcBorders>
              <w:top w:val="single" w:sz="4" w:space="0" w:color="000000"/>
            </w:tcBorders>
            <w:shd w:val="clear" w:color="auto" w:fill="auto"/>
            <w:tcMar>
              <w:top w:w="110" w:type="dxa"/>
            </w:tcMar>
            <w:vAlign w:val="center"/>
          </w:tcPr>
          <w:p w:rsidR="00B070BF" w:rsidRPr="009577DE" w:rsidRDefault="00B070BF" w:rsidP="00C33D4A">
            <w:pPr>
              <w:widowControl w:val="0"/>
              <w:rPr>
                <w:sz w:val="16"/>
                <w:szCs w:val="16"/>
                <w:lang w:val="es-ES_tradnl"/>
              </w:rPr>
            </w:pPr>
            <w:r w:rsidRPr="009577DE">
              <w:rPr>
                <w:b/>
                <w:bCs/>
                <w:sz w:val="16"/>
                <w:szCs w:val="16"/>
                <w:lang w:val="es-ES_tradnl"/>
              </w:rPr>
              <w:t>País anfitrión/Beneficiarios</w:t>
            </w:r>
          </w:p>
        </w:tc>
        <w:tc>
          <w:tcPr>
            <w:tcW w:w="3260" w:type="dxa"/>
            <w:tcBorders>
              <w:top w:val="single" w:sz="4" w:space="0" w:color="000000"/>
            </w:tcBorders>
            <w:shd w:val="clear" w:color="auto" w:fill="FFFFFF"/>
            <w:tcMar>
              <w:top w:w="110" w:type="dxa"/>
            </w:tcMar>
            <w:vAlign w:val="center"/>
          </w:tcPr>
          <w:p w:rsidR="00B070BF" w:rsidRPr="009577DE" w:rsidRDefault="00B070BF" w:rsidP="00C33D4A">
            <w:pPr>
              <w:widowControl w:val="0"/>
              <w:rPr>
                <w:sz w:val="16"/>
                <w:szCs w:val="16"/>
                <w:lang w:val="es-ES_tradnl"/>
              </w:rPr>
            </w:pPr>
            <w:r w:rsidRPr="009577DE">
              <w:rPr>
                <w:b/>
                <w:bCs/>
                <w:sz w:val="16"/>
                <w:szCs w:val="16"/>
                <w:lang w:val="es-ES_tradnl"/>
              </w:rPr>
              <w:t>Propósito(s)/Descripción</w:t>
            </w:r>
          </w:p>
        </w:tc>
      </w:tr>
      <w:tr w:rsidR="00B070BF" w:rsidRPr="009577DE" w:rsidTr="00C33D4A">
        <w:trPr>
          <w:trHeight w:val="2899"/>
        </w:trPr>
        <w:tc>
          <w:tcPr>
            <w:tcW w:w="1843" w:type="dxa"/>
          </w:tcPr>
          <w:p w:rsidR="00B070BF" w:rsidRPr="009577DE" w:rsidRDefault="00B070BF" w:rsidP="00C33D4A">
            <w:pPr>
              <w:widowControl w:val="0"/>
              <w:autoSpaceDE w:val="0"/>
              <w:autoSpaceDN w:val="0"/>
              <w:adjustRightInd w:val="0"/>
              <w:spacing w:before="120" w:after="120"/>
              <w:rPr>
                <w:sz w:val="16"/>
                <w:szCs w:val="16"/>
                <w:lang w:val="es-ES_tradnl"/>
              </w:rPr>
            </w:pPr>
            <w:r w:rsidRPr="009577DE">
              <w:rPr>
                <w:sz w:val="16"/>
                <w:szCs w:val="16"/>
                <w:lang w:val="es-ES_tradnl"/>
              </w:rPr>
              <w:t>Intercambio de experiencias entre países sudamericanos y miembros de PROSUR, con miras a intensificar las estrategia de colaboración en el examen y la búsqueda de patentes.  Misiones a Chile de los Comités Directivo y Técnico;  participantes procedentes de ocho oficinas nacionales.</w:t>
            </w:r>
          </w:p>
        </w:tc>
        <w:tc>
          <w:tcPr>
            <w:tcW w:w="1134" w:type="dxa"/>
          </w:tcPr>
          <w:p w:rsidR="00B070BF" w:rsidRPr="009577DE" w:rsidRDefault="00B070BF" w:rsidP="00C33D4A">
            <w:pPr>
              <w:widowControl w:val="0"/>
              <w:autoSpaceDE w:val="0"/>
              <w:autoSpaceDN w:val="0"/>
              <w:adjustRightInd w:val="0"/>
              <w:spacing w:before="120" w:after="120"/>
              <w:rPr>
                <w:sz w:val="16"/>
                <w:szCs w:val="16"/>
                <w:lang w:val="es-ES_tradnl"/>
              </w:rPr>
            </w:pPr>
            <w:r w:rsidRPr="009577DE">
              <w:rPr>
                <w:sz w:val="16"/>
                <w:szCs w:val="16"/>
                <w:lang w:val="es-ES_tradnl"/>
              </w:rPr>
              <w:t>5 y 6 de julio de 2012</w:t>
            </w:r>
          </w:p>
          <w:p w:rsidR="00B070BF" w:rsidRPr="009577DE" w:rsidRDefault="00B070BF" w:rsidP="00C33D4A">
            <w:pPr>
              <w:widowControl w:val="0"/>
              <w:autoSpaceDE w:val="0"/>
              <w:autoSpaceDN w:val="0"/>
              <w:adjustRightInd w:val="0"/>
              <w:spacing w:before="120" w:after="120"/>
              <w:rPr>
                <w:sz w:val="16"/>
                <w:szCs w:val="16"/>
                <w:lang w:val="es-ES_tradnl"/>
              </w:rPr>
            </w:pPr>
          </w:p>
        </w:tc>
        <w:tc>
          <w:tcPr>
            <w:tcW w:w="2835" w:type="dxa"/>
          </w:tcPr>
          <w:p w:rsidR="00B070BF" w:rsidRPr="009577DE" w:rsidRDefault="00B070BF" w:rsidP="00C33D4A">
            <w:pPr>
              <w:widowControl w:val="0"/>
              <w:autoSpaceDE w:val="0"/>
              <w:autoSpaceDN w:val="0"/>
              <w:adjustRightInd w:val="0"/>
              <w:spacing w:before="120" w:after="120"/>
              <w:rPr>
                <w:sz w:val="16"/>
                <w:szCs w:val="16"/>
                <w:lang w:val="es-ES_tradnl"/>
              </w:rPr>
            </w:pPr>
            <w:r w:rsidRPr="009577DE">
              <w:rPr>
                <w:sz w:val="16"/>
                <w:szCs w:val="16"/>
                <w:lang w:val="es-ES_tradnl"/>
              </w:rPr>
              <w:t xml:space="preserve">Argentina, Brasil, Colombia, Ecuador, Paraguay, Perú, </w:t>
            </w:r>
            <w:proofErr w:type="spellStart"/>
            <w:r w:rsidRPr="009577DE">
              <w:rPr>
                <w:sz w:val="16"/>
                <w:szCs w:val="16"/>
                <w:lang w:val="es-ES_tradnl"/>
              </w:rPr>
              <w:t>Suriname</w:t>
            </w:r>
            <w:proofErr w:type="spellEnd"/>
            <w:r w:rsidRPr="009577DE">
              <w:rPr>
                <w:sz w:val="16"/>
                <w:szCs w:val="16"/>
                <w:lang w:val="es-ES_tradnl"/>
              </w:rPr>
              <w:t xml:space="preserve"> y Uruguay</w:t>
            </w:r>
          </w:p>
          <w:p w:rsidR="00B070BF" w:rsidRPr="009577DE" w:rsidRDefault="00B070BF" w:rsidP="00C33D4A">
            <w:pPr>
              <w:widowControl w:val="0"/>
              <w:autoSpaceDE w:val="0"/>
              <w:autoSpaceDN w:val="0"/>
              <w:adjustRightInd w:val="0"/>
              <w:rPr>
                <w:sz w:val="16"/>
                <w:szCs w:val="16"/>
                <w:lang w:val="es-ES_tradnl"/>
              </w:rPr>
            </w:pPr>
          </w:p>
        </w:tc>
        <w:tc>
          <w:tcPr>
            <w:tcW w:w="3260" w:type="dxa"/>
          </w:tcPr>
          <w:p w:rsidR="00B070BF" w:rsidRPr="009577DE" w:rsidRDefault="00B070BF" w:rsidP="00C33D4A">
            <w:pPr>
              <w:widowControl w:val="0"/>
              <w:autoSpaceDE w:val="0"/>
              <w:autoSpaceDN w:val="0"/>
              <w:adjustRightInd w:val="0"/>
              <w:spacing w:before="120" w:after="120"/>
              <w:rPr>
                <w:sz w:val="16"/>
                <w:szCs w:val="16"/>
                <w:lang w:val="es-ES_tradnl"/>
              </w:rPr>
            </w:pPr>
            <w:r w:rsidRPr="009577DE">
              <w:rPr>
                <w:sz w:val="16"/>
                <w:szCs w:val="16"/>
                <w:lang w:val="es-ES_tradnl"/>
              </w:rPr>
              <w:t>Seguir examinando la evolución que se presenta en el contexto del proyecto en colaboración, haciendo hincapié, en particular, en la aplicación de soluciones técnicas de cooperación en el examen de marcas y patentes y en las posibilidades de consolidar la institucionalización de PROSUR.</w:t>
            </w:r>
          </w:p>
          <w:p w:rsidR="00B070BF" w:rsidRPr="009577DE" w:rsidRDefault="00B070BF" w:rsidP="00C33D4A">
            <w:pPr>
              <w:widowControl w:val="0"/>
              <w:rPr>
                <w:sz w:val="16"/>
                <w:szCs w:val="16"/>
                <w:lang w:val="es-ES_tradnl"/>
              </w:rPr>
            </w:pPr>
          </w:p>
        </w:tc>
      </w:tr>
      <w:tr w:rsidR="00B070BF" w:rsidRPr="009577DE" w:rsidTr="00C33D4A">
        <w:trPr>
          <w:trHeight w:val="2162"/>
        </w:trPr>
        <w:tc>
          <w:tcPr>
            <w:tcW w:w="1843" w:type="dxa"/>
          </w:tcPr>
          <w:p w:rsidR="00B070BF" w:rsidRPr="009577DE" w:rsidRDefault="00B070BF" w:rsidP="00C33D4A">
            <w:pPr>
              <w:widowControl w:val="0"/>
              <w:autoSpaceDE w:val="0"/>
              <w:autoSpaceDN w:val="0"/>
              <w:adjustRightInd w:val="0"/>
              <w:spacing w:before="120" w:after="120"/>
              <w:rPr>
                <w:sz w:val="16"/>
                <w:szCs w:val="16"/>
                <w:lang w:val="es-ES_tradnl"/>
              </w:rPr>
            </w:pPr>
            <w:r w:rsidRPr="009577DE">
              <w:rPr>
                <w:sz w:val="16"/>
                <w:szCs w:val="16"/>
                <w:lang w:val="es-ES_tradnl"/>
              </w:rPr>
              <w:t>Reuniones de países que han adoptado el sistema IPAS, con miras al intercambio de información e ideas para mejorar el sistema.  Nueve países recibieron financiación para la participación de un representante (tres días).</w:t>
            </w:r>
          </w:p>
        </w:tc>
        <w:tc>
          <w:tcPr>
            <w:tcW w:w="1134" w:type="dxa"/>
          </w:tcPr>
          <w:p w:rsidR="00B070BF" w:rsidRPr="009577DE" w:rsidRDefault="00B070BF" w:rsidP="00C33D4A">
            <w:pPr>
              <w:widowControl w:val="0"/>
              <w:autoSpaceDE w:val="0"/>
              <w:autoSpaceDN w:val="0"/>
              <w:adjustRightInd w:val="0"/>
              <w:spacing w:before="120" w:after="120"/>
              <w:rPr>
                <w:sz w:val="16"/>
                <w:szCs w:val="16"/>
                <w:lang w:val="es-ES_tradnl"/>
              </w:rPr>
            </w:pPr>
            <w:r w:rsidRPr="009577DE">
              <w:rPr>
                <w:sz w:val="16"/>
                <w:szCs w:val="16"/>
                <w:lang w:val="es-ES_tradnl"/>
              </w:rPr>
              <w:t>4 a 6 de junio de 2012</w:t>
            </w:r>
          </w:p>
          <w:p w:rsidR="00B070BF" w:rsidRPr="009577DE" w:rsidRDefault="00B070BF" w:rsidP="00C33D4A">
            <w:pPr>
              <w:widowControl w:val="0"/>
              <w:autoSpaceDE w:val="0"/>
              <w:autoSpaceDN w:val="0"/>
              <w:adjustRightInd w:val="0"/>
              <w:spacing w:before="120" w:after="120"/>
              <w:rPr>
                <w:sz w:val="16"/>
                <w:szCs w:val="16"/>
                <w:lang w:val="es-ES_tradnl"/>
              </w:rPr>
            </w:pPr>
          </w:p>
          <w:p w:rsidR="00B070BF" w:rsidRPr="009577DE" w:rsidRDefault="00B070BF" w:rsidP="00C33D4A">
            <w:pPr>
              <w:widowControl w:val="0"/>
              <w:autoSpaceDE w:val="0"/>
              <w:autoSpaceDN w:val="0"/>
              <w:adjustRightInd w:val="0"/>
              <w:spacing w:before="120" w:after="120"/>
              <w:rPr>
                <w:sz w:val="16"/>
                <w:szCs w:val="16"/>
                <w:lang w:val="es-ES_tradnl"/>
              </w:rPr>
            </w:pPr>
          </w:p>
          <w:p w:rsidR="00B070BF" w:rsidRPr="009577DE" w:rsidRDefault="00B070BF" w:rsidP="00C33D4A">
            <w:pPr>
              <w:widowControl w:val="0"/>
              <w:autoSpaceDE w:val="0"/>
              <w:autoSpaceDN w:val="0"/>
              <w:adjustRightInd w:val="0"/>
              <w:spacing w:before="120" w:after="120"/>
              <w:rPr>
                <w:sz w:val="16"/>
                <w:szCs w:val="16"/>
                <w:lang w:val="es-ES_tradnl"/>
              </w:rPr>
            </w:pPr>
          </w:p>
          <w:p w:rsidR="00B070BF" w:rsidRPr="009577DE" w:rsidRDefault="00B070BF" w:rsidP="00C33D4A">
            <w:pPr>
              <w:widowControl w:val="0"/>
              <w:autoSpaceDE w:val="0"/>
              <w:autoSpaceDN w:val="0"/>
              <w:adjustRightInd w:val="0"/>
              <w:rPr>
                <w:sz w:val="16"/>
                <w:szCs w:val="16"/>
                <w:lang w:val="es-ES_tradnl"/>
              </w:rPr>
            </w:pPr>
          </w:p>
        </w:tc>
        <w:tc>
          <w:tcPr>
            <w:tcW w:w="2835" w:type="dxa"/>
          </w:tcPr>
          <w:p w:rsidR="00B070BF" w:rsidRPr="009577DE" w:rsidRDefault="00B070BF" w:rsidP="00C33D4A">
            <w:pPr>
              <w:widowControl w:val="0"/>
              <w:autoSpaceDE w:val="0"/>
              <w:autoSpaceDN w:val="0"/>
              <w:adjustRightInd w:val="0"/>
              <w:rPr>
                <w:sz w:val="16"/>
                <w:szCs w:val="16"/>
                <w:lang w:val="es-ES_tradnl"/>
              </w:rPr>
            </w:pPr>
          </w:p>
          <w:p w:rsidR="00B070BF" w:rsidRPr="009577DE" w:rsidRDefault="00B070BF" w:rsidP="00C33D4A">
            <w:pPr>
              <w:widowControl w:val="0"/>
              <w:autoSpaceDE w:val="0"/>
              <w:autoSpaceDN w:val="0"/>
              <w:adjustRightInd w:val="0"/>
              <w:rPr>
                <w:sz w:val="16"/>
                <w:szCs w:val="16"/>
                <w:lang w:val="es-ES_tradnl"/>
              </w:rPr>
            </w:pPr>
            <w:r w:rsidRPr="009577DE">
              <w:rPr>
                <w:sz w:val="16"/>
                <w:szCs w:val="16"/>
                <w:lang w:val="es-ES_tradnl"/>
              </w:rPr>
              <w:t>Angola, Argentina, Colombia, Cuba, Ecuador, El Salvador, Honduras, México, Mozambique, Paraguay, Perú, República Dominicana, Uruguay.</w:t>
            </w:r>
          </w:p>
          <w:p w:rsidR="00B070BF" w:rsidRPr="009577DE" w:rsidRDefault="00B070BF" w:rsidP="00C33D4A">
            <w:pPr>
              <w:widowControl w:val="0"/>
              <w:autoSpaceDE w:val="0"/>
              <w:autoSpaceDN w:val="0"/>
              <w:adjustRightInd w:val="0"/>
              <w:rPr>
                <w:sz w:val="16"/>
                <w:szCs w:val="16"/>
                <w:lang w:val="es-ES_tradnl"/>
              </w:rPr>
            </w:pPr>
          </w:p>
        </w:tc>
        <w:tc>
          <w:tcPr>
            <w:tcW w:w="3260" w:type="dxa"/>
          </w:tcPr>
          <w:p w:rsidR="00B070BF" w:rsidRPr="009577DE" w:rsidRDefault="00B070BF" w:rsidP="00C33D4A">
            <w:pPr>
              <w:widowControl w:val="0"/>
              <w:autoSpaceDE w:val="0"/>
              <w:autoSpaceDN w:val="0"/>
              <w:adjustRightInd w:val="0"/>
              <w:spacing w:before="120" w:after="120"/>
              <w:rPr>
                <w:lang w:val="es-ES_tradnl"/>
              </w:rPr>
            </w:pPr>
            <w:r w:rsidRPr="009577DE">
              <w:rPr>
                <w:sz w:val="16"/>
                <w:szCs w:val="16"/>
                <w:lang w:val="es-ES_tradnl"/>
              </w:rPr>
              <w:t>Fomentar el intercambio de experiencias entre las distintas instituciones nacionales con miras a facilitar el uso de IPAS como instrumento para mejorar la productividad y la calidad de los servicios que prestan las oficinas de P.I.</w:t>
            </w:r>
          </w:p>
          <w:p w:rsidR="00B070BF" w:rsidRPr="009577DE" w:rsidRDefault="00B070BF" w:rsidP="00C33D4A">
            <w:pPr>
              <w:widowControl w:val="0"/>
              <w:spacing w:after="220"/>
              <w:rPr>
                <w:sz w:val="16"/>
                <w:szCs w:val="16"/>
                <w:lang w:val="es-ES_tradnl"/>
              </w:rPr>
            </w:pPr>
          </w:p>
        </w:tc>
      </w:tr>
      <w:tr w:rsidR="00B070BF" w:rsidRPr="009577DE" w:rsidTr="00C33D4A">
        <w:trPr>
          <w:trHeight w:val="552"/>
        </w:trPr>
        <w:tc>
          <w:tcPr>
            <w:tcW w:w="1843" w:type="dxa"/>
            <w:tcBorders>
              <w:bottom w:val="single" w:sz="4" w:space="0" w:color="000000"/>
            </w:tcBorders>
          </w:tcPr>
          <w:p w:rsidR="00B070BF" w:rsidRPr="009577DE" w:rsidRDefault="00B070BF" w:rsidP="00C33D4A">
            <w:pPr>
              <w:widowControl w:val="0"/>
              <w:autoSpaceDE w:val="0"/>
              <w:autoSpaceDN w:val="0"/>
              <w:adjustRightInd w:val="0"/>
              <w:spacing w:before="120" w:after="120"/>
              <w:rPr>
                <w:sz w:val="16"/>
                <w:szCs w:val="16"/>
                <w:lang w:val="es-ES_tradnl"/>
              </w:rPr>
            </w:pPr>
            <w:r w:rsidRPr="009577DE">
              <w:rPr>
                <w:sz w:val="16"/>
                <w:szCs w:val="16"/>
                <w:lang w:val="es-ES_tradnl"/>
              </w:rPr>
              <w:t>Consolidar los conocimientos especializados sobre los procedimientos de registro y examen de las indicaciones geográficas.  Misión al INPI (Brasil) de un experto del ámbito internacional.</w:t>
            </w:r>
          </w:p>
        </w:tc>
        <w:tc>
          <w:tcPr>
            <w:tcW w:w="1134" w:type="dxa"/>
            <w:tcBorders>
              <w:bottom w:val="single" w:sz="4" w:space="0" w:color="000000"/>
            </w:tcBorders>
          </w:tcPr>
          <w:p w:rsidR="00B070BF" w:rsidRPr="009577DE" w:rsidRDefault="00B070BF" w:rsidP="00C33D4A">
            <w:pPr>
              <w:widowControl w:val="0"/>
              <w:autoSpaceDE w:val="0"/>
              <w:autoSpaceDN w:val="0"/>
              <w:adjustRightInd w:val="0"/>
              <w:spacing w:before="120" w:after="120"/>
              <w:rPr>
                <w:sz w:val="16"/>
                <w:szCs w:val="16"/>
                <w:lang w:val="es-ES_tradnl"/>
              </w:rPr>
            </w:pPr>
            <w:r w:rsidRPr="009577DE">
              <w:rPr>
                <w:sz w:val="16"/>
                <w:szCs w:val="16"/>
                <w:lang w:val="es-ES_tradnl"/>
              </w:rPr>
              <w:t>20 y 21 de agosto de 2012</w:t>
            </w:r>
          </w:p>
          <w:p w:rsidR="00B070BF" w:rsidRPr="009577DE" w:rsidRDefault="00B070BF" w:rsidP="00C33D4A">
            <w:pPr>
              <w:widowControl w:val="0"/>
              <w:autoSpaceDE w:val="0"/>
              <w:autoSpaceDN w:val="0"/>
              <w:adjustRightInd w:val="0"/>
              <w:spacing w:before="120" w:after="120"/>
              <w:rPr>
                <w:sz w:val="16"/>
                <w:szCs w:val="16"/>
                <w:lang w:val="es-ES_tradnl"/>
              </w:rPr>
            </w:pPr>
          </w:p>
        </w:tc>
        <w:tc>
          <w:tcPr>
            <w:tcW w:w="2835" w:type="dxa"/>
            <w:tcBorders>
              <w:bottom w:val="single" w:sz="4" w:space="0" w:color="000000"/>
            </w:tcBorders>
          </w:tcPr>
          <w:p w:rsidR="00B070BF" w:rsidRPr="009577DE" w:rsidRDefault="00B070BF" w:rsidP="00C33D4A">
            <w:pPr>
              <w:widowControl w:val="0"/>
              <w:autoSpaceDE w:val="0"/>
              <w:autoSpaceDN w:val="0"/>
              <w:adjustRightInd w:val="0"/>
              <w:rPr>
                <w:sz w:val="16"/>
                <w:szCs w:val="16"/>
                <w:lang w:val="es-ES_tradnl"/>
              </w:rPr>
            </w:pPr>
          </w:p>
          <w:p w:rsidR="00B070BF" w:rsidRPr="009577DE" w:rsidRDefault="00B070BF" w:rsidP="00C33D4A">
            <w:pPr>
              <w:widowControl w:val="0"/>
              <w:autoSpaceDE w:val="0"/>
              <w:autoSpaceDN w:val="0"/>
              <w:adjustRightInd w:val="0"/>
              <w:rPr>
                <w:sz w:val="16"/>
                <w:szCs w:val="16"/>
                <w:lang w:val="es-ES_tradnl"/>
              </w:rPr>
            </w:pPr>
            <w:r w:rsidRPr="009577DE">
              <w:rPr>
                <w:sz w:val="16"/>
                <w:szCs w:val="16"/>
                <w:lang w:val="es-ES_tradnl"/>
              </w:rPr>
              <w:t>Brasil</w:t>
            </w:r>
          </w:p>
          <w:p w:rsidR="00B070BF" w:rsidRPr="009577DE" w:rsidRDefault="00B070BF" w:rsidP="00C33D4A">
            <w:pPr>
              <w:widowControl w:val="0"/>
              <w:autoSpaceDE w:val="0"/>
              <w:autoSpaceDN w:val="0"/>
              <w:adjustRightInd w:val="0"/>
              <w:spacing w:before="120" w:after="120"/>
              <w:rPr>
                <w:sz w:val="16"/>
                <w:szCs w:val="16"/>
                <w:lang w:val="es-ES_tradnl"/>
              </w:rPr>
            </w:pPr>
          </w:p>
        </w:tc>
        <w:tc>
          <w:tcPr>
            <w:tcW w:w="3260" w:type="dxa"/>
            <w:tcBorders>
              <w:bottom w:val="single" w:sz="4" w:space="0" w:color="000000"/>
            </w:tcBorders>
          </w:tcPr>
          <w:p w:rsidR="00B070BF" w:rsidRPr="009577DE" w:rsidRDefault="00B070BF" w:rsidP="00C33D4A">
            <w:pPr>
              <w:widowControl w:val="0"/>
              <w:rPr>
                <w:sz w:val="16"/>
                <w:szCs w:val="16"/>
                <w:lang w:val="es-ES_tradnl" w:eastAsia="pt-BR"/>
              </w:rPr>
            </w:pPr>
          </w:p>
          <w:p w:rsidR="00B070BF" w:rsidRPr="009577DE" w:rsidRDefault="00B070BF" w:rsidP="00C33D4A">
            <w:pPr>
              <w:widowControl w:val="0"/>
              <w:rPr>
                <w:sz w:val="16"/>
                <w:szCs w:val="16"/>
                <w:lang w:val="es-ES_tradnl"/>
              </w:rPr>
            </w:pPr>
            <w:r w:rsidRPr="009577DE">
              <w:rPr>
                <w:sz w:val="16"/>
                <w:szCs w:val="16"/>
                <w:lang w:val="es-ES_tradnl" w:eastAsia="pt-BR"/>
              </w:rPr>
              <w:t>Fomentar el debate de las cuestiones relacionadas con la P.I. con miras a mejorar la comprensión e intensificar la utilización del sistema de P.I.</w:t>
            </w:r>
          </w:p>
          <w:p w:rsidR="00B070BF" w:rsidRPr="009577DE" w:rsidRDefault="00B070BF" w:rsidP="00C33D4A">
            <w:pPr>
              <w:widowControl w:val="0"/>
              <w:autoSpaceDE w:val="0"/>
              <w:autoSpaceDN w:val="0"/>
              <w:adjustRightInd w:val="0"/>
              <w:spacing w:before="120" w:after="120"/>
              <w:rPr>
                <w:sz w:val="16"/>
                <w:szCs w:val="16"/>
                <w:lang w:val="es-ES_tradnl"/>
              </w:rPr>
            </w:pPr>
          </w:p>
        </w:tc>
      </w:tr>
      <w:tr w:rsidR="00B070BF" w:rsidRPr="009577DE" w:rsidTr="00C33D4A">
        <w:tc>
          <w:tcPr>
            <w:tcW w:w="9072" w:type="dxa"/>
            <w:gridSpan w:val="4"/>
            <w:tcBorders>
              <w:top w:val="single" w:sz="4" w:space="0" w:color="000000"/>
              <w:bottom w:val="single" w:sz="4" w:space="0" w:color="000000"/>
            </w:tcBorders>
            <w:shd w:val="clear" w:color="auto" w:fill="CCFFFF"/>
            <w:vAlign w:val="center"/>
          </w:tcPr>
          <w:p w:rsidR="00B070BF" w:rsidRPr="009577DE" w:rsidRDefault="00B070BF" w:rsidP="00C33D4A">
            <w:pPr>
              <w:widowControl w:val="0"/>
              <w:tabs>
                <w:tab w:val="left" w:pos="1740"/>
              </w:tabs>
              <w:spacing w:before="120" w:after="120"/>
              <w:ind w:left="1740" w:hanging="1740"/>
              <w:rPr>
                <w:b/>
                <w:bCs/>
                <w:sz w:val="16"/>
                <w:szCs w:val="16"/>
                <w:lang w:val="es-ES_tradnl"/>
              </w:rPr>
            </w:pPr>
            <w:r w:rsidRPr="009577DE">
              <w:rPr>
                <w:b/>
                <w:bCs/>
                <w:sz w:val="16"/>
                <w:szCs w:val="16"/>
                <w:lang w:val="es-ES_tradnl"/>
              </w:rPr>
              <w:t>RESULTADO:</w:t>
            </w:r>
            <w:r w:rsidRPr="009577DE">
              <w:rPr>
                <w:b/>
                <w:bCs/>
                <w:sz w:val="16"/>
                <w:szCs w:val="16"/>
                <w:lang w:val="es-ES_tradnl"/>
              </w:rPr>
              <w:tab/>
            </w:r>
            <w:r w:rsidRPr="009577DE">
              <w:rPr>
                <w:bCs/>
                <w:sz w:val="16"/>
                <w:szCs w:val="16"/>
                <w:lang w:val="es-ES_tradnl"/>
              </w:rPr>
              <w:t>Mejora de las capacidades en el ámbito de los recursos humanos para hacer frente al amplio espectro de exigencias que supone la utilización eficaz de la P.I. en aras del desarrollo en los países en desarrollo, PMA y países con economías en transición</w:t>
            </w:r>
          </w:p>
        </w:tc>
      </w:tr>
      <w:tr w:rsidR="00B070BF" w:rsidRPr="009577DE" w:rsidTr="00C33D4A">
        <w:tc>
          <w:tcPr>
            <w:tcW w:w="1843" w:type="dxa"/>
            <w:tcBorders>
              <w:top w:val="single" w:sz="4" w:space="0" w:color="000000"/>
            </w:tcBorders>
            <w:vAlign w:val="center"/>
          </w:tcPr>
          <w:p w:rsidR="00B070BF" w:rsidRPr="009577DE" w:rsidRDefault="00B070BF" w:rsidP="00C33D4A">
            <w:pPr>
              <w:widowControl w:val="0"/>
              <w:rPr>
                <w:b/>
                <w:bCs/>
                <w:sz w:val="16"/>
                <w:szCs w:val="16"/>
                <w:lang w:val="es-ES_tradnl"/>
              </w:rPr>
            </w:pPr>
            <w:r w:rsidRPr="009577DE">
              <w:rPr>
                <w:b/>
                <w:bCs/>
                <w:sz w:val="16"/>
                <w:szCs w:val="16"/>
                <w:lang w:val="es-ES_tradnl"/>
              </w:rPr>
              <w:t>Actividad</w:t>
            </w:r>
          </w:p>
        </w:tc>
        <w:tc>
          <w:tcPr>
            <w:tcW w:w="1134" w:type="dxa"/>
            <w:tcBorders>
              <w:top w:val="single" w:sz="4" w:space="0" w:color="000000"/>
            </w:tcBorders>
            <w:shd w:val="clear" w:color="auto" w:fill="auto"/>
            <w:tcMar>
              <w:top w:w="110" w:type="dxa"/>
            </w:tcMar>
            <w:vAlign w:val="center"/>
          </w:tcPr>
          <w:p w:rsidR="00B070BF" w:rsidRPr="009577DE" w:rsidRDefault="00B070BF" w:rsidP="00C33D4A">
            <w:pPr>
              <w:widowControl w:val="0"/>
              <w:rPr>
                <w:sz w:val="16"/>
                <w:szCs w:val="16"/>
                <w:lang w:val="es-ES_tradnl"/>
              </w:rPr>
            </w:pPr>
            <w:r w:rsidRPr="009577DE">
              <w:rPr>
                <w:b/>
                <w:bCs/>
                <w:sz w:val="16"/>
                <w:szCs w:val="16"/>
                <w:lang w:val="es-ES_tradnl"/>
              </w:rPr>
              <w:t>Fecha</w:t>
            </w:r>
          </w:p>
        </w:tc>
        <w:tc>
          <w:tcPr>
            <w:tcW w:w="2835" w:type="dxa"/>
            <w:tcBorders>
              <w:top w:val="single" w:sz="4" w:space="0" w:color="000000"/>
            </w:tcBorders>
            <w:shd w:val="clear" w:color="auto" w:fill="auto"/>
            <w:tcMar>
              <w:top w:w="110" w:type="dxa"/>
            </w:tcMar>
            <w:vAlign w:val="center"/>
          </w:tcPr>
          <w:p w:rsidR="00B070BF" w:rsidRPr="009577DE" w:rsidRDefault="00B070BF" w:rsidP="00C33D4A">
            <w:pPr>
              <w:widowControl w:val="0"/>
              <w:rPr>
                <w:sz w:val="16"/>
                <w:szCs w:val="16"/>
                <w:lang w:val="es-ES_tradnl"/>
              </w:rPr>
            </w:pPr>
            <w:r w:rsidRPr="009577DE">
              <w:rPr>
                <w:b/>
                <w:bCs/>
                <w:sz w:val="16"/>
                <w:szCs w:val="16"/>
                <w:lang w:val="es-ES_tradnl"/>
              </w:rPr>
              <w:t>País anfitrión/Beneficiarios</w:t>
            </w:r>
          </w:p>
        </w:tc>
        <w:tc>
          <w:tcPr>
            <w:tcW w:w="3260" w:type="dxa"/>
            <w:tcBorders>
              <w:top w:val="single" w:sz="4" w:space="0" w:color="000000"/>
            </w:tcBorders>
            <w:shd w:val="clear" w:color="auto" w:fill="FFFFFF"/>
            <w:tcMar>
              <w:top w:w="110" w:type="dxa"/>
            </w:tcMar>
            <w:vAlign w:val="center"/>
          </w:tcPr>
          <w:p w:rsidR="00B070BF" w:rsidRPr="009577DE" w:rsidRDefault="00B070BF" w:rsidP="00C33D4A">
            <w:pPr>
              <w:widowControl w:val="0"/>
              <w:rPr>
                <w:sz w:val="16"/>
                <w:szCs w:val="16"/>
                <w:lang w:val="es-ES_tradnl"/>
              </w:rPr>
            </w:pPr>
            <w:r w:rsidRPr="009577DE">
              <w:rPr>
                <w:b/>
                <w:bCs/>
                <w:sz w:val="16"/>
                <w:szCs w:val="16"/>
                <w:lang w:val="es-ES_tradnl"/>
              </w:rPr>
              <w:t>Propósito(s)/Descripción</w:t>
            </w:r>
          </w:p>
        </w:tc>
      </w:tr>
      <w:tr w:rsidR="00B070BF" w:rsidRPr="009577DE" w:rsidTr="00C33D4A">
        <w:trPr>
          <w:trHeight w:val="1220"/>
        </w:trPr>
        <w:tc>
          <w:tcPr>
            <w:tcW w:w="1843" w:type="dxa"/>
          </w:tcPr>
          <w:p w:rsidR="00B070BF" w:rsidRPr="009577DE" w:rsidRDefault="00B070BF" w:rsidP="00C33D4A">
            <w:pPr>
              <w:widowControl w:val="0"/>
              <w:autoSpaceDE w:val="0"/>
              <w:autoSpaceDN w:val="0"/>
              <w:adjustRightInd w:val="0"/>
              <w:spacing w:before="120" w:after="120"/>
              <w:ind w:right="-77"/>
              <w:rPr>
                <w:sz w:val="16"/>
                <w:szCs w:val="16"/>
                <w:lang w:val="es-ES_tradnl"/>
              </w:rPr>
            </w:pPr>
            <w:r w:rsidRPr="009577DE">
              <w:rPr>
                <w:sz w:val="16"/>
                <w:szCs w:val="16"/>
                <w:lang w:val="es-ES_tradnl"/>
              </w:rPr>
              <w:t>Simposio Internacional sobre la utilización estratégica de la P.I. en la industria del deporte (dos días).  Se financió la participación de cinco expertos del ámbito internacional.</w:t>
            </w:r>
          </w:p>
        </w:tc>
        <w:tc>
          <w:tcPr>
            <w:tcW w:w="1134" w:type="dxa"/>
          </w:tcPr>
          <w:p w:rsidR="00B070BF" w:rsidRPr="009577DE" w:rsidRDefault="00B070BF" w:rsidP="00C33D4A">
            <w:pPr>
              <w:widowControl w:val="0"/>
              <w:autoSpaceDE w:val="0"/>
              <w:autoSpaceDN w:val="0"/>
              <w:adjustRightInd w:val="0"/>
              <w:rPr>
                <w:sz w:val="16"/>
                <w:szCs w:val="16"/>
                <w:lang w:val="es-ES_tradnl"/>
              </w:rPr>
            </w:pPr>
          </w:p>
          <w:p w:rsidR="00B070BF" w:rsidRPr="009577DE" w:rsidRDefault="00B070BF" w:rsidP="00C33D4A">
            <w:pPr>
              <w:widowControl w:val="0"/>
              <w:autoSpaceDE w:val="0"/>
              <w:autoSpaceDN w:val="0"/>
              <w:adjustRightInd w:val="0"/>
              <w:rPr>
                <w:sz w:val="16"/>
                <w:szCs w:val="16"/>
                <w:lang w:val="es-ES_tradnl"/>
              </w:rPr>
            </w:pPr>
            <w:r w:rsidRPr="009577DE">
              <w:rPr>
                <w:sz w:val="16"/>
                <w:szCs w:val="16"/>
                <w:lang w:val="es-ES_tradnl"/>
              </w:rPr>
              <w:t>12 a 3 de septiembre de 2012</w:t>
            </w:r>
          </w:p>
        </w:tc>
        <w:tc>
          <w:tcPr>
            <w:tcW w:w="2835" w:type="dxa"/>
          </w:tcPr>
          <w:p w:rsidR="00B070BF" w:rsidRPr="009577DE" w:rsidRDefault="00B070BF" w:rsidP="00C33D4A">
            <w:pPr>
              <w:widowControl w:val="0"/>
              <w:autoSpaceDE w:val="0"/>
              <w:autoSpaceDN w:val="0"/>
              <w:adjustRightInd w:val="0"/>
              <w:rPr>
                <w:sz w:val="16"/>
                <w:szCs w:val="16"/>
                <w:lang w:val="es-ES_tradnl"/>
              </w:rPr>
            </w:pPr>
          </w:p>
          <w:p w:rsidR="00B070BF" w:rsidRPr="009577DE" w:rsidRDefault="00B070BF" w:rsidP="00C33D4A">
            <w:pPr>
              <w:widowControl w:val="0"/>
              <w:autoSpaceDE w:val="0"/>
              <w:autoSpaceDN w:val="0"/>
              <w:adjustRightInd w:val="0"/>
              <w:rPr>
                <w:sz w:val="16"/>
                <w:szCs w:val="16"/>
                <w:lang w:val="es-ES_tradnl"/>
              </w:rPr>
            </w:pPr>
            <w:r w:rsidRPr="009577DE">
              <w:rPr>
                <w:sz w:val="16"/>
                <w:szCs w:val="16"/>
                <w:lang w:val="es-ES_tradnl"/>
              </w:rPr>
              <w:t>Brasil</w:t>
            </w:r>
          </w:p>
          <w:p w:rsidR="00B070BF" w:rsidRPr="009577DE" w:rsidRDefault="00B070BF" w:rsidP="00C33D4A">
            <w:pPr>
              <w:widowControl w:val="0"/>
              <w:autoSpaceDE w:val="0"/>
              <w:autoSpaceDN w:val="0"/>
              <w:adjustRightInd w:val="0"/>
              <w:spacing w:before="120" w:after="120"/>
              <w:rPr>
                <w:sz w:val="16"/>
                <w:szCs w:val="16"/>
                <w:lang w:val="es-ES_tradnl"/>
              </w:rPr>
            </w:pPr>
          </w:p>
        </w:tc>
        <w:tc>
          <w:tcPr>
            <w:tcW w:w="3260" w:type="dxa"/>
          </w:tcPr>
          <w:p w:rsidR="00B070BF" w:rsidRPr="009577DE" w:rsidRDefault="00B070BF" w:rsidP="00C33D4A">
            <w:pPr>
              <w:widowControl w:val="0"/>
              <w:rPr>
                <w:sz w:val="16"/>
                <w:szCs w:val="16"/>
                <w:lang w:val="es-ES_tradnl" w:eastAsia="pt-BR"/>
              </w:rPr>
            </w:pPr>
          </w:p>
          <w:p w:rsidR="00B070BF" w:rsidRPr="009577DE" w:rsidRDefault="00B070BF" w:rsidP="00C33D4A">
            <w:pPr>
              <w:widowControl w:val="0"/>
              <w:rPr>
                <w:sz w:val="16"/>
                <w:szCs w:val="16"/>
                <w:lang w:val="es-ES_tradnl"/>
              </w:rPr>
            </w:pPr>
            <w:r w:rsidRPr="009577DE">
              <w:rPr>
                <w:sz w:val="16"/>
                <w:szCs w:val="16"/>
                <w:lang w:val="es-ES_tradnl" w:eastAsia="pt-BR"/>
              </w:rPr>
              <w:t>Proporcionar al público en general abundante información sobre la utilidad de la gestión de la P.I. como instrumento vital para fomentar la industria del deporte.</w:t>
            </w:r>
          </w:p>
        </w:tc>
      </w:tr>
      <w:tr w:rsidR="00B070BF" w:rsidRPr="009577DE" w:rsidTr="00C33D4A">
        <w:trPr>
          <w:trHeight w:val="276"/>
        </w:trPr>
        <w:tc>
          <w:tcPr>
            <w:tcW w:w="1843" w:type="dxa"/>
          </w:tcPr>
          <w:p w:rsidR="00B070BF" w:rsidRPr="009577DE" w:rsidRDefault="00B070BF" w:rsidP="00C33D4A">
            <w:pPr>
              <w:widowControl w:val="0"/>
              <w:autoSpaceDE w:val="0"/>
              <w:autoSpaceDN w:val="0"/>
              <w:adjustRightInd w:val="0"/>
              <w:spacing w:before="120" w:after="120"/>
              <w:ind w:right="-77"/>
              <w:rPr>
                <w:sz w:val="16"/>
                <w:szCs w:val="16"/>
                <w:lang w:val="es-ES_tradnl"/>
              </w:rPr>
            </w:pPr>
            <w:r w:rsidRPr="009577DE">
              <w:rPr>
                <w:sz w:val="16"/>
                <w:szCs w:val="16"/>
                <w:lang w:val="es-ES_tradnl"/>
              </w:rPr>
              <w:t>Reunión sobre nuevas cuestiones de P.I.;  se financió la participación de un experto del ámbito internacional.</w:t>
            </w:r>
          </w:p>
        </w:tc>
        <w:tc>
          <w:tcPr>
            <w:tcW w:w="1134" w:type="dxa"/>
          </w:tcPr>
          <w:p w:rsidR="00B070BF" w:rsidRPr="009577DE" w:rsidRDefault="00B070BF" w:rsidP="00C33D4A">
            <w:pPr>
              <w:widowControl w:val="0"/>
              <w:autoSpaceDE w:val="0"/>
              <w:autoSpaceDN w:val="0"/>
              <w:adjustRightInd w:val="0"/>
              <w:rPr>
                <w:sz w:val="16"/>
                <w:szCs w:val="16"/>
                <w:lang w:val="es-ES_tradnl"/>
              </w:rPr>
            </w:pPr>
          </w:p>
          <w:p w:rsidR="00B070BF" w:rsidRPr="009577DE" w:rsidRDefault="00B070BF" w:rsidP="00C33D4A">
            <w:pPr>
              <w:widowControl w:val="0"/>
              <w:autoSpaceDE w:val="0"/>
              <w:autoSpaceDN w:val="0"/>
              <w:adjustRightInd w:val="0"/>
              <w:rPr>
                <w:sz w:val="16"/>
                <w:szCs w:val="16"/>
                <w:lang w:val="es-ES_tradnl"/>
              </w:rPr>
            </w:pPr>
            <w:r w:rsidRPr="009577DE">
              <w:rPr>
                <w:sz w:val="16"/>
                <w:szCs w:val="16"/>
                <w:lang w:val="es-ES_tradnl"/>
              </w:rPr>
              <w:t>22 a 24 de agosto de 2012</w:t>
            </w:r>
          </w:p>
        </w:tc>
        <w:tc>
          <w:tcPr>
            <w:tcW w:w="2835" w:type="dxa"/>
          </w:tcPr>
          <w:p w:rsidR="00B070BF" w:rsidRPr="009577DE" w:rsidRDefault="00B070BF" w:rsidP="00C33D4A">
            <w:pPr>
              <w:widowControl w:val="0"/>
              <w:autoSpaceDE w:val="0"/>
              <w:autoSpaceDN w:val="0"/>
              <w:adjustRightInd w:val="0"/>
              <w:rPr>
                <w:sz w:val="16"/>
                <w:szCs w:val="16"/>
                <w:lang w:val="es-ES_tradnl"/>
              </w:rPr>
            </w:pPr>
          </w:p>
          <w:p w:rsidR="00B070BF" w:rsidRPr="009577DE" w:rsidRDefault="00B070BF" w:rsidP="00C33D4A">
            <w:pPr>
              <w:widowControl w:val="0"/>
              <w:autoSpaceDE w:val="0"/>
              <w:autoSpaceDN w:val="0"/>
              <w:adjustRightInd w:val="0"/>
              <w:rPr>
                <w:sz w:val="16"/>
                <w:szCs w:val="16"/>
                <w:lang w:val="es-ES_tradnl"/>
              </w:rPr>
            </w:pPr>
            <w:r w:rsidRPr="009577DE">
              <w:rPr>
                <w:sz w:val="16"/>
                <w:szCs w:val="16"/>
                <w:lang w:val="es-ES_tradnl"/>
              </w:rPr>
              <w:t>Brasil</w:t>
            </w:r>
          </w:p>
          <w:p w:rsidR="00B070BF" w:rsidRPr="009577DE" w:rsidRDefault="00B070BF" w:rsidP="00C33D4A">
            <w:pPr>
              <w:widowControl w:val="0"/>
              <w:autoSpaceDE w:val="0"/>
              <w:autoSpaceDN w:val="0"/>
              <w:adjustRightInd w:val="0"/>
              <w:spacing w:before="120" w:after="120"/>
              <w:rPr>
                <w:sz w:val="16"/>
                <w:szCs w:val="16"/>
                <w:lang w:val="es-ES_tradnl"/>
              </w:rPr>
            </w:pPr>
          </w:p>
        </w:tc>
        <w:tc>
          <w:tcPr>
            <w:tcW w:w="3260" w:type="dxa"/>
          </w:tcPr>
          <w:p w:rsidR="00B070BF" w:rsidRPr="009577DE" w:rsidRDefault="00B070BF" w:rsidP="00C33D4A">
            <w:pPr>
              <w:widowControl w:val="0"/>
              <w:rPr>
                <w:sz w:val="16"/>
                <w:szCs w:val="16"/>
                <w:lang w:val="es-ES_tradnl"/>
              </w:rPr>
            </w:pPr>
          </w:p>
          <w:p w:rsidR="00B070BF" w:rsidRPr="009577DE" w:rsidRDefault="00B070BF" w:rsidP="00C33D4A">
            <w:pPr>
              <w:widowControl w:val="0"/>
              <w:spacing w:after="120"/>
              <w:rPr>
                <w:sz w:val="16"/>
                <w:szCs w:val="16"/>
                <w:lang w:val="es-ES_tradnl" w:eastAsia="pt-BR"/>
              </w:rPr>
            </w:pPr>
            <w:r w:rsidRPr="009577DE">
              <w:rPr>
                <w:sz w:val="16"/>
                <w:szCs w:val="16"/>
                <w:lang w:val="es-ES_tradnl" w:eastAsia="pt-BR"/>
              </w:rPr>
              <w:t>Fomentar el debate de las cuestiones relacionadas con la P.I. con miras a mejorar la comprensión e intensificar la utilización del sistema de P.I.</w:t>
            </w:r>
          </w:p>
        </w:tc>
      </w:tr>
      <w:tr w:rsidR="00B070BF" w:rsidRPr="009577DE" w:rsidTr="00C33D4A">
        <w:trPr>
          <w:trHeight w:val="1534"/>
        </w:trPr>
        <w:tc>
          <w:tcPr>
            <w:tcW w:w="1843" w:type="dxa"/>
          </w:tcPr>
          <w:p w:rsidR="00B070BF" w:rsidRPr="009577DE" w:rsidRDefault="00B070BF" w:rsidP="00C33D4A">
            <w:pPr>
              <w:widowControl w:val="0"/>
              <w:autoSpaceDE w:val="0"/>
              <w:autoSpaceDN w:val="0"/>
              <w:adjustRightInd w:val="0"/>
              <w:spacing w:before="120"/>
              <w:rPr>
                <w:sz w:val="16"/>
                <w:szCs w:val="16"/>
                <w:lang w:val="es-ES_tradnl"/>
              </w:rPr>
            </w:pPr>
            <w:r w:rsidRPr="009577DE">
              <w:rPr>
                <w:sz w:val="16"/>
                <w:szCs w:val="16"/>
                <w:lang w:val="es-ES_tradnl"/>
              </w:rPr>
              <w:lastRenderedPageBreak/>
              <w:t>5ª Reunión académica sobre propiedad intelectual, innovación y desarrollo (ENAPID);  se financió la participación de dos oradores del ámbito internacional.</w:t>
            </w:r>
          </w:p>
          <w:p w:rsidR="00B070BF" w:rsidRPr="009577DE" w:rsidRDefault="00B070BF" w:rsidP="00C33D4A">
            <w:pPr>
              <w:widowControl w:val="0"/>
              <w:autoSpaceDE w:val="0"/>
              <w:autoSpaceDN w:val="0"/>
              <w:adjustRightInd w:val="0"/>
              <w:rPr>
                <w:sz w:val="16"/>
                <w:szCs w:val="16"/>
                <w:lang w:val="es-ES_tradnl"/>
              </w:rPr>
            </w:pPr>
          </w:p>
        </w:tc>
        <w:tc>
          <w:tcPr>
            <w:tcW w:w="1134" w:type="dxa"/>
          </w:tcPr>
          <w:p w:rsidR="00B070BF" w:rsidRPr="009577DE" w:rsidRDefault="00B070BF" w:rsidP="00C33D4A">
            <w:pPr>
              <w:widowControl w:val="0"/>
              <w:autoSpaceDE w:val="0"/>
              <w:autoSpaceDN w:val="0"/>
              <w:adjustRightInd w:val="0"/>
              <w:rPr>
                <w:sz w:val="16"/>
                <w:szCs w:val="16"/>
                <w:lang w:val="es-ES_tradnl"/>
              </w:rPr>
            </w:pPr>
          </w:p>
          <w:p w:rsidR="00B070BF" w:rsidRPr="009577DE" w:rsidRDefault="00B070BF" w:rsidP="00C33D4A">
            <w:pPr>
              <w:widowControl w:val="0"/>
              <w:autoSpaceDE w:val="0"/>
              <w:autoSpaceDN w:val="0"/>
              <w:adjustRightInd w:val="0"/>
              <w:rPr>
                <w:sz w:val="16"/>
                <w:szCs w:val="16"/>
                <w:lang w:val="es-ES_tradnl"/>
              </w:rPr>
            </w:pPr>
            <w:r w:rsidRPr="009577DE">
              <w:rPr>
                <w:sz w:val="16"/>
                <w:szCs w:val="16"/>
                <w:lang w:val="es-ES_tradnl"/>
              </w:rPr>
              <w:t>19 a 21 de 2012</w:t>
            </w:r>
          </w:p>
          <w:p w:rsidR="00B070BF" w:rsidRPr="009577DE" w:rsidRDefault="00B070BF" w:rsidP="00C33D4A">
            <w:pPr>
              <w:widowControl w:val="0"/>
              <w:autoSpaceDE w:val="0"/>
              <w:autoSpaceDN w:val="0"/>
              <w:adjustRightInd w:val="0"/>
              <w:spacing w:before="120" w:after="120"/>
              <w:rPr>
                <w:sz w:val="16"/>
                <w:szCs w:val="16"/>
                <w:lang w:val="es-ES_tradnl"/>
              </w:rPr>
            </w:pPr>
          </w:p>
        </w:tc>
        <w:tc>
          <w:tcPr>
            <w:tcW w:w="2835" w:type="dxa"/>
          </w:tcPr>
          <w:p w:rsidR="00B070BF" w:rsidRPr="009577DE" w:rsidRDefault="00B070BF" w:rsidP="00C33D4A">
            <w:pPr>
              <w:widowControl w:val="0"/>
              <w:autoSpaceDE w:val="0"/>
              <w:autoSpaceDN w:val="0"/>
              <w:adjustRightInd w:val="0"/>
              <w:rPr>
                <w:sz w:val="16"/>
                <w:szCs w:val="16"/>
                <w:lang w:val="es-ES_tradnl"/>
              </w:rPr>
            </w:pPr>
          </w:p>
          <w:p w:rsidR="00B070BF" w:rsidRPr="009577DE" w:rsidRDefault="00B070BF" w:rsidP="00C33D4A">
            <w:pPr>
              <w:widowControl w:val="0"/>
              <w:autoSpaceDE w:val="0"/>
              <w:autoSpaceDN w:val="0"/>
              <w:adjustRightInd w:val="0"/>
              <w:rPr>
                <w:sz w:val="16"/>
                <w:szCs w:val="16"/>
                <w:lang w:val="es-ES_tradnl"/>
              </w:rPr>
            </w:pPr>
            <w:r w:rsidRPr="009577DE">
              <w:rPr>
                <w:sz w:val="16"/>
                <w:szCs w:val="16"/>
                <w:lang w:val="es-ES_tradnl"/>
              </w:rPr>
              <w:t>Brasil</w:t>
            </w:r>
          </w:p>
          <w:p w:rsidR="00B070BF" w:rsidRPr="009577DE" w:rsidRDefault="00B070BF" w:rsidP="00C33D4A">
            <w:pPr>
              <w:widowControl w:val="0"/>
              <w:autoSpaceDE w:val="0"/>
              <w:autoSpaceDN w:val="0"/>
              <w:adjustRightInd w:val="0"/>
              <w:spacing w:before="120" w:after="120"/>
              <w:rPr>
                <w:sz w:val="16"/>
                <w:szCs w:val="16"/>
                <w:lang w:val="es-ES_tradnl"/>
              </w:rPr>
            </w:pPr>
          </w:p>
        </w:tc>
        <w:tc>
          <w:tcPr>
            <w:tcW w:w="3260" w:type="dxa"/>
          </w:tcPr>
          <w:p w:rsidR="00B070BF" w:rsidRPr="009577DE" w:rsidRDefault="00B070BF" w:rsidP="00C33D4A">
            <w:pPr>
              <w:widowControl w:val="0"/>
              <w:rPr>
                <w:sz w:val="16"/>
                <w:szCs w:val="16"/>
                <w:lang w:val="es-ES_tradnl"/>
              </w:rPr>
            </w:pPr>
          </w:p>
          <w:p w:rsidR="00B070BF" w:rsidRPr="009577DE" w:rsidRDefault="00B070BF" w:rsidP="00C33D4A">
            <w:pPr>
              <w:widowControl w:val="0"/>
              <w:rPr>
                <w:sz w:val="16"/>
                <w:szCs w:val="16"/>
                <w:lang w:val="es-ES_tradnl"/>
              </w:rPr>
            </w:pPr>
            <w:r w:rsidRPr="009577DE">
              <w:rPr>
                <w:sz w:val="16"/>
                <w:szCs w:val="16"/>
                <w:lang w:val="es-ES_tradnl"/>
              </w:rPr>
              <w:t>Examinar distintas cuestiones relacionadas con la P.I. y la innovación.</w:t>
            </w:r>
          </w:p>
          <w:p w:rsidR="00B070BF" w:rsidRPr="009577DE" w:rsidRDefault="00B070BF" w:rsidP="00C33D4A">
            <w:pPr>
              <w:widowControl w:val="0"/>
              <w:autoSpaceDE w:val="0"/>
              <w:autoSpaceDN w:val="0"/>
              <w:adjustRightInd w:val="0"/>
              <w:spacing w:before="120" w:after="120"/>
              <w:rPr>
                <w:sz w:val="16"/>
                <w:szCs w:val="16"/>
                <w:lang w:val="es-ES_tradnl" w:eastAsia="pt-BR"/>
              </w:rPr>
            </w:pPr>
          </w:p>
        </w:tc>
      </w:tr>
      <w:tr w:rsidR="00B070BF" w:rsidRPr="009577DE" w:rsidTr="00C33D4A">
        <w:trPr>
          <w:trHeight w:val="276"/>
        </w:trPr>
        <w:tc>
          <w:tcPr>
            <w:tcW w:w="1843" w:type="dxa"/>
          </w:tcPr>
          <w:p w:rsidR="00B070BF" w:rsidRPr="009577DE" w:rsidRDefault="00B070BF" w:rsidP="00C33D4A">
            <w:pPr>
              <w:widowControl w:val="0"/>
              <w:autoSpaceDE w:val="0"/>
              <w:autoSpaceDN w:val="0"/>
              <w:adjustRightInd w:val="0"/>
              <w:rPr>
                <w:sz w:val="16"/>
                <w:szCs w:val="16"/>
                <w:lang w:val="es-ES_tradnl"/>
              </w:rPr>
            </w:pPr>
            <w:r w:rsidRPr="009577DE">
              <w:rPr>
                <w:sz w:val="16"/>
                <w:szCs w:val="16"/>
                <w:lang w:val="es-ES_tradnl"/>
              </w:rPr>
              <w:t>15ª REPICT (Red de P.I. de Rio de Janeiro).  Reunión sobre comercialización de la P.I. y transferencia de tecnología;  se financió la participación de un orador.</w:t>
            </w:r>
          </w:p>
          <w:p w:rsidR="00B070BF" w:rsidRPr="009577DE" w:rsidRDefault="00B070BF" w:rsidP="00C33D4A">
            <w:pPr>
              <w:widowControl w:val="0"/>
              <w:autoSpaceDE w:val="0"/>
              <w:autoSpaceDN w:val="0"/>
              <w:adjustRightInd w:val="0"/>
              <w:rPr>
                <w:sz w:val="16"/>
                <w:szCs w:val="16"/>
                <w:lang w:val="es-ES_tradnl"/>
              </w:rPr>
            </w:pPr>
          </w:p>
          <w:p w:rsidR="00B070BF" w:rsidRPr="009577DE" w:rsidRDefault="00B070BF" w:rsidP="00C33D4A">
            <w:pPr>
              <w:widowControl w:val="0"/>
              <w:autoSpaceDE w:val="0"/>
              <w:autoSpaceDN w:val="0"/>
              <w:adjustRightInd w:val="0"/>
              <w:rPr>
                <w:sz w:val="16"/>
                <w:szCs w:val="16"/>
                <w:lang w:val="es-ES_tradnl"/>
              </w:rPr>
            </w:pPr>
          </w:p>
          <w:p w:rsidR="00B070BF" w:rsidRPr="009577DE" w:rsidRDefault="00B070BF" w:rsidP="00C33D4A">
            <w:pPr>
              <w:widowControl w:val="0"/>
              <w:autoSpaceDE w:val="0"/>
              <w:autoSpaceDN w:val="0"/>
              <w:adjustRightInd w:val="0"/>
              <w:spacing w:before="120" w:after="120"/>
              <w:rPr>
                <w:sz w:val="16"/>
                <w:szCs w:val="16"/>
                <w:lang w:val="es-ES_tradnl"/>
              </w:rPr>
            </w:pPr>
          </w:p>
        </w:tc>
        <w:tc>
          <w:tcPr>
            <w:tcW w:w="1134" w:type="dxa"/>
          </w:tcPr>
          <w:p w:rsidR="00B070BF" w:rsidRPr="009577DE" w:rsidRDefault="00B070BF" w:rsidP="00C33D4A">
            <w:pPr>
              <w:widowControl w:val="0"/>
              <w:autoSpaceDE w:val="0"/>
              <w:autoSpaceDN w:val="0"/>
              <w:adjustRightInd w:val="0"/>
              <w:rPr>
                <w:sz w:val="16"/>
                <w:szCs w:val="16"/>
                <w:lang w:val="es-ES_tradnl"/>
              </w:rPr>
            </w:pPr>
            <w:r w:rsidRPr="009577DE">
              <w:rPr>
                <w:sz w:val="16"/>
                <w:szCs w:val="16"/>
                <w:lang w:val="es-ES_tradnl"/>
              </w:rPr>
              <w:t>10 y 11 de diciembre de 2012</w:t>
            </w:r>
          </w:p>
          <w:p w:rsidR="00B070BF" w:rsidRPr="009577DE" w:rsidRDefault="00B070BF" w:rsidP="00C33D4A">
            <w:pPr>
              <w:widowControl w:val="0"/>
              <w:autoSpaceDE w:val="0"/>
              <w:autoSpaceDN w:val="0"/>
              <w:adjustRightInd w:val="0"/>
              <w:rPr>
                <w:sz w:val="16"/>
                <w:szCs w:val="16"/>
                <w:lang w:val="es-ES_tradnl"/>
              </w:rPr>
            </w:pPr>
          </w:p>
          <w:p w:rsidR="00B070BF" w:rsidRPr="009577DE" w:rsidRDefault="00B070BF" w:rsidP="00C33D4A">
            <w:pPr>
              <w:widowControl w:val="0"/>
              <w:autoSpaceDE w:val="0"/>
              <w:autoSpaceDN w:val="0"/>
              <w:adjustRightInd w:val="0"/>
              <w:rPr>
                <w:sz w:val="16"/>
                <w:szCs w:val="16"/>
                <w:lang w:val="es-ES_tradnl"/>
              </w:rPr>
            </w:pPr>
          </w:p>
          <w:p w:rsidR="00B070BF" w:rsidRPr="009577DE" w:rsidRDefault="00B070BF" w:rsidP="00C33D4A">
            <w:pPr>
              <w:widowControl w:val="0"/>
              <w:autoSpaceDE w:val="0"/>
              <w:autoSpaceDN w:val="0"/>
              <w:adjustRightInd w:val="0"/>
              <w:rPr>
                <w:sz w:val="16"/>
                <w:szCs w:val="16"/>
                <w:lang w:val="es-ES_tradnl"/>
              </w:rPr>
            </w:pPr>
          </w:p>
          <w:p w:rsidR="00B070BF" w:rsidRPr="009577DE" w:rsidRDefault="00B070BF" w:rsidP="00C33D4A">
            <w:pPr>
              <w:widowControl w:val="0"/>
              <w:autoSpaceDE w:val="0"/>
              <w:autoSpaceDN w:val="0"/>
              <w:adjustRightInd w:val="0"/>
              <w:rPr>
                <w:sz w:val="16"/>
                <w:szCs w:val="16"/>
                <w:lang w:val="es-ES_tradnl"/>
              </w:rPr>
            </w:pPr>
          </w:p>
          <w:p w:rsidR="00B070BF" w:rsidRPr="009577DE" w:rsidRDefault="00B070BF" w:rsidP="00C33D4A">
            <w:pPr>
              <w:widowControl w:val="0"/>
              <w:autoSpaceDE w:val="0"/>
              <w:autoSpaceDN w:val="0"/>
              <w:adjustRightInd w:val="0"/>
              <w:rPr>
                <w:sz w:val="16"/>
                <w:szCs w:val="16"/>
                <w:lang w:val="es-ES_tradnl"/>
              </w:rPr>
            </w:pPr>
          </w:p>
          <w:p w:rsidR="00B070BF" w:rsidRPr="009577DE" w:rsidRDefault="00B070BF" w:rsidP="00C33D4A">
            <w:pPr>
              <w:widowControl w:val="0"/>
              <w:autoSpaceDE w:val="0"/>
              <w:autoSpaceDN w:val="0"/>
              <w:adjustRightInd w:val="0"/>
              <w:rPr>
                <w:sz w:val="16"/>
                <w:szCs w:val="16"/>
                <w:lang w:val="es-ES_tradnl"/>
              </w:rPr>
            </w:pPr>
          </w:p>
          <w:p w:rsidR="00B070BF" w:rsidRPr="009577DE" w:rsidRDefault="00B070BF" w:rsidP="00C33D4A">
            <w:pPr>
              <w:widowControl w:val="0"/>
              <w:autoSpaceDE w:val="0"/>
              <w:autoSpaceDN w:val="0"/>
              <w:adjustRightInd w:val="0"/>
              <w:rPr>
                <w:sz w:val="16"/>
                <w:szCs w:val="16"/>
                <w:lang w:val="es-ES_tradnl"/>
              </w:rPr>
            </w:pPr>
          </w:p>
          <w:p w:rsidR="00B070BF" w:rsidRPr="009577DE" w:rsidRDefault="00B070BF" w:rsidP="00C33D4A">
            <w:pPr>
              <w:widowControl w:val="0"/>
              <w:autoSpaceDE w:val="0"/>
              <w:autoSpaceDN w:val="0"/>
              <w:adjustRightInd w:val="0"/>
              <w:rPr>
                <w:sz w:val="16"/>
                <w:szCs w:val="16"/>
                <w:lang w:val="es-ES_tradnl"/>
              </w:rPr>
            </w:pPr>
          </w:p>
          <w:p w:rsidR="00B070BF" w:rsidRPr="009577DE" w:rsidRDefault="00B070BF" w:rsidP="00C33D4A">
            <w:pPr>
              <w:widowControl w:val="0"/>
              <w:autoSpaceDE w:val="0"/>
              <w:autoSpaceDN w:val="0"/>
              <w:adjustRightInd w:val="0"/>
              <w:rPr>
                <w:sz w:val="16"/>
                <w:szCs w:val="16"/>
                <w:lang w:val="es-ES_tradnl"/>
              </w:rPr>
            </w:pPr>
          </w:p>
          <w:p w:rsidR="00B070BF" w:rsidRPr="009577DE" w:rsidRDefault="00B070BF" w:rsidP="00C33D4A">
            <w:pPr>
              <w:widowControl w:val="0"/>
              <w:autoSpaceDE w:val="0"/>
              <w:autoSpaceDN w:val="0"/>
              <w:adjustRightInd w:val="0"/>
              <w:spacing w:before="120" w:after="120"/>
              <w:rPr>
                <w:sz w:val="16"/>
                <w:szCs w:val="16"/>
                <w:lang w:val="es-ES_tradnl"/>
              </w:rPr>
            </w:pPr>
          </w:p>
        </w:tc>
        <w:tc>
          <w:tcPr>
            <w:tcW w:w="2835" w:type="dxa"/>
          </w:tcPr>
          <w:p w:rsidR="00B070BF" w:rsidRPr="009577DE" w:rsidRDefault="00B070BF" w:rsidP="00C33D4A">
            <w:pPr>
              <w:widowControl w:val="0"/>
              <w:autoSpaceDE w:val="0"/>
              <w:autoSpaceDN w:val="0"/>
              <w:adjustRightInd w:val="0"/>
              <w:rPr>
                <w:sz w:val="16"/>
                <w:szCs w:val="16"/>
                <w:lang w:val="es-ES_tradnl"/>
              </w:rPr>
            </w:pPr>
            <w:r w:rsidRPr="009577DE">
              <w:rPr>
                <w:sz w:val="16"/>
                <w:szCs w:val="16"/>
                <w:lang w:val="es-ES_tradnl"/>
              </w:rPr>
              <w:t>Brasil</w:t>
            </w:r>
          </w:p>
          <w:p w:rsidR="00B070BF" w:rsidRPr="009577DE" w:rsidRDefault="00B070BF" w:rsidP="00C33D4A">
            <w:pPr>
              <w:widowControl w:val="0"/>
              <w:autoSpaceDE w:val="0"/>
              <w:autoSpaceDN w:val="0"/>
              <w:adjustRightInd w:val="0"/>
              <w:spacing w:before="120" w:after="120"/>
              <w:rPr>
                <w:sz w:val="16"/>
                <w:szCs w:val="16"/>
                <w:lang w:val="es-ES_tradnl"/>
              </w:rPr>
            </w:pPr>
          </w:p>
          <w:p w:rsidR="00B070BF" w:rsidRPr="009577DE" w:rsidRDefault="00B070BF" w:rsidP="00C33D4A">
            <w:pPr>
              <w:widowControl w:val="0"/>
              <w:autoSpaceDE w:val="0"/>
              <w:autoSpaceDN w:val="0"/>
              <w:adjustRightInd w:val="0"/>
              <w:spacing w:before="120" w:after="120"/>
              <w:rPr>
                <w:sz w:val="16"/>
                <w:szCs w:val="16"/>
                <w:lang w:val="es-ES_tradnl"/>
              </w:rPr>
            </w:pPr>
          </w:p>
          <w:p w:rsidR="00B070BF" w:rsidRPr="009577DE" w:rsidRDefault="00B070BF" w:rsidP="00C33D4A">
            <w:pPr>
              <w:widowControl w:val="0"/>
              <w:autoSpaceDE w:val="0"/>
              <w:autoSpaceDN w:val="0"/>
              <w:adjustRightInd w:val="0"/>
              <w:spacing w:before="120" w:after="120"/>
              <w:rPr>
                <w:sz w:val="16"/>
                <w:szCs w:val="16"/>
                <w:lang w:val="es-ES_tradnl"/>
              </w:rPr>
            </w:pPr>
          </w:p>
          <w:p w:rsidR="00B070BF" w:rsidRPr="009577DE" w:rsidRDefault="00B070BF" w:rsidP="00C33D4A">
            <w:pPr>
              <w:widowControl w:val="0"/>
              <w:autoSpaceDE w:val="0"/>
              <w:autoSpaceDN w:val="0"/>
              <w:adjustRightInd w:val="0"/>
              <w:spacing w:before="120" w:after="120"/>
              <w:rPr>
                <w:sz w:val="16"/>
                <w:szCs w:val="16"/>
                <w:lang w:val="es-ES_tradnl"/>
              </w:rPr>
            </w:pPr>
          </w:p>
          <w:p w:rsidR="00B070BF" w:rsidRPr="009577DE" w:rsidRDefault="00B070BF" w:rsidP="00C33D4A">
            <w:pPr>
              <w:widowControl w:val="0"/>
              <w:autoSpaceDE w:val="0"/>
              <w:autoSpaceDN w:val="0"/>
              <w:adjustRightInd w:val="0"/>
              <w:spacing w:before="120" w:after="120"/>
              <w:rPr>
                <w:sz w:val="16"/>
                <w:szCs w:val="16"/>
                <w:lang w:val="es-ES_tradnl"/>
              </w:rPr>
            </w:pPr>
          </w:p>
        </w:tc>
        <w:tc>
          <w:tcPr>
            <w:tcW w:w="3260" w:type="dxa"/>
          </w:tcPr>
          <w:p w:rsidR="00B070BF" w:rsidRPr="009577DE" w:rsidRDefault="00B070BF" w:rsidP="00C33D4A">
            <w:pPr>
              <w:widowControl w:val="0"/>
              <w:spacing w:after="220"/>
              <w:rPr>
                <w:sz w:val="16"/>
                <w:szCs w:val="16"/>
                <w:lang w:val="es-ES_tradnl" w:eastAsia="pt-BR"/>
              </w:rPr>
            </w:pPr>
            <w:r w:rsidRPr="009577DE">
              <w:rPr>
                <w:sz w:val="16"/>
                <w:szCs w:val="16"/>
                <w:lang w:val="es-ES_tradnl"/>
              </w:rPr>
              <w:t>La Reunión anual de la REPICT es uno de los acontecimientos periódicos más importantes del Brasil en materia de P.I. y transferencia de tecnología.  Suelen asistir a la Reunión unos 300 participantes, procedentes de universidades, instituciones de investigación y tecnología y empresas, así como representantes gubernamentales de todo el país, con miras a exponer conceptos y enfoques empresariales respecto de las tendencias y estrategias en materia de gestión de la P.I. y transferencia de tecnología, destacando las licencias, la valoración de nuevas tecnologías y los desafíos que plantea la comercialización;  todo ello sin olvidar el intercambio de experiencias a escala internacional sobre la utilización estratégica de la P.I. en pos de la innovación.</w:t>
            </w:r>
          </w:p>
        </w:tc>
      </w:tr>
      <w:tr w:rsidR="00B070BF" w:rsidRPr="009577DE" w:rsidTr="00C33D4A">
        <w:trPr>
          <w:trHeight w:val="1852"/>
        </w:trPr>
        <w:tc>
          <w:tcPr>
            <w:tcW w:w="1843" w:type="dxa"/>
          </w:tcPr>
          <w:p w:rsidR="00B070BF" w:rsidRPr="009577DE" w:rsidRDefault="00B070BF" w:rsidP="00C33D4A">
            <w:pPr>
              <w:widowControl w:val="0"/>
              <w:autoSpaceDE w:val="0"/>
              <w:autoSpaceDN w:val="0"/>
              <w:adjustRightInd w:val="0"/>
              <w:spacing w:before="120" w:after="120"/>
              <w:rPr>
                <w:sz w:val="16"/>
                <w:szCs w:val="16"/>
                <w:lang w:val="es-ES_tradnl"/>
              </w:rPr>
            </w:pPr>
            <w:r w:rsidRPr="009577DE">
              <w:rPr>
                <w:sz w:val="16"/>
                <w:szCs w:val="16"/>
                <w:lang w:val="es-ES_tradnl"/>
              </w:rPr>
              <w:t>64ª Reunión anual  de la Sociedad Brasileña para el Avance de la Ciencia (SBPC):  Taller sobre P.I. y transferencia de tecnología.  Se financió la participación de un orador del ámbito internacional.</w:t>
            </w:r>
          </w:p>
        </w:tc>
        <w:tc>
          <w:tcPr>
            <w:tcW w:w="1134" w:type="dxa"/>
          </w:tcPr>
          <w:p w:rsidR="00B070BF" w:rsidRPr="009577DE" w:rsidRDefault="00B070BF" w:rsidP="00C33D4A">
            <w:pPr>
              <w:widowControl w:val="0"/>
              <w:autoSpaceDE w:val="0"/>
              <w:autoSpaceDN w:val="0"/>
              <w:adjustRightInd w:val="0"/>
              <w:spacing w:before="120" w:after="120"/>
              <w:rPr>
                <w:sz w:val="16"/>
                <w:szCs w:val="16"/>
                <w:lang w:val="es-ES_tradnl"/>
              </w:rPr>
            </w:pPr>
            <w:r w:rsidRPr="009577DE">
              <w:rPr>
                <w:sz w:val="16"/>
                <w:szCs w:val="16"/>
                <w:lang w:val="es-ES_tradnl"/>
              </w:rPr>
              <w:t>24 a 27 de julio de 2012</w:t>
            </w:r>
          </w:p>
          <w:p w:rsidR="00B070BF" w:rsidRPr="009577DE" w:rsidRDefault="00B070BF" w:rsidP="00C33D4A">
            <w:pPr>
              <w:widowControl w:val="0"/>
              <w:autoSpaceDE w:val="0"/>
              <w:autoSpaceDN w:val="0"/>
              <w:adjustRightInd w:val="0"/>
              <w:rPr>
                <w:sz w:val="16"/>
                <w:szCs w:val="16"/>
                <w:lang w:val="es-ES_tradnl"/>
              </w:rPr>
            </w:pPr>
          </w:p>
          <w:p w:rsidR="00B070BF" w:rsidRPr="009577DE" w:rsidRDefault="00B070BF" w:rsidP="00C33D4A">
            <w:pPr>
              <w:widowControl w:val="0"/>
              <w:autoSpaceDE w:val="0"/>
              <w:autoSpaceDN w:val="0"/>
              <w:adjustRightInd w:val="0"/>
              <w:rPr>
                <w:sz w:val="16"/>
                <w:szCs w:val="16"/>
                <w:lang w:val="es-ES_tradnl"/>
              </w:rPr>
            </w:pPr>
          </w:p>
          <w:p w:rsidR="00B070BF" w:rsidRPr="009577DE" w:rsidRDefault="00B070BF" w:rsidP="00C33D4A">
            <w:pPr>
              <w:widowControl w:val="0"/>
              <w:autoSpaceDE w:val="0"/>
              <w:autoSpaceDN w:val="0"/>
              <w:adjustRightInd w:val="0"/>
              <w:rPr>
                <w:sz w:val="16"/>
                <w:szCs w:val="16"/>
                <w:lang w:val="es-ES_tradnl"/>
              </w:rPr>
            </w:pPr>
          </w:p>
          <w:p w:rsidR="00B070BF" w:rsidRPr="009577DE" w:rsidRDefault="00B070BF" w:rsidP="00C33D4A">
            <w:pPr>
              <w:widowControl w:val="0"/>
              <w:autoSpaceDE w:val="0"/>
              <w:autoSpaceDN w:val="0"/>
              <w:adjustRightInd w:val="0"/>
              <w:rPr>
                <w:sz w:val="16"/>
                <w:szCs w:val="16"/>
                <w:lang w:val="es-ES_tradnl"/>
              </w:rPr>
            </w:pPr>
          </w:p>
          <w:p w:rsidR="00B070BF" w:rsidRPr="009577DE" w:rsidRDefault="00B070BF" w:rsidP="00C33D4A">
            <w:pPr>
              <w:widowControl w:val="0"/>
              <w:autoSpaceDE w:val="0"/>
              <w:autoSpaceDN w:val="0"/>
              <w:adjustRightInd w:val="0"/>
              <w:spacing w:before="120" w:after="120"/>
              <w:rPr>
                <w:sz w:val="16"/>
                <w:szCs w:val="16"/>
                <w:lang w:val="es-ES_tradnl"/>
              </w:rPr>
            </w:pPr>
          </w:p>
        </w:tc>
        <w:tc>
          <w:tcPr>
            <w:tcW w:w="2835" w:type="dxa"/>
          </w:tcPr>
          <w:p w:rsidR="00B070BF" w:rsidRPr="009577DE" w:rsidRDefault="00B070BF" w:rsidP="00C33D4A">
            <w:pPr>
              <w:widowControl w:val="0"/>
              <w:autoSpaceDE w:val="0"/>
              <w:autoSpaceDN w:val="0"/>
              <w:adjustRightInd w:val="0"/>
              <w:rPr>
                <w:sz w:val="16"/>
                <w:szCs w:val="16"/>
                <w:lang w:val="es-ES_tradnl"/>
              </w:rPr>
            </w:pPr>
          </w:p>
          <w:p w:rsidR="00B070BF" w:rsidRPr="009577DE" w:rsidRDefault="00B070BF" w:rsidP="00C33D4A">
            <w:pPr>
              <w:widowControl w:val="0"/>
              <w:autoSpaceDE w:val="0"/>
              <w:autoSpaceDN w:val="0"/>
              <w:adjustRightInd w:val="0"/>
              <w:rPr>
                <w:sz w:val="16"/>
                <w:szCs w:val="16"/>
                <w:lang w:val="es-ES_tradnl"/>
              </w:rPr>
            </w:pPr>
            <w:r w:rsidRPr="009577DE">
              <w:rPr>
                <w:sz w:val="16"/>
                <w:szCs w:val="16"/>
                <w:lang w:val="es-ES_tradnl"/>
              </w:rPr>
              <w:t>Brasil</w:t>
            </w:r>
          </w:p>
          <w:p w:rsidR="00B070BF" w:rsidRPr="009577DE" w:rsidRDefault="00B070BF" w:rsidP="00C33D4A">
            <w:pPr>
              <w:widowControl w:val="0"/>
              <w:autoSpaceDE w:val="0"/>
              <w:autoSpaceDN w:val="0"/>
              <w:adjustRightInd w:val="0"/>
              <w:rPr>
                <w:sz w:val="16"/>
                <w:szCs w:val="16"/>
                <w:lang w:val="es-ES_tradnl"/>
              </w:rPr>
            </w:pPr>
          </w:p>
          <w:p w:rsidR="00B070BF" w:rsidRPr="009577DE" w:rsidRDefault="00B070BF" w:rsidP="00C33D4A">
            <w:pPr>
              <w:widowControl w:val="0"/>
              <w:autoSpaceDE w:val="0"/>
              <w:autoSpaceDN w:val="0"/>
              <w:adjustRightInd w:val="0"/>
              <w:rPr>
                <w:sz w:val="16"/>
                <w:szCs w:val="16"/>
                <w:lang w:val="es-ES_tradnl"/>
              </w:rPr>
            </w:pPr>
          </w:p>
          <w:p w:rsidR="00B070BF" w:rsidRPr="009577DE" w:rsidRDefault="00B070BF" w:rsidP="00C33D4A">
            <w:pPr>
              <w:widowControl w:val="0"/>
              <w:autoSpaceDE w:val="0"/>
              <w:autoSpaceDN w:val="0"/>
              <w:adjustRightInd w:val="0"/>
              <w:rPr>
                <w:sz w:val="16"/>
                <w:szCs w:val="16"/>
                <w:lang w:val="es-ES_tradnl"/>
              </w:rPr>
            </w:pPr>
          </w:p>
          <w:p w:rsidR="00B070BF" w:rsidRPr="009577DE" w:rsidRDefault="00B070BF" w:rsidP="00C33D4A">
            <w:pPr>
              <w:widowControl w:val="0"/>
              <w:autoSpaceDE w:val="0"/>
              <w:autoSpaceDN w:val="0"/>
              <w:adjustRightInd w:val="0"/>
              <w:rPr>
                <w:sz w:val="16"/>
                <w:szCs w:val="16"/>
                <w:lang w:val="es-ES_tradnl"/>
              </w:rPr>
            </w:pPr>
          </w:p>
          <w:p w:rsidR="00B070BF" w:rsidRPr="009577DE" w:rsidRDefault="00B070BF" w:rsidP="00C33D4A">
            <w:pPr>
              <w:widowControl w:val="0"/>
              <w:autoSpaceDE w:val="0"/>
              <w:autoSpaceDN w:val="0"/>
              <w:adjustRightInd w:val="0"/>
              <w:spacing w:before="120" w:after="120"/>
              <w:rPr>
                <w:sz w:val="16"/>
                <w:szCs w:val="16"/>
                <w:lang w:val="es-ES_tradnl"/>
              </w:rPr>
            </w:pPr>
          </w:p>
        </w:tc>
        <w:tc>
          <w:tcPr>
            <w:tcW w:w="3260" w:type="dxa"/>
          </w:tcPr>
          <w:p w:rsidR="00B070BF" w:rsidRPr="009577DE" w:rsidRDefault="00B070BF" w:rsidP="00C33D4A">
            <w:pPr>
              <w:widowControl w:val="0"/>
              <w:autoSpaceDE w:val="0"/>
              <w:autoSpaceDN w:val="0"/>
              <w:adjustRightInd w:val="0"/>
              <w:rPr>
                <w:sz w:val="16"/>
                <w:szCs w:val="16"/>
                <w:lang w:val="es-ES_tradnl"/>
              </w:rPr>
            </w:pPr>
          </w:p>
          <w:p w:rsidR="00B070BF" w:rsidRPr="009577DE" w:rsidRDefault="00B070BF" w:rsidP="00C33D4A">
            <w:pPr>
              <w:widowControl w:val="0"/>
              <w:autoSpaceDE w:val="0"/>
              <w:autoSpaceDN w:val="0"/>
              <w:adjustRightInd w:val="0"/>
              <w:rPr>
                <w:sz w:val="16"/>
                <w:szCs w:val="16"/>
                <w:lang w:val="es-ES_tradnl"/>
              </w:rPr>
            </w:pPr>
            <w:r w:rsidRPr="009577DE">
              <w:rPr>
                <w:sz w:val="16"/>
                <w:szCs w:val="16"/>
                <w:lang w:val="es-ES_tradnl"/>
              </w:rPr>
              <w:t>Mejorar el fortalecimiento de las capacidades en las instituciones académicas brasileñas.</w:t>
            </w:r>
          </w:p>
          <w:p w:rsidR="00B070BF" w:rsidRPr="009577DE" w:rsidRDefault="00B070BF" w:rsidP="00C33D4A">
            <w:pPr>
              <w:widowControl w:val="0"/>
              <w:rPr>
                <w:sz w:val="16"/>
                <w:szCs w:val="16"/>
                <w:lang w:val="es-ES_tradnl"/>
              </w:rPr>
            </w:pPr>
          </w:p>
          <w:p w:rsidR="00B070BF" w:rsidRPr="009577DE" w:rsidRDefault="00B070BF" w:rsidP="00C33D4A">
            <w:pPr>
              <w:widowControl w:val="0"/>
              <w:autoSpaceDE w:val="0"/>
              <w:autoSpaceDN w:val="0"/>
              <w:adjustRightInd w:val="0"/>
              <w:spacing w:before="120" w:after="120"/>
              <w:rPr>
                <w:sz w:val="16"/>
                <w:szCs w:val="16"/>
                <w:lang w:val="es-ES_tradnl"/>
              </w:rPr>
            </w:pPr>
          </w:p>
        </w:tc>
      </w:tr>
      <w:tr w:rsidR="00B070BF" w:rsidRPr="009577DE" w:rsidTr="00C33D4A">
        <w:trPr>
          <w:trHeight w:val="371"/>
        </w:trPr>
        <w:tc>
          <w:tcPr>
            <w:tcW w:w="1843" w:type="dxa"/>
            <w:tcBorders>
              <w:bottom w:val="single" w:sz="4" w:space="0" w:color="000000"/>
            </w:tcBorders>
          </w:tcPr>
          <w:p w:rsidR="00B070BF" w:rsidRPr="009577DE" w:rsidRDefault="00B070BF" w:rsidP="00C33D4A">
            <w:pPr>
              <w:widowControl w:val="0"/>
              <w:autoSpaceDE w:val="0"/>
              <w:autoSpaceDN w:val="0"/>
              <w:adjustRightInd w:val="0"/>
              <w:spacing w:before="120" w:after="120"/>
              <w:rPr>
                <w:sz w:val="16"/>
                <w:szCs w:val="16"/>
                <w:lang w:val="es-ES_tradnl"/>
              </w:rPr>
            </w:pPr>
            <w:r w:rsidRPr="009577DE">
              <w:rPr>
                <w:sz w:val="16"/>
                <w:szCs w:val="16"/>
                <w:lang w:val="es-ES_tradnl"/>
              </w:rPr>
              <w:t>Reunión del Foro de Administradores de Tecnología.  Se financió la participación de un orador del ámbito internacional.</w:t>
            </w:r>
          </w:p>
        </w:tc>
        <w:tc>
          <w:tcPr>
            <w:tcW w:w="1134" w:type="dxa"/>
            <w:tcBorders>
              <w:bottom w:val="single" w:sz="4" w:space="0" w:color="000000"/>
            </w:tcBorders>
          </w:tcPr>
          <w:p w:rsidR="00B070BF" w:rsidRPr="009577DE" w:rsidRDefault="00B070BF" w:rsidP="00C33D4A">
            <w:pPr>
              <w:widowControl w:val="0"/>
              <w:autoSpaceDE w:val="0"/>
              <w:autoSpaceDN w:val="0"/>
              <w:adjustRightInd w:val="0"/>
              <w:rPr>
                <w:sz w:val="16"/>
                <w:szCs w:val="16"/>
                <w:lang w:val="es-ES_tradnl"/>
              </w:rPr>
            </w:pPr>
          </w:p>
          <w:p w:rsidR="00B070BF" w:rsidRPr="009577DE" w:rsidRDefault="00B070BF" w:rsidP="00C33D4A">
            <w:pPr>
              <w:widowControl w:val="0"/>
              <w:autoSpaceDE w:val="0"/>
              <w:autoSpaceDN w:val="0"/>
              <w:adjustRightInd w:val="0"/>
              <w:rPr>
                <w:sz w:val="16"/>
                <w:szCs w:val="16"/>
                <w:lang w:val="es-ES_tradnl"/>
              </w:rPr>
            </w:pPr>
            <w:r w:rsidRPr="009577DE">
              <w:rPr>
                <w:sz w:val="16"/>
                <w:szCs w:val="16"/>
                <w:lang w:val="es-ES_tradnl"/>
              </w:rPr>
              <w:t>17 a 19 de abril de 2012</w:t>
            </w:r>
          </w:p>
          <w:p w:rsidR="00B070BF" w:rsidRPr="009577DE" w:rsidRDefault="00B070BF" w:rsidP="00C33D4A">
            <w:pPr>
              <w:widowControl w:val="0"/>
              <w:autoSpaceDE w:val="0"/>
              <w:autoSpaceDN w:val="0"/>
              <w:adjustRightInd w:val="0"/>
              <w:spacing w:before="120" w:after="120"/>
              <w:rPr>
                <w:sz w:val="16"/>
                <w:szCs w:val="16"/>
                <w:lang w:val="es-ES_tradnl"/>
              </w:rPr>
            </w:pPr>
          </w:p>
        </w:tc>
        <w:tc>
          <w:tcPr>
            <w:tcW w:w="2835" w:type="dxa"/>
            <w:tcBorders>
              <w:bottom w:val="single" w:sz="4" w:space="0" w:color="000000"/>
            </w:tcBorders>
          </w:tcPr>
          <w:p w:rsidR="00B070BF" w:rsidRPr="009577DE" w:rsidRDefault="00B070BF" w:rsidP="00C33D4A">
            <w:pPr>
              <w:widowControl w:val="0"/>
              <w:autoSpaceDE w:val="0"/>
              <w:autoSpaceDN w:val="0"/>
              <w:adjustRightInd w:val="0"/>
              <w:spacing w:before="120" w:after="120"/>
              <w:rPr>
                <w:sz w:val="16"/>
                <w:szCs w:val="16"/>
                <w:lang w:val="es-ES_tradnl"/>
              </w:rPr>
            </w:pPr>
            <w:r w:rsidRPr="009577DE">
              <w:rPr>
                <w:sz w:val="16"/>
                <w:szCs w:val="16"/>
                <w:lang w:val="es-ES_tradnl"/>
              </w:rPr>
              <w:t>Brasil</w:t>
            </w:r>
          </w:p>
        </w:tc>
        <w:tc>
          <w:tcPr>
            <w:tcW w:w="3260" w:type="dxa"/>
            <w:tcBorders>
              <w:bottom w:val="single" w:sz="4" w:space="0" w:color="000000"/>
            </w:tcBorders>
          </w:tcPr>
          <w:p w:rsidR="00B070BF" w:rsidRPr="009577DE" w:rsidRDefault="00B070BF" w:rsidP="00C33D4A">
            <w:pPr>
              <w:widowControl w:val="0"/>
              <w:rPr>
                <w:sz w:val="16"/>
                <w:szCs w:val="16"/>
                <w:lang w:val="es-ES_tradnl"/>
              </w:rPr>
            </w:pPr>
          </w:p>
          <w:p w:rsidR="00B070BF" w:rsidRPr="009577DE" w:rsidRDefault="00B070BF" w:rsidP="00C33D4A">
            <w:pPr>
              <w:widowControl w:val="0"/>
              <w:rPr>
                <w:sz w:val="16"/>
                <w:szCs w:val="16"/>
                <w:lang w:val="es-ES_tradnl"/>
              </w:rPr>
            </w:pPr>
            <w:r w:rsidRPr="009577DE">
              <w:rPr>
                <w:sz w:val="16"/>
                <w:szCs w:val="16"/>
                <w:lang w:val="es-ES_tradnl"/>
              </w:rPr>
              <w:t>El experto realizó un taller sobre comercialización y valoración de la P.I. y participó en reuniones en la Universidad Católica de Rio de Janeiro.</w:t>
            </w:r>
          </w:p>
          <w:p w:rsidR="00B070BF" w:rsidRPr="009577DE" w:rsidRDefault="00B070BF" w:rsidP="00C33D4A">
            <w:pPr>
              <w:widowControl w:val="0"/>
              <w:autoSpaceDE w:val="0"/>
              <w:autoSpaceDN w:val="0"/>
              <w:adjustRightInd w:val="0"/>
              <w:spacing w:before="120" w:after="120"/>
              <w:rPr>
                <w:sz w:val="16"/>
                <w:szCs w:val="16"/>
                <w:lang w:val="es-ES_tradnl"/>
              </w:rPr>
            </w:pPr>
          </w:p>
        </w:tc>
      </w:tr>
      <w:tr w:rsidR="00B070BF" w:rsidRPr="009577DE" w:rsidTr="00C33D4A">
        <w:tc>
          <w:tcPr>
            <w:tcW w:w="9072" w:type="dxa"/>
            <w:gridSpan w:val="4"/>
            <w:tcBorders>
              <w:top w:val="single" w:sz="4" w:space="0" w:color="000000"/>
              <w:bottom w:val="single" w:sz="4" w:space="0" w:color="000000"/>
            </w:tcBorders>
            <w:shd w:val="clear" w:color="auto" w:fill="CCFFFF"/>
            <w:vAlign w:val="center"/>
          </w:tcPr>
          <w:p w:rsidR="00B070BF" w:rsidRPr="009577DE" w:rsidRDefault="00B070BF" w:rsidP="00C33D4A">
            <w:pPr>
              <w:widowControl w:val="0"/>
              <w:tabs>
                <w:tab w:val="left" w:pos="1740"/>
              </w:tabs>
              <w:spacing w:before="120" w:after="120"/>
              <w:ind w:left="1740" w:hanging="1740"/>
              <w:rPr>
                <w:b/>
                <w:bCs/>
                <w:sz w:val="16"/>
                <w:szCs w:val="16"/>
                <w:lang w:val="es-ES_tradnl"/>
              </w:rPr>
            </w:pPr>
            <w:r w:rsidRPr="009577DE">
              <w:rPr>
                <w:b/>
                <w:bCs/>
                <w:sz w:val="16"/>
                <w:szCs w:val="16"/>
                <w:lang w:val="es-ES_tradnl"/>
              </w:rPr>
              <w:t>RESULTADO:</w:t>
            </w:r>
            <w:r w:rsidRPr="009577DE">
              <w:rPr>
                <w:bCs/>
                <w:sz w:val="16"/>
                <w:szCs w:val="16"/>
                <w:lang w:val="es-ES_tradnl"/>
              </w:rPr>
              <w:tab/>
              <w:t>Mejor utilización de los sistemas de Madrid y de Lisboa por los países en desarrollo y los PMA, entre otros.</w:t>
            </w:r>
          </w:p>
        </w:tc>
      </w:tr>
      <w:tr w:rsidR="00B070BF" w:rsidRPr="009577DE" w:rsidTr="00C33D4A">
        <w:tc>
          <w:tcPr>
            <w:tcW w:w="1843" w:type="dxa"/>
            <w:tcBorders>
              <w:top w:val="single" w:sz="4" w:space="0" w:color="000000"/>
            </w:tcBorders>
            <w:vAlign w:val="center"/>
          </w:tcPr>
          <w:p w:rsidR="00B070BF" w:rsidRPr="009577DE" w:rsidRDefault="00B070BF" w:rsidP="00C33D4A">
            <w:pPr>
              <w:widowControl w:val="0"/>
              <w:rPr>
                <w:b/>
                <w:bCs/>
                <w:sz w:val="16"/>
                <w:szCs w:val="16"/>
                <w:lang w:val="es-ES_tradnl"/>
              </w:rPr>
            </w:pPr>
            <w:r w:rsidRPr="009577DE">
              <w:rPr>
                <w:b/>
                <w:bCs/>
                <w:sz w:val="16"/>
                <w:szCs w:val="16"/>
                <w:lang w:val="es-ES_tradnl"/>
              </w:rPr>
              <w:t>Actividad</w:t>
            </w:r>
          </w:p>
        </w:tc>
        <w:tc>
          <w:tcPr>
            <w:tcW w:w="1134" w:type="dxa"/>
            <w:tcBorders>
              <w:top w:val="single" w:sz="4" w:space="0" w:color="000000"/>
            </w:tcBorders>
            <w:shd w:val="clear" w:color="auto" w:fill="auto"/>
            <w:tcMar>
              <w:top w:w="110" w:type="dxa"/>
            </w:tcMar>
            <w:vAlign w:val="center"/>
          </w:tcPr>
          <w:p w:rsidR="00B070BF" w:rsidRPr="009577DE" w:rsidRDefault="00B070BF" w:rsidP="00C33D4A">
            <w:pPr>
              <w:widowControl w:val="0"/>
              <w:rPr>
                <w:sz w:val="16"/>
                <w:szCs w:val="16"/>
                <w:lang w:val="es-ES_tradnl"/>
              </w:rPr>
            </w:pPr>
            <w:r w:rsidRPr="009577DE">
              <w:rPr>
                <w:b/>
                <w:bCs/>
                <w:sz w:val="16"/>
                <w:szCs w:val="16"/>
                <w:lang w:val="es-ES_tradnl"/>
              </w:rPr>
              <w:t>Fecha</w:t>
            </w:r>
          </w:p>
        </w:tc>
        <w:tc>
          <w:tcPr>
            <w:tcW w:w="2835" w:type="dxa"/>
            <w:tcBorders>
              <w:top w:val="single" w:sz="4" w:space="0" w:color="000000"/>
            </w:tcBorders>
            <w:shd w:val="clear" w:color="auto" w:fill="auto"/>
            <w:tcMar>
              <w:top w:w="110" w:type="dxa"/>
            </w:tcMar>
            <w:vAlign w:val="center"/>
          </w:tcPr>
          <w:p w:rsidR="00B070BF" w:rsidRPr="009577DE" w:rsidRDefault="00B070BF" w:rsidP="00C33D4A">
            <w:pPr>
              <w:widowControl w:val="0"/>
              <w:rPr>
                <w:sz w:val="16"/>
                <w:szCs w:val="16"/>
                <w:lang w:val="es-ES_tradnl"/>
              </w:rPr>
            </w:pPr>
            <w:r w:rsidRPr="009577DE">
              <w:rPr>
                <w:b/>
                <w:bCs/>
                <w:sz w:val="16"/>
                <w:szCs w:val="16"/>
                <w:lang w:val="es-ES_tradnl"/>
              </w:rPr>
              <w:t>País anfitrión/Beneficiarios</w:t>
            </w:r>
          </w:p>
        </w:tc>
        <w:tc>
          <w:tcPr>
            <w:tcW w:w="3260" w:type="dxa"/>
            <w:tcBorders>
              <w:top w:val="single" w:sz="4" w:space="0" w:color="000000"/>
            </w:tcBorders>
            <w:shd w:val="clear" w:color="auto" w:fill="FFFFFF"/>
            <w:tcMar>
              <w:top w:w="110" w:type="dxa"/>
            </w:tcMar>
            <w:vAlign w:val="center"/>
          </w:tcPr>
          <w:p w:rsidR="00B070BF" w:rsidRPr="009577DE" w:rsidRDefault="00B070BF" w:rsidP="00C33D4A">
            <w:pPr>
              <w:widowControl w:val="0"/>
              <w:rPr>
                <w:sz w:val="16"/>
                <w:szCs w:val="16"/>
                <w:lang w:val="es-ES_tradnl"/>
              </w:rPr>
            </w:pPr>
            <w:r w:rsidRPr="009577DE">
              <w:rPr>
                <w:b/>
                <w:bCs/>
                <w:sz w:val="16"/>
                <w:szCs w:val="16"/>
                <w:lang w:val="es-ES_tradnl"/>
              </w:rPr>
              <w:t>Propósito(s)/Descripción</w:t>
            </w:r>
          </w:p>
        </w:tc>
      </w:tr>
      <w:tr w:rsidR="00B070BF" w:rsidRPr="009577DE" w:rsidTr="00C33D4A">
        <w:trPr>
          <w:trHeight w:val="515"/>
        </w:trPr>
        <w:tc>
          <w:tcPr>
            <w:tcW w:w="1843" w:type="dxa"/>
          </w:tcPr>
          <w:p w:rsidR="00B070BF" w:rsidRPr="009577DE" w:rsidRDefault="00B070BF" w:rsidP="00C33D4A">
            <w:pPr>
              <w:widowControl w:val="0"/>
              <w:autoSpaceDE w:val="0"/>
              <w:autoSpaceDN w:val="0"/>
              <w:adjustRightInd w:val="0"/>
              <w:spacing w:before="120"/>
              <w:rPr>
                <w:sz w:val="16"/>
                <w:szCs w:val="16"/>
                <w:lang w:val="es-ES_tradnl"/>
              </w:rPr>
            </w:pPr>
            <w:r w:rsidRPr="009577DE">
              <w:rPr>
                <w:sz w:val="16"/>
                <w:szCs w:val="16"/>
                <w:lang w:val="es-ES_tradnl"/>
              </w:rPr>
              <w:t>La P.I. y las exportaciones:  estrategias, uso de los servicios que presta la OMPI a escala internacional e intercambio de experiencias;  se financió la participación de un orador del ámbito internacional.</w:t>
            </w:r>
          </w:p>
          <w:p w:rsidR="00B070BF" w:rsidRPr="009577DE" w:rsidRDefault="00B070BF" w:rsidP="00C33D4A">
            <w:pPr>
              <w:widowControl w:val="0"/>
              <w:autoSpaceDE w:val="0"/>
              <w:autoSpaceDN w:val="0"/>
              <w:adjustRightInd w:val="0"/>
              <w:spacing w:before="120" w:after="120"/>
              <w:rPr>
                <w:sz w:val="16"/>
                <w:szCs w:val="16"/>
                <w:lang w:val="es-ES_tradnl"/>
              </w:rPr>
            </w:pPr>
          </w:p>
        </w:tc>
        <w:tc>
          <w:tcPr>
            <w:tcW w:w="1134" w:type="dxa"/>
          </w:tcPr>
          <w:p w:rsidR="00B070BF" w:rsidRPr="009577DE" w:rsidRDefault="00B070BF" w:rsidP="00C33D4A">
            <w:pPr>
              <w:widowControl w:val="0"/>
              <w:autoSpaceDE w:val="0"/>
              <w:autoSpaceDN w:val="0"/>
              <w:adjustRightInd w:val="0"/>
              <w:spacing w:before="120"/>
              <w:rPr>
                <w:sz w:val="16"/>
                <w:szCs w:val="16"/>
                <w:lang w:val="es-ES_tradnl"/>
              </w:rPr>
            </w:pPr>
            <w:r w:rsidRPr="009577DE">
              <w:rPr>
                <w:sz w:val="16"/>
                <w:szCs w:val="16"/>
                <w:lang w:val="es-ES_tradnl"/>
              </w:rPr>
              <w:t>2 a 4 de mayo de 2012</w:t>
            </w:r>
          </w:p>
          <w:p w:rsidR="00B070BF" w:rsidRPr="009577DE" w:rsidRDefault="00B070BF" w:rsidP="00C33D4A">
            <w:pPr>
              <w:widowControl w:val="0"/>
              <w:autoSpaceDE w:val="0"/>
              <w:autoSpaceDN w:val="0"/>
              <w:adjustRightInd w:val="0"/>
              <w:spacing w:before="120" w:after="120"/>
              <w:rPr>
                <w:sz w:val="16"/>
                <w:szCs w:val="16"/>
                <w:lang w:val="es-ES_tradnl"/>
              </w:rPr>
            </w:pPr>
          </w:p>
        </w:tc>
        <w:tc>
          <w:tcPr>
            <w:tcW w:w="2835" w:type="dxa"/>
          </w:tcPr>
          <w:p w:rsidR="00B070BF" w:rsidRPr="009577DE" w:rsidRDefault="00B070BF" w:rsidP="00C33D4A">
            <w:pPr>
              <w:widowControl w:val="0"/>
              <w:autoSpaceDE w:val="0"/>
              <w:autoSpaceDN w:val="0"/>
              <w:adjustRightInd w:val="0"/>
              <w:spacing w:before="120"/>
              <w:rPr>
                <w:sz w:val="16"/>
                <w:szCs w:val="16"/>
                <w:lang w:val="es-ES_tradnl"/>
              </w:rPr>
            </w:pPr>
            <w:r w:rsidRPr="009577DE">
              <w:rPr>
                <w:sz w:val="16"/>
                <w:szCs w:val="16"/>
                <w:lang w:val="es-ES_tradnl"/>
              </w:rPr>
              <w:t>Brasil</w:t>
            </w:r>
          </w:p>
          <w:p w:rsidR="00B070BF" w:rsidRPr="009577DE" w:rsidRDefault="00B070BF" w:rsidP="00C33D4A">
            <w:pPr>
              <w:widowControl w:val="0"/>
              <w:autoSpaceDE w:val="0"/>
              <w:autoSpaceDN w:val="0"/>
              <w:adjustRightInd w:val="0"/>
              <w:spacing w:before="120" w:after="120"/>
              <w:rPr>
                <w:sz w:val="16"/>
                <w:szCs w:val="16"/>
                <w:lang w:val="es-ES_tradnl"/>
              </w:rPr>
            </w:pPr>
          </w:p>
        </w:tc>
        <w:tc>
          <w:tcPr>
            <w:tcW w:w="3260" w:type="dxa"/>
          </w:tcPr>
          <w:p w:rsidR="00B070BF" w:rsidRPr="009577DE" w:rsidRDefault="00B070BF" w:rsidP="00C33D4A">
            <w:pPr>
              <w:widowControl w:val="0"/>
              <w:spacing w:before="120" w:after="220"/>
              <w:rPr>
                <w:sz w:val="16"/>
                <w:szCs w:val="16"/>
                <w:lang w:val="es-ES_tradnl"/>
              </w:rPr>
            </w:pPr>
            <w:r w:rsidRPr="009577DE">
              <w:rPr>
                <w:sz w:val="16"/>
                <w:szCs w:val="16"/>
                <w:lang w:val="es-ES_tradnl"/>
              </w:rPr>
              <w:t>El experto presentó una ponencia sobre gestión y protección de la propiedad intelectual, dirigida a empresas exportadoras.</w:t>
            </w:r>
          </w:p>
          <w:p w:rsidR="00B070BF" w:rsidRPr="009577DE" w:rsidRDefault="00B070BF" w:rsidP="00C33D4A">
            <w:pPr>
              <w:widowControl w:val="0"/>
              <w:autoSpaceDE w:val="0"/>
              <w:autoSpaceDN w:val="0"/>
              <w:adjustRightInd w:val="0"/>
              <w:spacing w:before="120" w:after="120"/>
              <w:rPr>
                <w:sz w:val="16"/>
                <w:szCs w:val="16"/>
                <w:lang w:val="es-ES_tradnl"/>
              </w:rPr>
            </w:pPr>
          </w:p>
        </w:tc>
      </w:tr>
    </w:tbl>
    <w:p w:rsidR="00B070BF" w:rsidRPr="009577DE" w:rsidRDefault="00B070BF" w:rsidP="00B070BF">
      <w:pPr>
        <w:rPr>
          <w:lang w:val="es-ES_tradnl"/>
        </w:rPr>
      </w:pPr>
      <w:r w:rsidRPr="009577DE">
        <w:rPr>
          <w:lang w:val="es-ES_tradnl"/>
        </w:rPr>
        <w:br w:type="page"/>
      </w:r>
    </w:p>
    <w:tbl>
      <w:tblPr>
        <w:tblW w:w="9072" w:type="dxa"/>
        <w:tblInd w:w="108"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1843"/>
        <w:gridCol w:w="1134"/>
        <w:gridCol w:w="2835"/>
        <w:gridCol w:w="3260"/>
      </w:tblGrid>
      <w:tr w:rsidR="00B070BF" w:rsidRPr="009577DE" w:rsidTr="00C33D4A">
        <w:tc>
          <w:tcPr>
            <w:tcW w:w="9072" w:type="dxa"/>
            <w:gridSpan w:val="4"/>
            <w:tcBorders>
              <w:top w:val="single" w:sz="4" w:space="0" w:color="000000"/>
              <w:bottom w:val="single" w:sz="4" w:space="0" w:color="000000"/>
            </w:tcBorders>
            <w:shd w:val="clear" w:color="auto" w:fill="CCFFFF"/>
            <w:vAlign w:val="center"/>
          </w:tcPr>
          <w:p w:rsidR="00B070BF" w:rsidRPr="009577DE" w:rsidRDefault="00B070BF" w:rsidP="00C33D4A">
            <w:pPr>
              <w:widowControl w:val="0"/>
              <w:tabs>
                <w:tab w:val="left" w:pos="1740"/>
              </w:tabs>
              <w:spacing w:before="120" w:after="120"/>
              <w:ind w:left="1740" w:hanging="1740"/>
              <w:rPr>
                <w:b/>
                <w:bCs/>
                <w:sz w:val="16"/>
                <w:szCs w:val="16"/>
                <w:lang w:val="es-ES_tradnl"/>
              </w:rPr>
            </w:pPr>
            <w:r w:rsidRPr="009577DE">
              <w:rPr>
                <w:b/>
                <w:bCs/>
                <w:sz w:val="16"/>
                <w:szCs w:val="16"/>
                <w:lang w:val="es-ES_tradnl"/>
              </w:rPr>
              <w:lastRenderedPageBreak/>
              <w:t>RESULTADO:</w:t>
            </w:r>
            <w:r w:rsidRPr="009577DE">
              <w:rPr>
                <w:bCs/>
                <w:sz w:val="16"/>
                <w:szCs w:val="16"/>
                <w:lang w:val="es-ES_tradnl"/>
              </w:rPr>
              <w:tab/>
              <w:t>Conocimiento más adecuado entre los encargados de la adopción de políticas de la relación existente entre los desafíos mundiales y la innovación y la P.I. como base para formular políticas de manera más eficaz.</w:t>
            </w:r>
          </w:p>
        </w:tc>
      </w:tr>
      <w:tr w:rsidR="00B070BF" w:rsidRPr="009577DE" w:rsidTr="00C33D4A">
        <w:trPr>
          <w:trHeight w:val="66"/>
        </w:trPr>
        <w:tc>
          <w:tcPr>
            <w:tcW w:w="1843" w:type="dxa"/>
            <w:tcBorders>
              <w:top w:val="single" w:sz="4" w:space="0" w:color="000000"/>
            </w:tcBorders>
            <w:vAlign w:val="center"/>
          </w:tcPr>
          <w:p w:rsidR="00B070BF" w:rsidRPr="009577DE" w:rsidRDefault="00B070BF" w:rsidP="00C33D4A">
            <w:pPr>
              <w:widowControl w:val="0"/>
              <w:rPr>
                <w:b/>
                <w:bCs/>
                <w:sz w:val="16"/>
                <w:szCs w:val="16"/>
                <w:lang w:val="es-ES_tradnl"/>
              </w:rPr>
            </w:pPr>
            <w:r w:rsidRPr="009577DE">
              <w:rPr>
                <w:b/>
                <w:bCs/>
                <w:sz w:val="16"/>
                <w:szCs w:val="16"/>
                <w:lang w:val="es-ES_tradnl"/>
              </w:rPr>
              <w:t>Actividad</w:t>
            </w:r>
          </w:p>
        </w:tc>
        <w:tc>
          <w:tcPr>
            <w:tcW w:w="1134" w:type="dxa"/>
            <w:tcBorders>
              <w:top w:val="single" w:sz="4" w:space="0" w:color="000000"/>
            </w:tcBorders>
            <w:shd w:val="clear" w:color="auto" w:fill="auto"/>
            <w:tcMar>
              <w:top w:w="110" w:type="dxa"/>
            </w:tcMar>
            <w:vAlign w:val="center"/>
          </w:tcPr>
          <w:p w:rsidR="00B070BF" w:rsidRPr="009577DE" w:rsidRDefault="00B070BF" w:rsidP="00C33D4A">
            <w:pPr>
              <w:widowControl w:val="0"/>
              <w:rPr>
                <w:sz w:val="16"/>
                <w:szCs w:val="16"/>
                <w:lang w:val="es-ES_tradnl"/>
              </w:rPr>
            </w:pPr>
            <w:r w:rsidRPr="009577DE">
              <w:rPr>
                <w:b/>
                <w:bCs/>
                <w:sz w:val="16"/>
                <w:szCs w:val="16"/>
                <w:lang w:val="es-ES_tradnl"/>
              </w:rPr>
              <w:t>Fecha</w:t>
            </w:r>
          </w:p>
        </w:tc>
        <w:tc>
          <w:tcPr>
            <w:tcW w:w="2835" w:type="dxa"/>
            <w:tcBorders>
              <w:top w:val="single" w:sz="4" w:space="0" w:color="000000"/>
            </w:tcBorders>
            <w:shd w:val="clear" w:color="auto" w:fill="auto"/>
            <w:tcMar>
              <w:top w:w="110" w:type="dxa"/>
            </w:tcMar>
            <w:vAlign w:val="center"/>
          </w:tcPr>
          <w:p w:rsidR="00B070BF" w:rsidRPr="009577DE" w:rsidRDefault="00B070BF" w:rsidP="00C33D4A">
            <w:pPr>
              <w:widowControl w:val="0"/>
              <w:rPr>
                <w:sz w:val="16"/>
                <w:szCs w:val="16"/>
                <w:lang w:val="es-ES_tradnl"/>
              </w:rPr>
            </w:pPr>
            <w:r w:rsidRPr="009577DE">
              <w:rPr>
                <w:b/>
                <w:bCs/>
                <w:sz w:val="16"/>
                <w:szCs w:val="16"/>
                <w:lang w:val="es-ES_tradnl"/>
              </w:rPr>
              <w:t>País anfitrión/</w:t>
            </w:r>
            <w:r w:rsidRPr="009577DE">
              <w:rPr>
                <w:bCs/>
                <w:sz w:val="16"/>
                <w:szCs w:val="16"/>
                <w:lang w:val="es-ES_tradnl"/>
              </w:rPr>
              <w:t xml:space="preserve"> </w:t>
            </w:r>
            <w:r w:rsidRPr="009577DE">
              <w:rPr>
                <w:b/>
                <w:bCs/>
                <w:sz w:val="16"/>
                <w:szCs w:val="16"/>
                <w:lang w:val="es-ES_tradnl"/>
              </w:rPr>
              <w:t>Beneficiarios</w:t>
            </w:r>
          </w:p>
        </w:tc>
        <w:tc>
          <w:tcPr>
            <w:tcW w:w="3260" w:type="dxa"/>
            <w:tcBorders>
              <w:top w:val="single" w:sz="4" w:space="0" w:color="000000"/>
            </w:tcBorders>
            <w:shd w:val="clear" w:color="auto" w:fill="FFFFFF"/>
            <w:tcMar>
              <w:top w:w="110" w:type="dxa"/>
            </w:tcMar>
            <w:vAlign w:val="center"/>
          </w:tcPr>
          <w:p w:rsidR="00B070BF" w:rsidRPr="009577DE" w:rsidRDefault="00B070BF" w:rsidP="00C33D4A">
            <w:pPr>
              <w:widowControl w:val="0"/>
              <w:rPr>
                <w:sz w:val="16"/>
                <w:szCs w:val="16"/>
                <w:lang w:val="es-ES_tradnl"/>
              </w:rPr>
            </w:pPr>
            <w:r w:rsidRPr="009577DE">
              <w:rPr>
                <w:b/>
                <w:bCs/>
                <w:sz w:val="16"/>
                <w:szCs w:val="16"/>
                <w:lang w:val="es-ES_tradnl"/>
              </w:rPr>
              <w:t>Propósito/Descripción</w:t>
            </w:r>
          </w:p>
        </w:tc>
      </w:tr>
      <w:tr w:rsidR="00B070BF" w:rsidRPr="009577DE" w:rsidTr="00C33D4A">
        <w:trPr>
          <w:trHeight w:val="2033"/>
        </w:trPr>
        <w:tc>
          <w:tcPr>
            <w:tcW w:w="1843" w:type="dxa"/>
            <w:vAlign w:val="center"/>
          </w:tcPr>
          <w:p w:rsidR="00B070BF" w:rsidRPr="009577DE" w:rsidRDefault="00B070BF" w:rsidP="00C33D4A">
            <w:pPr>
              <w:widowControl w:val="0"/>
              <w:rPr>
                <w:bCs/>
                <w:sz w:val="16"/>
                <w:szCs w:val="16"/>
                <w:lang w:val="es-ES_tradnl"/>
              </w:rPr>
            </w:pPr>
          </w:p>
          <w:p w:rsidR="00B070BF" w:rsidRPr="009577DE" w:rsidRDefault="00B070BF" w:rsidP="00C33D4A">
            <w:pPr>
              <w:widowControl w:val="0"/>
              <w:rPr>
                <w:bCs/>
                <w:sz w:val="16"/>
                <w:szCs w:val="16"/>
                <w:lang w:val="es-ES_tradnl"/>
              </w:rPr>
            </w:pPr>
            <w:r w:rsidRPr="009577DE">
              <w:rPr>
                <w:bCs/>
                <w:sz w:val="16"/>
                <w:szCs w:val="16"/>
                <w:lang w:val="es-ES_tradnl"/>
              </w:rPr>
              <w:t xml:space="preserve">5º Congreso Internacional sobre </w:t>
            </w:r>
            <w:r w:rsidRPr="009577DE">
              <w:rPr>
                <w:bCs/>
                <w:i/>
                <w:sz w:val="16"/>
                <w:szCs w:val="16"/>
                <w:lang w:val="es-ES_tradnl"/>
              </w:rPr>
              <w:t>software</w:t>
            </w:r>
            <w:r w:rsidRPr="009577DE">
              <w:rPr>
                <w:bCs/>
                <w:sz w:val="16"/>
                <w:szCs w:val="16"/>
                <w:lang w:val="es-ES_tradnl"/>
              </w:rPr>
              <w:t xml:space="preserve"> libre y gobierno electrónico (CONSEGI);  se financió la participación de dos oradores del ámbito internacional.  El Congreso se celebró en Belém (Brasil).</w:t>
            </w:r>
          </w:p>
          <w:p w:rsidR="00B070BF" w:rsidRPr="009577DE" w:rsidRDefault="00B070BF" w:rsidP="00C33D4A">
            <w:pPr>
              <w:widowControl w:val="0"/>
              <w:rPr>
                <w:b/>
                <w:bCs/>
                <w:sz w:val="16"/>
                <w:szCs w:val="16"/>
                <w:lang w:val="es-ES_tradnl"/>
              </w:rPr>
            </w:pPr>
          </w:p>
        </w:tc>
        <w:tc>
          <w:tcPr>
            <w:tcW w:w="1134" w:type="dxa"/>
          </w:tcPr>
          <w:p w:rsidR="00B070BF" w:rsidRPr="009577DE" w:rsidRDefault="00B070BF" w:rsidP="00C33D4A">
            <w:pPr>
              <w:widowControl w:val="0"/>
              <w:autoSpaceDE w:val="0"/>
              <w:autoSpaceDN w:val="0"/>
              <w:adjustRightInd w:val="0"/>
              <w:spacing w:before="120" w:after="120"/>
              <w:rPr>
                <w:sz w:val="16"/>
                <w:szCs w:val="16"/>
                <w:lang w:val="es-ES_tradnl"/>
              </w:rPr>
            </w:pPr>
            <w:r w:rsidRPr="009577DE">
              <w:rPr>
                <w:sz w:val="16"/>
                <w:szCs w:val="16"/>
                <w:lang w:val="es-ES_tradnl"/>
              </w:rPr>
              <w:t>3 a 7 de diciembre de 2012</w:t>
            </w:r>
          </w:p>
        </w:tc>
        <w:tc>
          <w:tcPr>
            <w:tcW w:w="2835" w:type="dxa"/>
          </w:tcPr>
          <w:p w:rsidR="00B070BF" w:rsidRPr="009577DE" w:rsidRDefault="00B070BF" w:rsidP="00C33D4A">
            <w:pPr>
              <w:widowControl w:val="0"/>
              <w:autoSpaceDE w:val="0"/>
              <w:autoSpaceDN w:val="0"/>
              <w:adjustRightInd w:val="0"/>
              <w:spacing w:before="120" w:after="120"/>
              <w:rPr>
                <w:sz w:val="16"/>
                <w:szCs w:val="16"/>
                <w:lang w:val="es-ES_tradnl"/>
              </w:rPr>
            </w:pPr>
            <w:r w:rsidRPr="009577DE">
              <w:rPr>
                <w:sz w:val="16"/>
                <w:szCs w:val="16"/>
                <w:lang w:val="es-ES_tradnl"/>
              </w:rPr>
              <w:t>Brasil</w:t>
            </w:r>
          </w:p>
        </w:tc>
        <w:tc>
          <w:tcPr>
            <w:tcW w:w="3260" w:type="dxa"/>
          </w:tcPr>
          <w:p w:rsidR="00B070BF" w:rsidRPr="009577DE" w:rsidRDefault="00B070BF" w:rsidP="00C33D4A">
            <w:pPr>
              <w:widowControl w:val="0"/>
              <w:autoSpaceDE w:val="0"/>
              <w:autoSpaceDN w:val="0"/>
              <w:adjustRightInd w:val="0"/>
              <w:spacing w:before="120" w:after="120"/>
              <w:rPr>
                <w:sz w:val="16"/>
                <w:szCs w:val="16"/>
                <w:lang w:val="es-ES_tradnl"/>
              </w:rPr>
            </w:pPr>
            <w:r w:rsidRPr="009577DE">
              <w:rPr>
                <w:sz w:val="16"/>
                <w:szCs w:val="16"/>
                <w:lang w:val="es-ES_tradnl"/>
              </w:rPr>
              <w:t xml:space="preserve">El propósito de la iniciativa CONSEGI es fomentar el debate entre los representantes del Gobierno del Brasil y la sociedad civil acerca de proyectos e iniciativas relacionadas con el intercambio de conocimientos, la adopción de normas de código abierto y la promoción del </w:t>
            </w:r>
            <w:r w:rsidRPr="009577DE">
              <w:rPr>
                <w:bCs/>
                <w:i/>
                <w:sz w:val="16"/>
                <w:szCs w:val="16"/>
                <w:lang w:val="es-ES_tradnl"/>
              </w:rPr>
              <w:t>software</w:t>
            </w:r>
            <w:r w:rsidRPr="009577DE">
              <w:rPr>
                <w:bCs/>
                <w:sz w:val="16"/>
                <w:szCs w:val="16"/>
                <w:lang w:val="es-ES_tradnl"/>
              </w:rPr>
              <w:t xml:space="preserve"> libre</w:t>
            </w:r>
            <w:r w:rsidRPr="009577DE">
              <w:rPr>
                <w:sz w:val="16"/>
                <w:szCs w:val="16"/>
                <w:lang w:val="es-ES_tradnl"/>
              </w:rPr>
              <w:t xml:space="preserve"> con miras a contribuir al perfeccionamiento de las políticas públicas sobre tecnologías de la información y las telecomunicaciones.</w:t>
            </w:r>
          </w:p>
        </w:tc>
      </w:tr>
      <w:tr w:rsidR="00B070BF" w:rsidRPr="009577DE" w:rsidTr="00C33D4A">
        <w:trPr>
          <w:trHeight w:val="530"/>
        </w:trPr>
        <w:tc>
          <w:tcPr>
            <w:tcW w:w="1843" w:type="dxa"/>
          </w:tcPr>
          <w:p w:rsidR="00B070BF" w:rsidRPr="009577DE" w:rsidRDefault="00B070BF" w:rsidP="00C33D4A">
            <w:pPr>
              <w:widowControl w:val="0"/>
              <w:autoSpaceDE w:val="0"/>
              <w:autoSpaceDN w:val="0"/>
              <w:adjustRightInd w:val="0"/>
              <w:rPr>
                <w:sz w:val="16"/>
                <w:szCs w:val="16"/>
                <w:lang w:val="es-ES_tradnl"/>
              </w:rPr>
            </w:pPr>
          </w:p>
          <w:p w:rsidR="00B070BF" w:rsidRPr="009577DE" w:rsidRDefault="00B070BF" w:rsidP="00C33D4A">
            <w:pPr>
              <w:widowControl w:val="0"/>
              <w:autoSpaceDE w:val="0"/>
              <w:autoSpaceDN w:val="0"/>
              <w:adjustRightInd w:val="0"/>
              <w:spacing w:after="120"/>
              <w:rPr>
                <w:sz w:val="16"/>
                <w:szCs w:val="16"/>
                <w:lang w:val="es-ES_tradnl"/>
              </w:rPr>
            </w:pPr>
            <w:r w:rsidRPr="009577DE">
              <w:rPr>
                <w:sz w:val="16"/>
                <w:szCs w:val="16"/>
                <w:lang w:val="es-ES_tradnl"/>
              </w:rPr>
              <w:t>4ª Reunión formal del Grupo de Trabajo Brasil–China sobre propiedad intelectual. Se financió la participación de un orador.</w:t>
            </w:r>
          </w:p>
        </w:tc>
        <w:tc>
          <w:tcPr>
            <w:tcW w:w="1134" w:type="dxa"/>
          </w:tcPr>
          <w:p w:rsidR="00B070BF" w:rsidRPr="009577DE" w:rsidRDefault="00B070BF" w:rsidP="00C33D4A">
            <w:pPr>
              <w:widowControl w:val="0"/>
              <w:autoSpaceDE w:val="0"/>
              <w:autoSpaceDN w:val="0"/>
              <w:adjustRightInd w:val="0"/>
              <w:spacing w:before="120" w:after="120"/>
              <w:rPr>
                <w:sz w:val="16"/>
                <w:szCs w:val="16"/>
                <w:lang w:val="es-ES_tradnl"/>
              </w:rPr>
            </w:pPr>
            <w:r w:rsidRPr="009577DE">
              <w:rPr>
                <w:sz w:val="16"/>
                <w:szCs w:val="16"/>
                <w:lang w:val="es-ES_tradnl"/>
              </w:rPr>
              <w:t>20 a 27 de junio de 2012</w:t>
            </w:r>
          </w:p>
          <w:p w:rsidR="00B070BF" w:rsidRPr="009577DE" w:rsidRDefault="00B070BF" w:rsidP="00C33D4A">
            <w:pPr>
              <w:widowControl w:val="0"/>
              <w:autoSpaceDE w:val="0"/>
              <w:autoSpaceDN w:val="0"/>
              <w:adjustRightInd w:val="0"/>
              <w:spacing w:before="120" w:after="120"/>
              <w:rPr>
                <w:sz w:val="16"/>
                <w:szCs w:val="16"/>
                <w:lang w:val="es-ES_tradnl"/>
              </w:rPr>
            </w:pPr>
          </w:p>
        </w:tc>
        <w:tc>
          <w:tcPr>
            <w:tcW w:w="2835" w:type="dxa"/>
          </w:tcPr>
          <w:p w:rsidR="00B070BF" w:rsidRPr="009577DE" w:rsidRDefault="00B070BF" w:rsidP="00C33D4A">
            <w:pPr>
              <w:widowControl w:val="0"/>
              <w:autoSpaceDE w:val="0"/>
              <w:autoSpaceDN w:val="0"/>
              <w:adjustRightInd w:val="0"/>
              <w:rPr>
                <w:sz w:val="16"/>
                <w:szCs w:val="16"/>
                <w:lang w:val="es-ES_tradnl"/>
              </w:rPr>
            </w:pPr>
          </w:p>
          <w:p w:rsidR="00B070BF" w:rsidRPr="009577DE" w:rsidRDefault="00B070BF" w:rsidP="00C33D4A">
            <w:pPr>
              <w:widowControl w:val="0"/>
              <w:autoSpaceDE w:val="0"/>
              <w:autoSpaceDN w:val="0"/>
              <w:adjustRightInd w:val="0"/>
              <w:rPr>
                <w:sz w:val="16"/>
                <w:szCs w:val="16"/>
                <w:lang w:val="es-ES_tradnl"/>
              </w:rPr>
            </w:pPr>
            <w:r w:rsidRPr="009577DE">
              <w:rPr>
                <w:sz w:val="16"/>
                <w:szCs w:val="16"/>
                <w:lang w:val="es-ES_tradnl"/>
              </w:rPr>
              <w:t>Brasil</w:t>
            </w:r>
          </w:p>
          <w:p w:rsidR="00B070BF" w:rsidRPr="009577DE" w:rsidRDefault="00B070BF" w:rsidP="00C33D4A">
            <w:pPr>
              <w:widowControl w:val="0"/>
              <w:autoSpaceDE w:val="0"/>
              <w:autoSpaceDN w:val="0"/>
              <w:adjustRightInd w:val="0"/>
              <w:rPr>
                <w:sz w:val="16"/>
                <w:szCs w:val="16"/>
                <w:lang w:val="es-ES_tradnl"/>
              </w:rPr>
            </w:pPr>
          </w:p>
          <w:p w:rsidR="00B070BF" w:rsidRPr="009577DE" w:rsidRDefault="00B070BF" w:rsidP="00C33D4A">
            <w:pPr>
              <w:widowControl w:val="0"/>
              <w:autoSpaceDE w:val="0"/>
              <w:autoSpaceDN w:val="0"/>
              <w:adjustRightInd w:val="0"/>
              <w:rPr>
                <w:sz w:val="16"/>
                <w:szCs w:val="16"/>
                <w:lang w:val="es-ES_tradnl"/>
              </w:rPr>
            </w:pPr>
          </w:p>
          <w:p w:rsidR="00B070BF" w:rsidRPr="009577DE" w:rsidRDefault="00B070BF" w:rsidP="00C33D4A">
            <w:pPr>
              <w:widowControl w:val="0"/>
              <w:autoSpaceDE w:val="0"/>
              <w:autoSpaceDN w:val="0"/>
              <w:adjustRightInd w:val="0"/>
              <w:rPr>
                <w:sz w:val="16"/>
                <w:szCs w:val="16"/>
                <w:lang w:val="es-ES_tradnl"/>
              </w:rPr>
            </w:pPr>
          </w:p>
          <w:p w:rsidR="00B070BF" w:rsidRPr="009577DE" w:rsidRDefault="00B070BF" w:rsidP="00C33D4A">
            <w:pPr>
              <w:widowControl w:val="0"/>
              <w:autoSpaceDE w:val="0"/>
              <w:autoSpaceDN w:val="0"/>
              <w:adjustRightInd w:val="0"/>
              <w:rPr>
                <w:sz w:val="16"/>
                <w:szCs w:val="16"/>
                <w:lang w:val="es-ES_tradnl"/>
              </w:rPr>
            </w:pPr>
          </w:p>
          <w:p w:rsidR="00B070BF" w:rsidRPr="009577DE" w:rsidRDefault="00B070BF" w:rsidP="00C33D4A">
            <w:pPr>
              <w:widowControl w:val="0"/>
              <w:autoSpaceDE w:val="0"/>
              <w:autoSpaceDN w:val="0"/>
              <w:adjustRightInd w:val="0"/>
              <w:rPr>
                <w:sz w:val="16"/>
                <w:szCs w:val="16"/>
                <w:lang w:val="es-ES_tradnl"/>
              </w:rPr>
            </w:pPr>
          </w:p>
        </w:tc>
        <w:tc>
          <w:tcPr>
            <w:tcW w:w="3260" w:type="dxa"/>
          </w:tcPr>
          <w:p w:rsidR="00B070BF" w:rsidRPr="009577DE" w:rsidRDefault="00B070BF" w:rsidP="00C33D4A">
            <w:pPr>
              <w:widowControl w:val="0"/>
              <w:autoSpaceDE w:val="0"/>
              <w:autoSpaceDN w:val="0"/>
              <w:adjustRightInd w:val="0"/>
              <w:rPr>
                <w:sz w:val="16"/>
                <w:szCs w:val="16"/>
                <w:lang w:val="es-ES_tradnl"/>
              </w:rPr>
            </w:pPr>
          </w:p>
          <w:p w:rsidR="00B070BF" w:rsidRPr="009577DE" w:rsidRDefault="00B070BF" w:rsidP="00C33D4A">
            <w:pPr>
              <w:widowControl w:val="0"/>
              <w:autoSpaceDE w:val="0"/>
              <w:autoSpaceDN w:val="0"/>
              <w:adjustRightInd w:val="0"/>
              <w:rPr>
                <w:sz w:val="16"/>
                <w:szCs w:val="16"/>
                <w:lang w:val="es-ES_tradnl"/>
              </w:rPr>
            </w:pPr>
          </w:p>
        </w:tc>
      </w:tr>
      <w:tr w:rsidR="00B070BF" w:rsidRPr="009577DE" w:rsidTr="00C33D4A">
        <w:trPr>
          <w:trHeight w:val="552"/>
        </w:trPr>
        <w:tc>
          <w:tcPr>
            <w:tcW w:w="1843" w:type="dxa"/>
            <w:tcBorders>
              <w:bottom w:val="single" w:sz="4" w:space="0" w:color="000000"/>
            </w:tcBorders>
          </w:tcPr>
          <w:p w:rsidR="00B070BF" w:rsidRPr="009577DE" w:rsidRDefault="00B070BF" w:rsidP="00C33D4A">
            <w:pPr>
              <w:widowControl w:val="0"/>
              <w:autoSpaceDE w:val="0"/>
              <w:autoSpaceDN w:val="0"/>
              <w:adjustRightInd w:val="0"/>
              <w:rPr>
                <w:sz w:val="16"/>
                <w:szCs w:val="16"/>
                <w:lang w:val="es-ES_tradnl"/>
              </w:rPr>
            </w:pPr>
          </w:p>
          <w:p w:rsidR="00B070BF" w:rsidRPr="009577DE" w:rsidRDefault="00B070BF" w:rsidP="00C33D4A">
            <w:pPr>
              <w:widowControl w:val="0"/>
              <w:rPr>
                <w:sz w:val="16"/>
                <w:szCs w:val="16"/>
                <w:lang w:val="es-ES_tradnl"/>
              </w:rPr>
            </w:pPr>
            <w:r w:rsidRPr="009577DE">
              <w:rPr>
                <w:sz w:val="16"/>
                <w:szCs w:val="16"/>
                <w:lang w:val="es-ES_tradnl"/>
              </w:rPr>
              <w:t>Primera Reunión interregional de la OMPI sobre la Cooperación Sur–Sur en materia de Gobernanza de la Propiedad Intelectual;  Recursos Genéticos, Conocimientos Tradicionales y Folclore;  y Derecho de Autor y Derechos Conexos.  Se financió la participación de cuatro participantes.</w:t>
            </w:r>
          </w:p>
          <w:p w:rsidR="00B070BF" w:rsidRPr="009577DE" w:rsidDel="00366609" w:rsidRDefault="00B070BF" w:rsidP="00C33D4A">
            <w:pPr>
              <w:widowControl w:val="0"/>
              <w:rPr>
                <w:sz w:val="16"/>
                <w:szCs w:val="16"/>
                <w:lang w:val="es-ES_tradnl"/>
              </w:rPr>
            </w:pPr>
          </w:p>
        </w:tc>
        <w:tc>
          <w:tcPr>
            <w:tcW w:w="1134" w:type="dxa"/>
            <w:tcBorders>
              <w:bottom w:val="single" w:sz="4" w:space="0" w:color="000000"/>
            </w:tcBorders>
          </w:tcPr>
          <w:p w:rsidR="00B070BF" w:rsidRPr="009577DE" w:rsidDel="00F50E98" w:rsidRDefault="00B070BF" w:rsidP="00C33D4A">
            <w:pPr>
              <w:widowControl w:val="0"/>
              <w:autoSpaceDE w:val="0"/>
              <w:autoSpaceDN w:val="0"/>
              <w:adjustRightInd w:val="0"/>
              <w:spacing w:before="120" w:after="120"/>
              <w:rPr>
                <w:sz w:val="16"/>
                <w:szCs w:val="16"/>
                <w:lang w:val="es-ES_tradnl"/>
              </w:rPr>
            </w:pPr>
            <w:r w:rsidRPr="009577DE">
              <w:rPr>
                <w:sz w:val="16"/>
                <w:szCs w:val="16"/>
                <w:lang w:val="es-ES_tradnl"/>
              </w:rPr>
              <w:t>8 a 10 de agosto de 2012</w:t>
            </w:r>
          </w:p>
        </w:tc>
        <w:tc>
          <w:tcPr>
            <w:tcW w:w="2835" w:type="dxa"/>
            <w:tcBorders>
              <w:bottom w:val="single" w:sz="4" w:space="0" w:color="000000"/>
            </w:tcBorders>
          </w:tcPr>
          <w:p w:rsidR="00B070BF" w:rsidRPr="009577DE" w:rsidRDefault="00B070BF" w:rsidP="00C33D4A">
            <w:pPr>
              <w:widowControl w:val="0"/>
              <w:autoSpaceDE w:val="0"/>
              <w:autoSpaceDN w:val="0"/>
              <w:adjustRightInd w:val="0"/>
              <w:rPr>
                <w:sz w:val="16"/>
                <w:szCs w:val="16"/>
                <w:lang w:val="es-ES_tradnl"/>
              </w:rPr>
            </w:pPr>
          </w:p>
          <w:p w:rsidR="00B070BF" w:rsidRPr="009577DE" w:rsidRDefault="00B070BF" w:rsidP="00C33D4A">
            <w:pPr>
              <w:widowControl w:val="0"/>
              <w:autoSpaceDE w:val="0"/>
              <w:autoSpaceDN w:val="0"/>
              <w:adjustRightInd w:val="0"/>
              <w:rPr>
                <w:sz w:val="16"/>
                <w:szCs w:val="16"/>
                <w:lang w:val="es-ES_tradnl"/>
              </w:rPr>
            </w:pPr>
            <w:r w:rsidRPr="009577DE">
              <w:rPr>
                <w:sz w:val="16"/>
                <w:szCs w:val="16"/>
                <w:lang w:val="es-ES_tradnl"/>
              </w:rPr>
              <w:t>Brasil, Burkina Faso, Egipto, Perú, Sri Lanka</w:t>
            </w:r>
          </w:p>
          <w:p w:rsidR="00B070BF" w:rsidRPr="009577DE" w:rsidRDefault="00B070BF" w:rsidP="00C33D4A">
            <w:pPr>
              <w:widowControl w:val="0"/>
              <w:autoSpaceDE w:val="0"/>
              <w:autoSpaceDN w:val="0"/>
              <w:adjustRightInd w:val="0"/>
              <w:rPr>
                <w:sz w:val="16"/>
                <w:szCs w:val="16"/>
                <w:lang w:val="es-ES_tradnl"/>
              </w:rPr>
            </w:pPr>
          </w:p>
          <w:p w:rsidR="00B070BF" w:rsidRPr="009577DE" w:rsidRDefault="00B070BF" w:rsidP="00C33D4A">
            <w:pPr>
              <w:widowControl w:val="0"/>
              <w:autoSpaceDE w:val="0"/>
              <w:autoSpaceDN w:val="0"/>
              <w:adjustRightInd w:val="0"/>
              <w:rPr>
                <w:sz w:val="16"/>
                <w:szCs w:val="16"/>
                <w:lang w:val="es-ES_tradnl"/>
              </w:rPr>
            </w:pPr>
          </w:p>
          <w:p w:rsidR="00B070BF" w:rsidRPr="009577DE" w:rsidRDefault="00B070BF" w:rsidP="00C33D4A">
            <w:pPr>
              <w:widowControl w:val="0"/>
              <w:autoSpaceDE w:val="0"/>
              <w:autoSpaceDN w:val="0"/>
              <w:adjustRightInd w:val="0"/>
              <w:rPr>
                <w:sz w:val="16"/>
                <w:szCs w:val="16"/>
                <w:lang w:val="es-ES_tradnl"/>
              </w:rPr>
            </w:pPr>
          </w:p>
          <w:p w:rsidR="00B070BF" w:rsidRPr="009577DE" w:rsidRDefault="00B070BF" w:rsidP="00C33D4A">
            <w:pPr>
              <w:widowControl w:val="0"/>
              <w:autoSpaceDE w:val="0"/>
              <w:autoSpaceDN w:val="0"/>
              <w:adjustRightInd w:val="0"/>
              <w:rPr>
                <w:sz w:val="16"/>
                <w:szCs w:val="16"/>
                <w:lang w:val="es-ES_tradnl"/>
              </w:rPr>
            </w:pPr>
          </w:p>
          <w:p w:rsidR="00B070BF" w:rsidRPr="009577DE" w:rsidRDefault="00B070BF" w:rsidP="00C33D4A">
            <w:pPr>
              <w:widowControl w:val="0"/>
              <w:autoSpaceDE w:val="0"/>
              <w:autoSpaceDN w:val="0"/>
              <w:adjustRightInd w:val="0"/>
              <w:rPr>
                <w:sz w:val="16"/>
                <w:szCs w:val="16"/>
                <w:lang w:val="es-ES_tradnl"/>
              </w:rPr>
            </w:pPr>
          </w:p>
          <w:p w:rsidR="00B070BF" w:rsidRPr="009577DE" w:rsidRDefault="00B070BF" w:rsidP="00C33D4A">
            <w:pPr>
              <w:widowControl w:val="0"/>
              <w:autoSpaceDE w:val="0"/>
              <w:autoSpaceDN w:val="0"/>
              <w:adjustRightInd w:val="0"/>
              <w:rPr>
                <w:sz w:val="16"/>
                <w:szCs w:val="16"/>
                <w:lang w:val="es-ES_tradnl"/>
              </w:rPr>
            </w:pPr>
          </w:p>
        </w:tc>
        <w:tc>
          <w:tcPr>
            <w:tcW w:w="3260" w:type="dxa"/>
            <w:tcBorders>
              <w:bottom w:val="single" w:sz="4" w:space="0" w:color="000000"/>
            </w:tcBorders>
          </w:tcPr>
          <w:p w:rsidR="00B070BF" w:rsidRPr="009577DE" w:rsidRDefault="00B070BF" w:rsidP="00C33D4A">
            <w:pPr>
              <w:widowControl w:val="0"/>
              <w:autoSpaceDE w:val="0"/>
              <w:autoSpaceDN w:val="0"/>
              <w:adjustRightInd w:val="0"/>
              <w:rPr>
                <w:sz w:val="16"/>
                <w:szCs w:val="16"/>
                <w:lang w:val="es-ES_tradnl"/>
              </w:rPr>
            </w:pPr>
          </w:p>
          <w:p w:rsidR="00B070BF" w:rsidRPr="009577DE" w:rsidRDefault="00B070BF" w:rsidP="00C33D4A">
            <w:pPr>
              <w:widowControl w:val="0"/>
              <w:rPr>
                <w:sz w:val="16"/>
                <w:szCs w:val="16"/>
                <w:lang w:val="es-ES_tradnl"/>
              </w:rPr>
            </w:pPr>
            <w:r w:rsidRPr="009577DE">
              <w:rPr>
                <w:sz w:val="16"/>
                <w:szCs w:val="16"/>
                <w:lang w:val="es-ES_tradnl"/>
              </w:rPr>
              <w:t>Examinar los desafíos y las oportunidades que plantean las cuestiones relacionadas con la gobernanza de la P.I., los recursos genéticos, los conocimientos tradicionales, el folclore, el derecho de autor y los derechos conexos, tanto en los países en desarrollo como en los PMA, en el plano nacional, regional e internacional.</w:t>
            </w:r>
          </w:p>
          <w:p w:rsidR="00B070BF" w:rsidRPr="009577DE" w:rsidRDefault="00B070BF" w:rsidP="00C33D4A">
            <w:pPr>
              <w:widowControl w:val="0"/>
              <w:autoSpaceDE w:val="0"/>
              <w:autoSpaceDN w:val="0"/>
              <w:adjustRightInd w:val="0"/>
              <w:rPr>
                <w:sz w:val="16"/>
                <w:szCs w:val="16"/>
                <w:lang w:val="es-ES_tradnl"/>
              </w:rPr>
            </w:pPr>
          </w:p>
          <w:p w:rsidR="00B070BF" w:rsidRPr="009577DE" w:rsidRDefault="00B070BF" w:rsidP="00C33D4A">
            <w:pPr>
              <w:widowControl w:val="0"/>
              <w:rPr>
                <w:sz w:val="16"/>
                <w:szCs w:val="16"/>
                <w:lang w:val="es-ES_tradnl"/>
              </w:rPr>
            </w:pPr>
          </w:p>
          <w:p w:rsidR="00B070BF" w:rsidRPr="009577DE" w:rsidRDefault="00B070BF" w:rsidP="00C33D4A">
            <w:pPr>
              <w:widowControl w:val="0"/>
              <w:autoSpaceDE w:val="0"/>
              <w:autoSpaceDN w:val="0"/>
              <w:adjustRightInd w:val="0"/>
              <w:rPr>
                <w:sz w:val="16"/>
                <w:szCs w:val="16"/>
                <w:lang w:val="es-ES_tradnl"/>
              </w:rPr>
            </w:pPr>
          </w:p>
        </w:tc>
      </w:tr>
      <w:tr w:rsidR="00B070BF" w:rsidRPr="009577DE" w:rsidTr="00C33D4A">
        <w:tc>
          <w:tcPr>
            <w:tcW w:w="9072" w:type="dxa"/>
            <w:gridSpan w:val="4"/>
            <w:tcBorders>
              <w:top w:val="single" w:sz="4" w:space="0" w:color="000000"/>
              <w:bottom w:val="single" w:sz="4" w:space="0" w:color="000000"/>
            </w:tcBorders>
            <w:shd w:val="clear" w:color="auto" w:fill="CCFFFF"/>
            <w:vAlign w:val="center"/>
          </w:tcPr>
          <w:p w:rsidR="00B070BF" w:rsidRPr="009577DE" w:rsidRDefault="00B070BF" w:rsidP="00C33D4A">
            <w:pPr>
              <w:widowControl w:val="0"/>
              <w:tabs>
                <w:tab w:val="left" w:pos="1740"/>
              </w:tabs>
              <w:spacing w:before="120" w:after="120"/>
              <w:ind w:left="1740" w:hanging="1740"/>
              <w:rPr>
                <w:b/>
                <w:bCs/>
                <w:sz w:val="16"/>
                <w:szCs w:val="16"/>
                <w:lang w:val="es-ES_tradnl"/>
              </w:rPr>
            </w:pPr>
            <w:r w:rsidRPr="009577DE">
              <w:rPr>
                <w:b/>
                <w:bCs/>
                <w:sz w:val="16"/>
                <w:szCs w:val="16"/>
                <w:lang w:val="es-ES_tradnl"/>
              </w:rPr>
              <w:t>RESULTADO:</w:t>
            </w:r>
            <w:r w:rsidRPr="009577DE">
              <w:rPr>
                <w:bCs/>
                <w:sz w:val="16"/>
                <w:szCs w:val="16"/>
                <w:lang w:val="es-ES_tradnl"/>
              </w:rPr>
              <w:tab/>
              <w:t>Marcos de P.I. adaptados y equilibrados en el ámbito legislativo, regulador y de política.</w:t>
            </w:r>
          </w:p>
        </w:tc>
      </w:tr>
      <w:tr w:rsidR="00B070BF" w:rsidRPr="009577DE" w:rsidTr="00C33D4A">
        <w:tc>
          <w:tcPr>
            <w:tcW w:w="1843" w:type="dxa"/>
            <w:tcBorders>
              <w:top w:val="single" w:sz="4" w:space="0" w:color="000000"/>
            </w:tcBorders>
            <w:vAlign w:val="center"/>
          </w:tcPr>
          <w:p w:rsidR="00B070BF" w:rsidRPr="009577DE" w:rsidRDefault="00B070BF" w:rsidP="00C33D4A">
            <w:pPr>
              <w:widowControl w:val="0"/>
              <w:rPr>
                <w:b/>
                <w:bCs/>
                <w:sz w:val="16"/>
                <w:szCs w:val="16"/>
                <w:lang w:val="es-ES_tradnl"/>
              </w:rPr>
            </w:pPr>
            <w:r w:rsidRPr="009577DE">
              <w:rPr>
                <w:b/>
                <w:bCs/>
                <w:sz w:val="16"/>
                <w:szCs w:val="16"/>
                <w:lang w:val="es-ES_tradnl"/>
              </w:rPr>
              <w:t>Actividad</w:t>
            </w:r>
          </w:p>
        </w:tc>
        <w:tc>
          <w:tcPr>
            <w:tcW w:w="1134" w:type="dxa"/>
            <w:tcBorders>
              <w:top w:val="single" w:sz="4" w:space="0" w:color="000000"/>
            </w:tcBorders>
            <w:shd w:val="clear" w:color="auto" w:fill="auto"/>
            <w:tcMar>
              <w:top w:w="110" w:type="dxa"/>
            </w:tcMar>
            <w:vAlign w:val="center"/>
          </w:tcPr>
          <w:p w:rsidR="00B070BF" w:rsidRPr="009577DE" w:rsidRDefault="00B070BF" w:rsidP="00C33D4A">
            <w:pPr>
              <w:widowControl w:val="0"/>
              <w:rPr>
                <w:sz w:val="16"/>
                <w:szCs w:val="16"/>
                <w:lang w:val="es-ES_tradnl"/>
              </w:rPr>
            </w:pPr>
            <w:r w:rsidRPr="009577DE">
              <w:rPr>
                <w:b/>
                <w:bCs/>
                <w:sz w:val="16"/>
                <w:szCs w:val="16"/>
                <w:lang w:val="es-ES_tradnl"/>
              </w:rPr>
              <w:t>Fecha</w:t>
            </w:r>
          </w:p>
        </w:tc>
        <w:tc>
          <w:tcPr>
            <w:tcW w:w="2835" w:type="dxa"/>
            <w:tcBorders>
              <w:top w:val="single" w:sz="4" w:space="0" w:color="000000"/>
            </w:tcBorders>
            <w:shd w:val="clear" w:color="auto" w:fill="auto"/>
            <w:tcMar>
              <w:top w:w="110" w:type="dxa"/>
            </w:tcMar>
            <w:vAlign w:val="center"/>
          </w:tcPr>
          <w:p w:rsidR="00B070BF" w:rsidRPr="009577DE" w:rsidRDefault="00B070BF" w:rsidP="00C33D4A">
            <w:pPr>
              <w:widowControl w:val="0"/>
              <w:rPr>
                <w:sz w:val="16"/>
                <w:szCs w:val="16"/>
                <w:lang w:val="es-ES_tradnl"/>
              </w:rPr>
            </w:pPr>
            <w:r w:rsidRPr="009577DE">
              <w:rPr>
                <w:b/>
                <w:bCs/>
                <w:sz w:val="16"/>
                <w:szCs w:val="16"/>
                <w:lang w:val="es-ES_tradnl"/>
              </w:rPr>
              <w:t>País anfitrión/</w:t>
            </w:r>
            <w:r w:rsidRPr="009577DE">
              <w:rPr>
                <w:bCs/>
                <w:sz w:val="16"/>
                <w:szCs w:val="16"/>
                <w:lang w:val="es-ES_tradnl"/>
              </w:rPr>
              <w:t xml:space="preserve"> </w:t>
            </w:r>
            <w:r w:rsidRPr="009577DE">
              <w:rPr>
                <w:b/>
                <w:bCs/>
                <w:sz w:val="16"/>
                <w:szCs w:val="16"/>
                <w:lang w:val="es-ES_tradnl"/>
              </w:rPr>
              <w:t>Beneficiarios</w:t>
            </w:r>
          </w:p>
        </w:tc>
        <w:tc>
          <w:tcPr>
            <w:tcW w:w="3260" w:type="dxa"/>
            <w:tcBorders>
              <w:top w:val="single" w:sz="4" w:space="0" w:color="000000"/>
            </w:tcBorders>
            <w:shd w:val="clear" w:color="auto" w:fill="FFFFFF"/>
            <w:tcMar>
              <w:top w:w="110" w:type="dxa"/>
            </w:tcMar>
            <w:vAlign w:val="center"/>
          </w:tcPr>
          <w:p w:rsidR="00B070BF" w:rsidRPr="009577DE" w:rsidRDefault="00B070BF" w:rsidP="00C33D4A">
            <w:pPr>
              <w:widowControl w:val="0"/>
              <w:rPr>
                <w:sz w:val="16"/>
                <w:szCs w:val="16"/>
                <w:lang w:val="es-ES_tradnl"/>
              </w:rPr>
            </w:pPr>
            <w:r w:rsidRPr="009577DE">
              <w:rPr>
                <w:b/>
                <w:bCs/>
                <w:sz w:val="16"/>
                <w:szCs w:val="16"/>
                <w:lang w:val="es-ES_tradnl"/>
              </w:rPr>
              <w:t>Propósito/Descripción</w:t>
            </w:r>
          </w:p>
        </w:tc>
      </w:tr>
      <w:tr w:rsidR="00B070BF" w:rsidRPr="009577DE" w:rsidTr="00C33D4A">
        <w:trPr>
          <w:trHeight w:val="520"/>
        </w:trPr>
        <w:tc>
          <w:tcPr>
            <w:tcW w:w="1843" w:type="dxa"/>
          </w:tcPr>
          <w:p w:rsidR="00B070BF" w:rsidRPr="009577DE" w:rsidRDefault="00B070BF" w:rsidP="00C33D4A">
            <w:pPr>
              <w:widowControl w:val="0"/>
              <w:autoSpaceDE w:val="0"/>
              <w:autoSpaceDN w:val="0"/>
              <w:adjustRightInd w:val="0"/>
              <w:spacing w:before="120" w:after="120"/>
              <w:rPr>
                <w:sz w:val="16"/>
                <w:szCs w:val="16"/>
                <w:lang w:val="es-ES_tradnl"/>
              </w:rPr>
            </w:pPr>
            <w:r w:rsidRPr="009577DE">
              <w:rPr>
                <w:sz w:val="16"/>
                <w:szCs w:val="16"/>
                <w:lang w:val="es-ES_tradnl"/>
              </w:rPr>
              <w:t>Reunión para la creación de la marca en idioma portugués, en Lisboa (Portugal);  se financió la asistencia de seis participantes (tres de Santo Tomé y Príncipe y tres de Angola).</w:t>
            </w:r>
          </w:p>
          <w:p w:rsidR="00B070BF" w:rsidRPr="009577DE" w:rsidRDefault="00B070BF" w:rsidP="00C33D4A">
            <w:pPr>
              <w:widowControl w:val="0"/>
              <w:autoSpaceDE w:val="0"/>
              <w:autoSpaceDN w:val="0"/>
              <w:adjustRightInd w:val="0"/>
              <w:rPr>
                <w:sz w:val="16"/>
                <w:szCs w:val="16"/>
                <w:lang w:val="es-ES_tradnl"/>
              </w:rPr>
            </w:pPr>
          </w:p>
        </w:tc>
        <w:tc>
          <w:tcPr>
            <w:tcW w:w="1134" w:type="dxa"/>
          </w:tcPr>
          <w:p w:rsidR="00B070BF" w:rsidRPr="009577DE" w:rsidRDefault="00B070BF" w:rsidP="00C33D4A">
            <w:pPr>
              <w:widowControl w:val="0"/>
              <w:autoSpaceDE w:val="0"/>
              <w:autoSpaceDN w:val="0"/>
              <w:adjustRightInd w:val="0"/>
              <w:spacing w:before="120" w:after="120"/>
              <w:rPr>
                <w:sz w:val="16"/>
                <w:szCs w:val="16"/>
                <w:lang w:val="es-ES_tradnl"/>
              </w:rPr>
            </w:pPr>
            <w:r w:rsidRPr="009577DE">
              <w:rPr>
                <w:sz w:val="16"/>
                <w:szCs w:val="16"/>
                <w:lang w:val="es-ES_tradnl"/>
              </w:rPr>
              <w:t>17 a 19 de diciembre de 2012</w:t>
            </w:r>
          </w:p>
          <w:p w:rsidR="00B070BF" w:rsidRPr="009577DE" w:rsidRDefault="00B070BF" w:rsidP="00C33D4A">
            <w:pPr>
              <w:widowControl w:val="0"/>
              <w:autoSpaceDE w:val="0"/>
              <w:autoSpaceDN w:val="0"/>
              <w:adjustRightInd w:val="0"/>
              <w:spacing w:before="120" w:after="120"/>
              <w:rPr>
                <w:sz w:val="16"/>
                <w:szCs w:val="16"/>
                <w:lang w:val="es-ES_tradnl"/>
              </w:rPr>
            </w:pPr>
          </w:p>
        </w:tc>
        <w:tc>
          <w:tcPr>
            <w:tcW w:w="2835" w:type="dxa"/>
          </w:tcPr>
          <w:p w:rsidR="00B070BF" w:rsidRPr="009577DE" w:rsidRDefault="00B070BF" w:rsidP="00C33D4A">
            <w:pPr>
              <w:widowControl w:val="0"/>
              <w:autoSpaceDE w:val="0"/>
              <w:autoSpaceDN w:val="0"/>
              <w:adjustRightInd w:val="0"/>
              <w:spacing w:before="120" w:after="120"/>
              <w:rPr>
                <w:sz w:val="16"/>
                <w:szCs w:val="16"/>
                <w:lang w:val="es-ES_tradnl"/>
              </w:rPr>
            </w:pPr>
            <w:r w:rsidRPr="009577DE">
              <w:rPr>
                <w:sz w:val="16"/>
                <w:szCs w:val="16"/>
                <w:lang w:val="es-ES_tradnl"/>
              </w:rPr>
              <w:t>Portugal/ Angola, Santo Tomé y Príncipe</w:t>
            </w:r>
          </w:p>
          <w:p w:rsidR="00B070BF" w:rsidRPr="009577DE" w:rsidRDefault="00B070BF" w:rsidP="00C33D4A">
            <w:pPr>
              <w:widowControl w:val="0"/>
              <w:autoSpaceDE w:val="0"/>
              <w:autoSpaceDN w:val="0"/>
              <w:adjustRightInd w:val="0"/>
              <w:spacing w:before="120" w:after="120"/>
              <w:rPr>
                <w:sz w:val="16"/>
                <w:szCs w:val="16"/>
                <w:lang w:val="es-ES_tradnl"/>
              </w:rPr>
            </w:pPr>
          </w:p>
        </w:tc>
        <w:tc>
          <w:tcPr>
            <w:tcW w:w="3260" w:type="dxa"/>
          </w:tcPr>
          <w:p w:rsidR="00B070BF" w:rsidRPr="009577DE" w:rsidRDefault="00B070BF" w:rsidP="00C33D4A">
            <w:pPr>
              <w:widowControl w:val="0"/>
              <w:autoSpaceDE w:val="0"/>
              <w:autoSpaceDN w:val="0"/>
              <w:adjustRightInd w:val="0"/>
              <w:spacing w:before="120" w:after="120"/>
              <w:rPr>
                <w:sz w:val="16"/>
                <w:szCs w:val="16"/>
                <w:lang w:val="es-ES_tradnl"/>
              </w:rPr>
            </w:pPr>
            <w:r w:rsidRPr="009577DE">
              <w:rPr>
                <w:sz w:val="16"/>
                <w:szCs w:val="16"/>
                <w:lang w:val="es-ES_tradnl"/>
              </w:rPr>
              <w:t>Finalizar los aspectos técnicos y jurídicos de la estructuración de la marca en idioma portugués.</w:t>
            </w:r>
          </w:p>
          <w:p w:rsidR="00B070BF" w:rsidRPr="009577DE" w:rsidRDefault="00B070BF" w:rsidP="00C33D4A">
            <w:pPr>
              <w:widowControl w:val="0"/>
              <w:autoSpaceDE w:val="0"/>
              <w:autoSpaceDN w:val="0"/>
              <w:adjustRightInd w:val="0"/>
              <w:spacing w:before="120" w:after="120"/>
              <w:rPr>
                <w:b/>
                <w:sz w:val="16"/>
                <w:szCs w:val="16"/>
                <w:lang w:val="es-ES_tradnl"/>
              </w:rPr>
            </w:pPr>
          </w:p>
        </w:tc>
      </w:tr>
      <w:tr w:rsidR="00B070BF" w:rsidRPr="009577DE" w:rsidTr="00C33D4A">
        <w:tc>
          <w:tcPr>
            <w:tcW w:w="9072" w:type="dxa"/>
            <w:gridSpan w:val="4"/>
            <w:tcBorders>
              <w:top w:val="single" w:sz="4" w:space="0" w:color="000000"/>
              <w:bottom w:val="single" w:sz="4" w:space="0" w:color="000000"/>
            </w:tcBorders>
            <w:shd w:val="clear" w:color="auto" w:fill="CCFFFF"/>
            <w:vAlign w:val="center"/>
          </w:tcPr>
          <w:p w:rsidR="00B070BF" w:rsidRPr="009577DE" w:rsidRDefault="00B070BF" w:rsidP="00C33D4A">
            <w:pPr>
              <w:widowControl w:val="0"/>
              <w:tabs>
                <w:tab w:val="left" w:pos="1740"/>
              </w:tabs>
              <w:spacing w:before="120" w:after="120"/>
              <w:ind w:left="1740" w:hanging="1740"/>
              <w:rPr>
                <w:b/>
                <w:bCs/>
                <w:sz w:val="16"/>
                <w:szCs w:val="16"/>
                <w:lang w:val="es-ES_tradnl"/>
              </w:rPr>
            </w:pPr>
            <w:r w:rsidRPr="009577DE">
              <w:rPr>
                <w:b/>
                <w:bCs/>
                <w:sz w:val="16"/>
                <w:szCs w:val="16"/>
                <w:lang w:val="es-ES_tradnl"/>
              </w:rPr>
              <w:t>RESULTADO:</w:t>
            </w:r>
            <w:r w:rsidRPr="009577DE">
              <w:rPr>
                <w:bCs/>
                <w:sz w:val="16"/>
                <w:szCs w:val="16"/>
                <w:lang w:val="es-ES_tradnl"/>
              </w:rPr>
              <w:tab/>
              <w:t>Las controversias nacionales e internacionales en materia de P.I. se evitan o resuelven cada vez con más frecuencia mediante procedimientos de mediación, arbitraje y demás métodos alternativos.</w:t>
            </w:r>
          </w:p>
        </w:tc>
      </w:tr>
      <w:tr w:rsidR="00B070BF" w:rsidRPr="009577DE" w:rsidTr="00C33D4A">
        <w:tc>
          <w:tcPr>
            <w:tcW w:w="1843" w:type="dxa"/>
            <w:tcBorders>
              <w:top w:val="single" w:sz="4" w:space="0" w:color="000000"/>
            </w:tcBorders>
            <w:vAlign w:val="center"/>
          </w:tcPr>
          <w:p w:rsidR="00B070BF" w:rsidRPr="009577DE" w:rsidRDefault="00B070BF" w:rsidP="00C33D4A">
            <w:pPr>
              <w:widowControl w:val="0"/>
              <w:rPr>
                <w:b/>
                <w:bCs/>
                <w:sz w:val="16"/>
                <w:szCs w:val="16"/>
                <w:lang w:val="es-ES_tradnl"/>
              </w:rPr>
            </w:pPr>
            <w:r w:rsidRPr="009577DE">
              <w:rPr>
                <w:b/>
                <w:bCs/>
                <w:sz w:val="16"/>
                <w:szCs w:val="16"/>
                <w:lang w:val="es-ES_tradnl"/>
              </w:rPr>
              <w:t>Actividad</w:t>
            </w:r>
          </w:p>
        </w:tc>
        <w:tc>
          <w:tcPr>
            <w:tcW w:w="1134" w:type="dxa"/>
            <w:tcBorders>
              <w:top w:val="single" w:sz="4" w:space="0" w:color="000000"/>
            </w:tcBorders>
            <w:shd w:val="clear" w:color="auto" w:fill="auto"/>
            <w:tcMar>
              <w:top w:w="110" w:type="dxa"/>
            </w:tcMar>
            <w:vAlign w:val="center"/>
          </w:tcPr>
          <w:p w:rsidR="00B070BF" w:rsidRPr="009577DE" w:rsidRDefault="00B070BF" w:rsidP="00C33D4A">
            <w:pPr>
              <w:widowControl w:val="0"/>
              <w:rPr>
                <w:sz w:val="16"/>
                <w:szCs w:val="16"/>
                <w:lang w:val="es-ES_tradnl"/>
              </w:rPr>
            </w:pPr>
            <w:r w:rsidRPr="009577DE">
              <w:rPr>
                <w:b/>
                <w:bCs/>
                <w:sz w:val="16"/>
                <w:szCs w:val="16"/>
                <w:lang w:val="es-ES_tradnl"/>
              </w:rPr>
              <w:t>Fecha</w:t>
            </w:r>
          </w:p>
        </w:tc>
        <w:tc>
          <w:tcPr>
            <w:tcW w:w="2835" w:type="dxa"/>
            <w:tcBorders>
              <w:top w:val="single" w:sz="4" w:space="0" w:color="000000"/>
            </w:tcBorders>
            <w:shd w:val="clear" w:color="auto" w:fill="auto"/>
            <w:tcMar>
              <w:top w:w="110" w:type="dxa"/>
            </w:tcMar>
            <w:vAlign w:val="center"/>
          </w:tcPr>
          <w:p w:rsidR="00B070BF" w:rsidRPr="009577DE" w:rsidRDefault="00B070BF" w:rsidP="00C33D4A">
            <w:pPr>
              <w:widowControl w:val="0"/>
              <w:rPr>
                <w:sz w:val="16"/>
                <w:szCs w:val="16"/>
                <w:lang w:val="es-ES_tradnl"/>
              </w:rPr>
            </w:pPr>
            <w:r w:rsidRPr="009577DE">
              <w:rPr>
                <w:b/>
                <w:bCs/>
                <w:sz w:val="16"/>
                <w:szCs w:val="16"/>
                <w:lang w:val="es-ES_tradnl"/>
              </w:rPr>
              <w:t>País anfitrión/</w:t>
            </w:r>
            <w:r w:rsidRPr="009577DE">
              <w:rPr>
                <w:bCs/>
                <w:sz w:val="16"/>
                <w:szCs w:val="16"/>
                <w:lang w:val="es-ES_tradnl"/>
              </w:rPr>
              <w:t xml:space="preserve"> </w:t>
            </w:r>
            <w:r w:rsidRPr="009577DE">
              <w:rPr>
                <w:b/>
                <w:bCs/>
                <w:sz w:val="16"/>
                <w:szCs w:val="16"/>
                <w:lang w:val="es-ES_tradnl"/>
              </w:rPr>
              <w:t>Beneficiarios</w:t>
            </w:r>
          </w:p>
        </w:tc>
        <w:tc>
          <w:tcPr>
            <w:tcW w:w="3260" w:type="dxa"/>
            <w:tcBorders>
              <w:top w:val="single" w:sz="4" w:space="0" w:color="000000"/>
            </w:tcBorders>
            <w:shd w:val="clear" w:color="auto" w:fill="FFFFFF"/>
            <w:tcMar>
              <w:top w:w="110" w:type="dxa"/>
            </w:tcMar>
            <w:vAlign w:val="center"/>
          </w:tcPr>
          <w:p w:rsidR="00B070BF" w:rsidRPr="009577DE" w:rsidRDefault="00B070BF" w:rsidP="00C33D4A">
            <w:pPr>
              <w:widowControl w:val="0"/>
              <w:rPr>
                <w:sz w:val="16"/>
                <w:szCs w:val="16"/>
                <w:lang w:val="es-ES_tradnl"/>
              </w:rPr>
            </w:pPr>
            <w:r w:rsidRPr="009577DE">
              <w:rPr>
                <w:b/>
                <w:bCs/>
                <w:sz w:val="16"/>
                <w:szCs w:val="16"/>
                <w:lang w:val="es-ES_tradnl"/>
              </w:rPr>
              <w:t>Propósito/Descripción</w:t>
            </w:r>
          </w:p>
        </w:tc>
      </w:tr>
      <w:tr w:rsidR="00B070BF" w:rsidRPr="009577DE" w:rsidTr="00C33D4A">
        <w:trPr>
          <w:trHeight w:val="515"/>
        </w:trPr>
        <w:tc>
          <w:tcPr>
            <w:tcW w:w="1843" w:type="dxa"/>
          </w:tcPr>
          <w:p w:rsidR="00B070BF" w:rsidRPr="009577DE" w:rsidRDefault="00B070BF" w:rsidP="00C33D4A">
            <w:pPr>
              <w:widowControl w:val="0"/>
              <w:rPr>
                <w:sz w:val="16"/>
                <w:szCs w:val="16"/>
                <w:lang w:val="es-ES_tradnl"/>
              </w:rPr>
            </w:pPr>
          </w:p>
          <w:p w:rsidR="00B070BF" w:rsidRPr="009577DE" w:rsidRDefault="00B070BF" w:rsidP="00C33D4A">
            <w:pPr>
              <w:widowControl w:val="0"/>
              <w:rPr>
                <w:sz w:val="16"/>
                <w:szCs w:val="16"/>
                <w:lang w:val="es-ES_tradnl"/>
              </w:rPr>
            </w:pPr>
            <w:r w:rsidRPr="009577DE">
              <w:rPr>
                <w:sz w:val="16"/>
                <w:szCs w:val="16"/>
                <w:lang w:val="es-ES_tradnl"/>
              </w:rPr>
              <w:t xml:space="preserve">Creación de un Centro de Arbitraje y Mediación en el INPI del </w:t>
            </w:r>
            <w:r w:rsidRPr="009577DE">
              <w:rPr>
                <w:snapToGrid w:val="0"/>
                <w:sz w:val="16"/>
                <w:szCs w:val="16"/>
                <w:lang w:val="es-ES_tradnl"/>
              </w:rPr>
              <w:t>Brasil</w:t>
            </w:r>
            <w:r w:rsidRPr="009577DE">
              <w:rPr>
                <w:sz w:val="16"/>
                <w:szCs w:val="16"/>
                <w:lang w:val="es-ES_tradnl"/>
              </w:rPr>
              <w:t>;  se financiaron dos misiones de expertos del Centro de Arbitraje y Mediación de la OMPI y un experto de Portugal.</w:t>
            </w:r>
          </w:p>
          <w:p w:rsidR="00B070BF" w:rsidRPr="009577DE" w:rsidRDefault="00B070BF" w:rsidP="00C33D4A">
            <w:pPr>
              <w:widowControl w:val="0"/>
              <w:rPr>
                <w:sz w:val="16"/>
                <w:szCs w:val="16"/>
                <w:lang w:val="es-ES_tradnl"/>
              </w:rPr>
            </w:pPr>
          </w:p>
        </w:tc>
        <w:tc>
          <w:tcPr>
            <w:tcW w:w="1134" w:type="dxa"/>
          </w:tcPr>
          <w:p w:rsidR="00B070BF" w:rsidRPr="009577DE" w:rsidRDefault="00B070BF" w:rsidP="00C33D4A">
            <w:pPr>
              <w:widowControl w:val="0"/>
              <w:autoSpaceDE w:val="0"/>
              <w:autoSpaceDN w:val="0"/>
              <w:adjustRightInd w:val="0"/>
              <w:rPr>
                <w:sz w:val="16"/>
                <w:szCs w:val="16"/>
                <w:lang w:val="es-ES_tradnl"/>
              </w:rPr>
            </w:pPr>
          </w:p>
          <w:p w:rsidR="00B070BF" w:rsidRPr="009577DE" w:rsidRDefault="00B070BF" w:rsidP="00C33D4A">
            <w:pPr>
              <w:widowControl w:val="0"/>
              <w:autoSpaceDE w:val="0"/>
              <w:autoSpaceDN w:val="0"/>
              <w:adjustRightInd w:val="0"/>
              <w:rPr>
                <w:sz w:val="16"/>
                <w:szCs w:val="16"/>
                <w:lang w:val="es-ES_tradnl"/>
              </w:rPr>
            </w:pPr>
            <w:r w:rsidRPr="009577DE">
              <w:rPr>
                <w:sz w:val="16"/>
                <w:szCs w:val="16"/>
                <w:lang w:val="es-ES_tradnl"/>
              </w:rPr>
              <w:t>23 a 26 de julio de 2012</w:t>
            </w:r>
          </w:p>
          <w:p w:rsidR="00B070BF" w:rsidRPr="009577DE" w:rsidRDefault="00B070BF" w:rsidP="00C33D4A">
            <w:pPr>
              <w:widowControl w:val="0"/>
              <w:autoSpaceDE w:val="0"/>
              <w:autoSpaceDN w:val="0"/>
              <w:adjustRightInd w:val="0"/>
              <w:rPr>
                <w:sz w:val="16"/>
                <w:szCs w:val="16"/>
                <w:lang w:val="es-ES_tradnl"/>
              </w:rPr>
            </w:pPr>
          </w:p>
          <w:p w:rsidR="00B070BF" w:rsidRPr="009577DE" w:rsidRDefault="00B070BF" w:rsidP="00C33D4A">
            <w:pPr>
              <w:widowControl w:val="0"/>
              <w:autoSpaceDE w:val="0"/>
              <w:autoSpaceDN w:val="0"/>
              <w:adjustRightInd w:val="0"/>
              <w:rPr>
                <w:sz w:val="16"/>
                <w:szCs w:val="16"/>
                <w:lang w:val="es-ES_tradnl"/>
              </w:rPr>
            </w:pPr>
            <w:r w:rsidRPr="009577DE">
              <w:rPr>
                <w:sz w:val="16"/>
                <w:szCs w:val="16"/>
                <w:lang w:val="es-ES_tradnl"/>
              </w:rPr>
              <w:t>24 a 28 de septiembre de 2012</w:t>
            </w:r>
          </w:p>
          <w:p w:rsidR="00B070BF" w:rsidRPr="009577DE" w:rsidRDefault="00B070BF" w:rsidP="00C33D4A">
            <w:pPr>
              <w:widowControl w:val="0"/>
              <w:autoSpaceDE w:val="0"/>
              <w:autoSpaceDN w:val="0"/>
              <w:adjustRightInd w:val="0"/>
              <w:spacing w:before="120" w:after="120"/>
              <w:rPr>
                <w:sz w:val="16"/>
                <w:szCs w:val="16"/>
                <w:lang w:val="es-ES_tradnl"/>
              </w:rPr>
            </w:pPr>
            <w:r w:rsidRPr="009577DE">
              <w:rPr>
                <w:sz w:val="16"/>
                <w:szCs w:val="16"/>
                <w:lang w:val="es-ES_tradnl"/>
              </w:rPr>
              <w:t>26 a 28 de noviembre de 2012</w:t>
            </w:r>
          </w:p>
        </w:tc>
        <w:tc>
          <w:tcPr>
            <w:tcW w:w="2835" w:type="dxa"/>
          </w:tcPr>
          <w:p w:rsidR="00B070BF" w:rsidRPr="009577DE" w:rsidRDefault="00B070BF" w:rsidP="00C33D4A">
            <w:pPr>
              <w:widowControl w:val="0"/>
              <w:autoSpaceDE w:val="0"/>
              <w:autoSpaceDN w:val="0"/>
              <w:adjustRightInd w:val="0"/>
              <w:spacing w:before="120" w:after="120"/>
              <w:rPr>
                <w:sz w:val="16"/>
                <w:szCs w:val="16"/>
                <w:lang w:val="es-ES_tradnl"/>
              </w:rPr>
            </w:pPr>
            <w:r w:rsidRPr="009577DE">
              <w:rPr>
                <w:sz w:val="16"/>
                <w:szCs w:val="16"/>
                <w:lang w:val="es-ES_tradnl"/>
              </w:rPr>
              <w:t>Brasil</w:t>
            </w:r>
          </w:p>
        </w:tc>
        <w:tc>
          <w:tcPr>
            <w:tcW w:w="3260" w:type="dxa"/>
          </w:tcPr>
          <w:p w:rsidR="00B070BF" w:rsidRPr="009577DE" w:rsidRDefault="00B070BF" w:rsidP="00C33D4A">
            <w:pPr>
              <w:widowControl w:val="0"/>
              <w:autoSpaceDE w:val="0"/>
              <w:autoSpaceDN w:val="0"/>
              <w:adjustRightInd w:val="0"/>
              <w:spacing w:before="120" w:after="120"/>
              <w:rPr>
                <w:b/>
                <w:sz w:val="16"/>
                <w:szCs w:val="16"/>
                <w:lang w:val="es-ES_tradnl"/>
              </w:rPr>
            </w:pPr>
            <w:r w:rsidRPr="009577DE">
              <w:rPr>
                <w:sz w:val="16"/>
                <w:szCs w:val="16"/>
                <w:lang w:val="es-ES_tradnl"/>
              </w:rPr>
              <w:t xml:space="preserve">Capacitación del personal del INPI y participación en los debates técnicos del </w:t>
            </w:r>
            <w:r w:rsidRPr="009577DE">
              <w:rPr>
                <w:snapToGrid w:val="0"/>
                <w:sz w:val="16"/>
                <w:szCs w:val="16"/>
                <w:lang w:val="es-ES_tradnl"/>
              </w:rPr>
              <w:t>proyecto de creación de un centro de mediación.</w:t>
            </w:r>
          </w:p>
        </w:tc>
      </w:tr>
      <w:tr w:rsidR="00B070BF" w:rsidRPr="009577DE" w:rsidTr="00C33D4A">
        <w:tc>
          <w:tcPr>
            <w:tcW w:w="9072" w:type="dxa"/>
            <w:gridSpan w:val="4"/>
            <w:tcBorders>
              <w:top w:val="single" w:sz="4" w:space="0" w:color="000000"/>
              <w:bottom w:val="single" w:sz="4" w:space="0" w:color="000000"/>
            </w:tcBorders>
            <w:shd w:val="clear" w:color="auto" w:fill="CCFFFF"/>
            <w:vAlign w:val="center"/>
          </w:tcPr>
          <w:p w:rsidR="00B070BF" w:rsidRPr="009577DE" w:rsidRDefault="00B070BF" w:rsidP="00C33D4A">
            <w:pPr>
              <w:widowControl w:val="0"/>
              <w:tabs>
                <w:tab w:val="left" w:pos="1740"/>
              </w:tabs>
              <w:spacing w:before="120" w:after="120"/>
              <w:ind w:left="1740" w:hanging="1740"/>
              <w:rPr>
                <w:b/>
                <w:bCs/>
                <w:sz w:val="16"/>
                <w:szCs w:val="16"/>
                <w:lang w:val="es-ES_tradnl"/>
              </w:rPr>
            </w:pPr>
            <w:r w:rsidRPr="009577DE">
              <w:rPr>
                <w:b/>
                <w:bCs/>
                <w:sz w:val="16"/>
                <w:szCs w:val="16"/>
                <w:lang w:val="es-ES_tradnl"/>
              </w:rPr>
              <w:lastRenderedPageBreak/>
              <w:t>RESULTADO:</w:t>
            </w:r>
            <w:r w:rsidRPr="009577DE">
              <w:rPr>
                <w:bCs/>
                <w:sz w:val="16"/>
                <w:szCs w:val="16"/>
                <w:lang w:val="es-ES_tradnl"/>
              </w:rPr>
              <w:tab/>
              <w:t>La OMPI es el foro pertinente para analizar y debatir cuestiones en el ámbito de la P.I. y la política de competencia.</w:t>
            </w:r>
          </w:p>
        </w:tc>
      </w:tr>
      <w:tr w:rsidR="00B070BF" w:rsidRPr="009577DE" w:rsidTr="00C33D4A">
        <w:tc>
          <w:tcPr>
            <w:tcW w:w="1843" w:type="dxa"/>
            <w:tcBorders>
              <w:top w:val="single" w:sz="4" w:space="0" w:color="000000"/>
            </w:tcBorders>
            <w:vAlign w:val="center"/>
          </w:tcPr>
          <w:p w:rsidR="00B070BF" w:rsidRPr="009577DE" w:rsidRDefault="00B070BF" w:rsidP="00C33D4A">
            <w:pPr>
              <w:widowControl w:val="0"/>
              <w:rPr>
                <w:b/>
                <w:bCs/>
                <w:sz w:val="16"/>
                <w:szCs w:val="16"/>
                <w:lang w:val="es-ES_tradnl"/>
              </w:rPr>
            </w:pPr>
            <w:r w:rsidRPr="009577DE">
              <w:rPr>
                <w:b/>
                <w:bCs/>
                <w:sz w:val="16"/>
                <w:szCs w:val="16"/>
                <w:lang w:val="es-ES_tradnl"/>
              </w:rPr>
              <w:t>Actividad</w:t>
            </w:r>
          </w:p>
        </w:tc>
        <w:tc>
          <w:tcPr>
            <w:tcW w:w="1134" w:type="dxa"/>
            <w:tcBorders>
              <w:top w:val="single" w:sz="4" w:space="0" w:color="000000"/>
            </w:tcBorders>
            <w:shd w:val="clear" w:color="auto" w:fill="auto"/>
            <w:tcMar>
              <w:top w:w="110" w:type="dxa"/>
            </w:tcMar>
            <w:vAlign w:val="center"/>
          </w:tcPr>
          <w:p w:rsidR="00B070BF" w:rsidRPr="009577DE" w:rsidRDefault="00B070BF" w:rsidP="00C33D4A">
            <w:pPr>
              <w:widowControl w:val="0"/>
              <w:rPr>
                <w:sz w:val="16"/>
                <w:szCs w:val="16"/>
                <w:lang w:val="es-ES_tradnl"/>
              </w:rPr>
            </w:pPr>
            <w:r w:rsidRPr="009577DE">
              <w:rPr>
                <w:b/>
                <w:bCs/>
                <w:sz w:val="16"/>
                <w:szCs w:val="16"/>
                <w:lang w:val="es-ES_tradnl"/>
              </w:rPr>
              <w:t>Fecha</w:t>
            </w:r>
          </w:p>
        </w:tc>
        <w:tc>
          <w:tcPr>
            <w:tcW w:w="2835" w:type="dxa"/>
            <w:tcBorders>
              <w:top w:val="single" w:sz="4" w:space="0" w:color="000000"/>
            </w:tcBorders>
            <w:shd w:val="clear" w:color="auto" w:fill="auto"/>
            <w:tcMar>
              <w:top w:w="110" w:type="dxa"/>
            </w:tcMar>
            <w:vAlign w:val="center"/>
          </w:tcPr>
          <w:p w:rsidR="00B070BF" w:rsidRPr="009577DE" w:rsidRDefault="00B070BF" w:rsidP="00C33D4A">
            <w:pPr>
              <w:widowControl w:val="0"/>
              <w:rPr>
                <w:sz w:val="16"/>
                <w:szCs w:val="16"/>
                <w:lang w:val="es-ES_tradnl"/>
              </w:rPr>
            </w:pPr>
            <w:r w:rsidRPr="009577DE">
              <w:rPr>
                <w:b/>
                <w:bCs/>
                <w:sz w:val="16"/>
                <w:szCs w:val="16"/>
                <w:lang w:val="es-ES_tradnl"/>
              </w:rPr>
              <w:t>País anfitrión/</w:t>
            </w:r>
            <w:r w:rsidRPr="009577DE">
              <w:rPr>
                <w:bCs/>
                <w:sz w:val="16"/>
                <w:szCs w:val="16"/>
                <w:lang w:val="es-ES_tradnl"/>
              </w:rPr>
              <w:t xml:space="preserve"> </w:t>
            </w:r>
            <w:r w:rsidRPr="009577DE">
              <w:rPr>
                <w:b/>
                <w:bCs/>
                <w:sz w:val="16"/>
                <w:szCs w:val="16"/>
                <w:lang w:val="es-ES_tradnl"/>
              </w:rPr>
              <w:t>Beneficiarios</w:t>
            </w:r>
          </w:p>
        </w:tc>
        <w:tc>
          <w:tcPr>
            <w:tcW w:w="3260" w:type="dxa"/>
            <w:tcBorders>
              <w:top w:val="single" w:sz="4" w:space="0" w:color="000000"/>
            </w:tcBorders>
            <w:shd w:val="clear" w:color="auto" w:fill="FFFFFF"/>
            <w:tcMar>
              <w:top w:w="110" w:type="dxa"/>
            </w:tcMar>
            <w:vAlign w:val="center"/>
          </w:tcPr>
          <w:p w:rsidR="00B070BF" w:rsidRPr="009577DE" w:rsidRDefault="00B070BF" w:rsidP="00C33D4A">
            <w:pPr>
              <w:widowControl w:val="0"/>
              <w:rPr>
                <w:sz w:val="16"/>
                <w:szCs w:val="16"/>
                <w:lang w:val="es-ES_tradnl"/>
              </w:rPr>
            </w:pPr>
            <w:r w:rsidRPr="009577DE">
              <w:rPr>
                <w:b/>
                <w:bCs/>
                <w:sz w:val="16"/>
                <w:szCs w:val="16"/>
                <w:lang w:val="es-ES_tradnl"/>
              </w:rPr>
              <w:t>Propósito/Descripción</w:t>
            </w:r>
          </w:p>
        </w:tc>
      </w:tr>
      <w:tr w:rsidR="00B070BF" w:rsidRPr="009577DE" w:rsidTr="00C33D4A">
        <w:trPr>
          <w:trHeight w:val="495"/>
        </w:trPr>
        <w:tc>
          <w:tcPr>
            <w:tcW w:w="1843" w:type="dxa"/>
            <w:vAlign w:val="center"/>
          </w:tcPr>
          <w:p w:rsidR="00B070BF" w:rsidRPr="009577DE" w:rsidRDefault="00B070BF" w:rsidP="00C33D4A">
            <w:pPr>
              <w:widowControl w:val="0"/>
              <w:rPr>
                <w:sz w:val="16"/>
                <w:szCs w:val="16"/>
                <w:lang w:val="es-ES_tradnl"/>
              </w:rPr>
            </w:pPr>
          </w:p>
          <w:p w:rsidR="00B070BF" w:rsidRPr="009577DE" w:rsidRDefault="00B070BF" w:rsidP="00C33D4A">
            <w:pPr>
              <w:widowControl w:val="0"/>
              <w:rPr>
                <w:sz w:val="16"/>
                <w:szCs w:val="16"/>
                <w:lang w:val="es-ES_tradnl"/>
              </w:rPr>
            </w:pPr>
            <w:r w:rsidRPr="009577DE">
              <w:rPr>
                <w:sz w:val="16"/>
                <w:szCs w:val="16"/>
                <w:lang w:val="es-ES_tradnl"/>
              </w:rPr>
              <w:t>Seminario sobre debates recientes en materia de P.I. y políticas de competencia (dos días);  se financió la presencia de participantes del Perú, Chile y Colombia.</w:t>
            </w:r>
          </w:p>
          <w:p w:rsidR="00B070BF" w:rsidRPr="009577DE" w:rsidRDefault="00B070BF" w:rsidP="00C33D4A">
            <w:pPr>
              <w:widowControl w:val="0"/>
              <w:rPr>
                <w:b/>
                <w:bCs/>
                <w:sz w:val="16"/>
                <w:szCs w:val="16"/>
                <w:lang w:val="es-ES_tradnl"/>
              </w:rPr>
            </w:pPr>
          </w:p>
        </w:tc>
        <w:tc>
          <w:tcPr>
            <w:tcW w:w="1134" w:type="dxa"/>
            <w:vAlign w:val="center"/>
          </w:tcPr>
          <w:p w:rsidR="00B070BF" w:rsidRPr="009577DE" w:rsidRDefault="00B070BF" w:rsidP="00C33D4A">
            <w:pPr>
              <w:widowControl w:val="0"/>
              <w:autoSpaceDE w:val="0"/>
              <w:autoSpaceDN w:val="0"/>
              <w:adjustRightInd w:val="0"/>
              <w:rPr>
                <w:sz w:val="16"/>
                <w:szCs w:val="16"/>
                <w:lang w:val="es-ES_tradnl"/>
              </w:rPr>
            </w:pPr>
            <w:r w:rsidRPr="009577DE">
              <w:rPr>
                <w:sz w:val="16"/>
                <w:szCs w:val="16"/>
                <w:lang w:val="es-ES_tradnl"/>
              </w:rPr>
              <w:t>16 a 18 de julio de 2012</w:t>
            </w:r>
          </w:p>
          <w:p w:rsidR="00B070BF" w:rsidRPr="009577DE" w:rsidRDefault="00B070BF" w:rsidP="00C33D4A">
            <w:pPr>
              <w:widowControl w:val="0"/>
              <w:rPr>
                <w:sz w:val="16"/>
                <w:szCs w:val="16"/>
                <w:lang w:val="es-ES_tradnl"/>
              </w:rPr>
            </w:pPr>
          </w:p>
          <w:p w:rsidR="00B070BF" w:rsidRPr="009577DE" w:rsidRDefault="00B070BF" w:rsidP="00C33D4A">
            <w:pPr>
              <w:widowControl w:val="0"/>
              <w:rPr>
                <w:sz w:val="16"/>
                <w:szCs w:val="16"/>
                <w:lang w:val="es-ES_tradnl"/>
              </w:rPr>
            </w:pPr>
          </w:p>
          <w:p w:rsidR="00B070BF" w:rsidRPr="009577DE" w:rsidRDefault="00B070BF" w:rsidP="00C33D4A">
            <w:pPr>
              <w:widowControl w:val="0"/>
              <w:rPr>
                <w:sz w:val="16"/>
                <w:szCs w:val="16"/>
                <w:lang w:val="es-ES_tradnl"/>
              </w:rPr>
            </w:pPr>
          </w:p>
          <w:p w:rsidR="00B070BF" w:rsidRPr="009577DE" w:rsidRDefault="00B070BF" w:rsidP="00C33D4A">
            <w:pPr>
              <w:widowControl w:val="0"/>
              <w:rPr>
                <w:sz w:val="16"/>
                <w:szCs w:val="16"/>
                <w:lang w:val="es-ES_tradnl"/>
              </w:rPr>
            </w:pPr>
          </w:p>
          <w:p w:rsidR="00B070BF" w:rsidRPr="009577DE" w:rsidRDefault="00B070BF" w:rsidP="00C33D4A">
            <w:pPr>
              <w:widowControl w:val="0"/>
              <w:rPr>
                <w:b/>
                <w:bCs/>
                <w:sz w:val="16"/>
                <w:szCs w:val="16"/>
                <w:lang w:val="es-ES_tradnl"/>
              </w:rPr>
            </w:pPr>
          </w:p>
        </w:tc>
        <w:tc>
          <w:tcPr>
            <w:tcW w:w="2835" w:type="dxa"/>
            <w:vAlign w:val="center"/>
          </w:tcPr>
          <w:p w:rsidR="00B070BF" w:rsidRPr="009577DE" w:rsidRDefault="00B070BF" w:rsidP="00C33D4A">
            <w:pPr>
              <w:widowControl w:val="0"/>
              <w:rPr>
                <w:sz w:val="16"/>
                <w:szCs w:val="16"/>
                <w:lang w:val="es-ES_tradnl"/>
              </w:rPr>
            </w:pPr>
            <w:r w:rsidRPr="009577DE">
              <w:rPr>
                <w:sz w:val="16"/>
                <w:szCs w:val="16"/>
                <w:lang w:val="es-ES_tradnl"/>
              </w:rPr>
              <w:t>Brasil, Chile, Colombia, Perú</w:t>
            </w:r>
          </w:p>
          <w:p w:rsidR="00B070BF" w:rsidRPr="009577DE" w:rsidRDefault="00B070BF" w:rsidP="00C33D4A">
            <w:pPr>
              <w:widowControl w:val="0"/>
              <w:rPr>
                <w:sz w:val="16"/>
                <w:szCs w:val="16"/>
                <w:lang w:val="es-ES_tradnl"/>
              </w:rPr>
            </w:pPr>
          </w:p>
          <w:p w:rsidR="00B070BF" w:rsidRPr="009577DE" w:rsidRDefault="00B070BF" w:rsidP="00C33D4A">
            <w:pPr>
              <w:widowControl w:val="0"/>
              <w:rPr>
                <w:sz w:val="16"/>
                <w:szCs w:val="16"/>
                <w:lang w:val="es-ES_tradnl"/>
              </w:rPr>
            </w:pPr>
          </w:p>
          <w:p w:rsidR="00B070BF" w:rsidRPr="009577DE" w:rsidRDefault="00B070BF" w:rsidP="00C33D4A">
            <w:pPr>
              <w:widowControl w:val="0"/>
              <w:rPr>
                <w:sz w:val="16"/>
                <w:szCs w:val="16"/>
                <w:lang w:val="es-ES_tradnl"/>
              </w:rPr>
            </w:pPr>
          </w:p>
          <w:p w:rsidR="00B070BF" w:rsidRPr="009577DE" w:rsidRDefault="00B070BF" w:rsidP="00C33D4A">
            <w:pPr>
              <w:widowControl w:val="0"/>
              <w:rPr>
                <w:sz w:val="16"/>
                <w:szCs w:val="16"/>
                <w:lang w:val="es-ES_tradnl"/>
              </w:rPr>
            </w:pPr>
          </w:p>
          <w:p w:rsidR="00B070BF" w:rsidRPr="009577DE" w:rsidRDefault="00B070BF" w:rsidP="00C33D4A">
            <w:pPr>
              <w:widowControl w:val="0"/>
              <w:rPr>
                <w:b/>
                <w:bCs/>
                <w:sz w:val="16"/>
                <w:szCs w:val="16"/>
                <w:lang w:val="es-ES_tradnl"/>
              </w:rPr>
            </w:pPr>
          </w:p>
        </w:tc>
        <w:tc>
          <w:tcPr>
            <w:tcW w:w="3260" w:type="dxa"/>
            <w:vAlign w:val="center"/>
          </w:tcPr>
          <w:p w:rsidR="00B070BF" w:rsidRPr="009577DE" w:rsidRDefault="00B070BF" w:rsidP="00C33D4A">
            <w:pPr>
              <w:widowControl w:val="0"/>
              <w:rPr>
                <w:sz w:val="16"/>
                <w:szCs w:val="16"/>
                <w:lang w:val="es-ES_tradnl"/>
              </w:rPr>
            </w:pPr>
            <w:r w:rsidRPr="009577DE">
              <w:rPr>
                <w:sz w:val="16"/>
                <w:szCs w:val="16"/>
                <w:lang w:val="es-ES_tradnl"/>
              </w:rPr>
              <w:t>i) Fomentar la interacción de las oficinas de propiedad intelectual con las autoridades en materia de competencia;  y ii) entablar un diálogo sobre la forma de entender mejor los principales principios y normas en juego.</w:t>
            </w:r>
          </w:p>
          <w:p w:rsidR="00B070BF" w:rsidRPr="009577DE" w:rsidRDefault="00B070BF" w:rsidP="00C33D4A">
            <w:pPr>
              <w:widowControl w:val="0"/>
              <w:rPr>
                <w:b/>
                <w:bCs/>
                <w:sz w:val="16"/>
                <w:szCs w:val="16"/>
                <w:lang w:val="es-ES_tradnl"/>
              </w:rPr>
            </w:pPr>
          </w:p>
        </w:tc>
      </w:tr>
    </w:tbl>
    <w:p w:rsidR="00B070BF" w:rsidRPr="009577DE" w:rsidRDefault="00B070BF" w:rsidP="00B070BF">
      <w:pPr>
        <w:widowControl w:val="0"/>
        <w:rPr>
          <w:lang w:val="es-ES_tradnl"/>
        </w:rPr>
      </w:pPr>
    </w:p>
    <w:p w:rsidR="00B070BF" w:rsidRPr="009577DE" w:rsidRDefault="00B070BF" w:rsidP="00B070BF">
      <w:pPr>
        <w:widowControl w:val="0"/>
        <w:tabs>
          <w:tab w:val="left" w:pos="0"/>
          <w:tab w:val="left" w:pos="9071"/>
        </w:tabs>
        <w:rPr>
          <w:b/>
          <w:sz w:val="18"/>
          <w:szCs w:val="18"/>
          <w:lang w:val="es-ES_tradnl"/>
        </w:rPr>
      </w:pPr>
    </w:p>
    <w:p w:rsidR="00B070BF" w:rsidRPr="009577DE" w:rsidRDefault="00B070BF" w:rsidP="00B070BF">
      <w:pPr>
        <w:widowControl w:val="0"/>
        <w:tabs>
          <w:tab w:val="left" w:pos="0"/>
          <w:tab w:val="left" w:pos="9071"/>
        </w:tabs>
        <w:rPr>
          <w:b/>
          <w:sz w:val="20"/>
          <w:lang w:val="es-ES_tradnl"/>
        </w:rPr>
      </w:pPr>
      <w:r w:rsidRPr="009577DE">
        <w:rPr>
          <w:b/>
          <w:sz w:val="20"/>
          <w:lang w:val="es-ES_tradnl"/>
        </w:rPr>
        <w:t xml:space="preserve">Brasil </w:t>
      </w:r>
      <w:r w:rsidRPr="009577DE">
        <w:rPr>
          <w:b/>
          <w:sz w:val="20"/>
          <w:lang w:val="es-ES_tradnl"/>
        </w:rPr>
        <w:noBreakHyphen/>
        <w:t xml:space="preserve"> Contribuciones de donantes y gastos de 2012</w:t>
      </w:r>
      <w:r w:rsidRPr="009577DE">
        <w:rPr>
          <w:rFonts w:ascii="Arial Bold" w:hAnsi="Arial Bold" w:cs="Arial Bold"/>
          <w:b/>
          <w:bCs/>
          <w:sz w:val="20"/>
          <w:vertAlign w:val="superscript"/>
          <w:lang w:val="es-ES_tradnl"/>
        </w:rPr>
        <w:t>1</w:t>
      </w:r>
    </w:p>
    <w:p w:rsidR="00B070BF" w:rsidRPr="009577DE" w:rsidRDefault="00B070BF" w:rsidP="00B070BF">
      <w:pPr>
        <w:widowControl w:val="0"/>
        <w:rPr>
          <w:lang w:val="es-ES_tradn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3"/>
        <w:gridCol w:w="1701"/>
        <w:gridCol w:w="1843"/>
        <w:gridCol w:w="1701"/>
        <w:gridCol w:w="1984"/>
      </w:tblGrid>
      <w:tr w:rsidR="00B070BF" w:rsidRPr="009577DE" w:rsidTr="00C33D4A">
        <w:trPr>
          <w:trHeight w:val="567"/>
        </w:trPr>
        <w:tc>
          <w:tcPr>
            <w:tcW w:w="1843" w:type="dxa"/>
            <w:shd w:val="clear" w:color="auto" w:fill="CCFFFF"/>
            <w:vAlign w:val="center"/>
          </w:tcPr>
          <w:p w:rsidR="00B070BF" w:rsidRPr="009577DE" w:rsidRDefault="00B070BF" w:rsidP="00C33D4A">
            <w:pPr>
              <w:widowControl w:val="0"/>
              <w:spacing w:after="220"/>
              <w:jc w:val="center"/>
              <w:rPr>
                <w:b/>
                <w:sz w:val="16"/>
                <w:szCs w:val="16"/>
                <w:lang w:val="es-ES_tradnl"/>
              </w:rPr>
            </w:pPr>
            <w:r w:rsidRPr="009577DE">
              <w:rPr>
                <w:b/>
                <w:sz w:val="16"/>
                <w:szCs w:val="16"/>
                <w:lang w:val="es-ES_tradnl"/>
              </w:rPr>
              <w:t>Balance a 31 de diciembre de 2011</w:t>
            </w:r>
          </w:p>
        </w:tc>
        <w:tc>
          <w:tcPr>
            <w:tcW w:w="1701" w:type="dxa"/>
            <w:shd w:val="clear" w:color="auto" w:fill="CCFFFF"/>
            <w:vAlign w:val="center"/>
          </w:tcPr>
          <w:p w:rsidR="00B070BF" w:rsidRPr="009577DE" w:rsidRDefault="00B070BF" w:rsidP="00C33D4A">
            <w:pPr>
              <w:widowControl w:val="0"/>
              <w:spacing w:after="220"/>
              <w:jc w:val="center"/>
              <w:rPr>
                <w:b/>
                <w:sz w:val="16"/>
                <w:szCs w:val="16"/>
                <w:lang w:val="es-ES_tradnl"/>
              </w:rPr>
            </w:pPr>
            <w:r w:rsidRPr="009577DE">
              <w:rPr>
                <w:b/>
                <w:sz w:val="16"/>
                <w:szCs w:val="16"/>
                <w:lang w:val="es-ES_tradnl"/>
              </w:rPr>
              <w:t>Ingresos en 2012</w:t>
            </w:r>
          </w:p>
        </w:tc>
        <w:tc>
          <w:tcPr>
            <w:tcW w:w="1843" w:type="dxa"/>
            <w:shd w:val="clear" w:color="auto" w:fill="CCFFFF"/>
            <w:vAlign w:val="center"/>
          </w:tcPr>
          <w:p w:rsidR="00B070BF" w:rsidRPr="009577DE" w:rsidRDefault="00B070BF" w:rsidP="00C33D4A">
            <w:pPr>
              <w:widowControl w:val="0"/>
              <w:spacing w:after="220"/>
              <w:jc w:val="center"/>
              <w:rPr>
                <w:b/>
                <w:sz w:val="16"/>
                <w:szCs w:val="16"/>
                <w:lang w:val="es-ES_tradnl"/>
              </w:rPr>
            </w:pPr>
            <w:r w:rsidRPr="009577DE">
              <w:rPr>
                <w:b/>
                <w:sz w:val="16"/>
                <w:szCs w:val="16"/>
                <w:lang w:val="es-ES_tradnl"/>
              </w:rPr>
              <w:t>Gastos en 2012</w:t>
            </w:r>
          </w:p>
        </w:tc>
        <w:tc>
          <w:tcPr>
            <w:tcW w:w="1701" w:type="dxa"/>
            <w:shd w:val="clear" w:color="auto" w:fill="CCFFFF"/>
            <w:vAlign w:val="center"/>
          </w:tcPr>
          <w:p w:rsidR="00B070BF" w:rsidRPr="009577DE" w:rsidRDefault="00B070BF" w:rsidP="00C33D4A">
            <w:pPr>
              <w:widowControl w:val="0"/>
              <w:spacing w:after="220"/>
              <w:jc w:val="center"/>
              <w:rPr>
                <w:b/>
                <w:sz w:val="16"/>
                <w:szCs w:val="16"/>
                <w:lang w:val="es-ES_tradnl"/>
              </w:rPr>
            </w:pPr>
            <w:r w:rsidRPr="009577DE">
              <w:rPr>
                <w:b/>
                <w:sz w:val="16"/>
                <w:szCs w:val="16"/>
                <w:lang w:val="es-ES_tradnl"/>
              </w:rPr>
              <w:t>Reembolsos</w:t>
            </w:r>
          </w:p>
        </w:tc>
        <w:tc>
          <w:tcPr>
            <w:tcW w:w="1984" w:type="dxa"/>
            <w:shd w:val="clear" w:color="auto" w:fill="CCFFFF"/>
            <w:vAlign w:val="center"/>
          </w:tcPr>
          <w:p w:rsidR="00B070BF" w:rsidRPr="009577DE" w:rsidRDefault="00B070BF" w:rsidP="00C33D4A">
            <w:pPr>
              <w:widowControl w:val="0"/>
              <w:spacing w:after="220"/>
              <w:jc w:val="center"/>
              <w:rPr>
                <w:b/>
                <w:sz w:val="16"/>
                <w:szCs w:val="16"/>
                <w:lang w:val="es-ES_tradnl"/>
              </w:rPr>
            </w:pPr>
            <w:r w:rsidRPr="009577DE">
              <w:rPr>
                <w:b/>
                <w:sz w:val="16"/>
                <w:szCs w:val="16"/>
                <w:lang w:val="es-ES_tradnl"/>
              </w:rPr>
              <w:t>Balance a 31 de diciembre de 2012</w:t>
            </w:r>
          </w:p>
        </w:tc>
      </w:tr>
      <w:tr w:rsidR="00B070BF" w:rsidRPr="009577DE" w:rsidTr="00C33D4A">
        <w:trPr>
          <w:trHeight w:val="567"/>
        </w:trPr>
        <w:tc>
          <w:tcPr>
            <w:tcW w:w="1843" w:type="dxa"/>
            <w:shd w:val="clear" w:color="auto" w:fill="auto"/>
            <w:vAlign w:val="center"/>
          </w:tcPr>
          <w:p w:rsidR="00B070BF" w:rsidRPr="009577DE" w:rsidRDefault="00B070BF" w:rsidP="00C33D4A">
            <w:pPr>
              <w:widowControl w:val="0"/>
              <w:autoSpaceDE w:val="0"/>
              <w:autoSpaceDN w:val="0"/>
              <w:adjustRightInd w:val="0"/>
              <w:spacing w:after="220"/>
              <w:jc w:val="center"/>
              <w:rPr>
                <w:rFonts w:eastAsia="MS Mincho"/>
                <w:sz w:val="16"/>
                <w:szCs w:val="16"/>
                <w:lang w:val="es-ES_tradnl" w:eastAsia="ja-JP" w:bidi="th-TH"/>
              </w:rPr>
            </w:pPr>
            <w:r w:rsidRPr="009577DE">
              <w:rPr>
                <w:rFonts w:eastAsia="MS Mincho"/>
                <w:sz w:val="16"/>
                <w:szCs w:val="16"/>
                <w:lang w:val="es-ES_tradnl" w:eastAsia="ja-JP" w:bidi="th-TH"/>
              </w:rPr>
              <w:t>359.491</w:t>
            </w:r>
          </w:p>
        </w:tc>
        <w:tc>
          <w:tcPr>
            <w:tcW w:w="1701" w:type="dxa"/>
            <w:shd w:val="clear" w:color="auto" w:fill="auto"/>
            <w:vAlign w:val="center"/>
          </w:tcPr>
          <w:p w:rsidR="00B070BF" w:rsidRPr="009577DE" w:rsidRDefault="00B070BF" w:rsidP="00C33D4A">
            <w:pPr>
              <w:widowControl w:val="0"/>
              <w:autoSpaceDE w:val="0"/>
              <w:autoSpaceDN w:val="0"/>
              <w:adjustRightInd w:val="0"/>
              <w:spacing w:after="220"/>
              <w:jc w:val="center"/>
              <w:rPr>
                <w:rFonts w:eastAsia="MS Mincho"/>
                <w:sz w:val="16"/>
                <w:szCs w:val="16"/>
                <w:lang w:val="es-ES_tradnl" w:eastAsia="ja-JP" w:bidi="th-TH"/>
              </w:rPr>
            </w:pPr>
            <w:r w:rsidRPr="009577DE">
              <w:rPr>
                <w:rFonts w:eastAsia="MS Mincho"/>
                <w:sz w:val="16"/>
                <w:szCs w:val="16"/>
                <w:lang w:val="es-ES_tradnl" w:eastAsia="ja-JP" w:bidi="th-TH"/>
              </w:rPr>
              <w:t>370.809</w:t>
            </w:r>
          </w:p>
        </w:tc>
        <w:tc>
          <w:tcPr>
            <w:tcW w:w="1843" w:type="dxa"/>
            <w:shd w:val="clear" w:color="auto" w:fill="auto"/>
            <w:vAlign w:val="center"/>
          </w:tcPr>
          <w:p w:rsidR="00B070BF" w:rsidRPr="009577DE" w:rsidRDefault="00B070BF" w:rsidP="00C33D4A">
            <w:pPr>
              <w:widowControl w:val="0"/>
              <w:autoSpaceDE w:val="0"/>
              <w:autoSpaceDN w:val="0"/>
              <w:adjustRightInd w:val="0"/>
              <w:spacing w:after="220"/>
              <w:jc w:val="center"/>
              <w:rPr>
                <w:rFonts w:eastAsia="MS Mincho"/>
                <w:sz w:val="16"/>
                <w:szCs w:val="16"/>
                <w:lang w:val="es-ES_tradnl" w:eastAsia="ja-JP" w:bidi="th-TH"/>
              </w:rPr>
            </w:pPr>
            <w:r w:rsidRPr="009577DE">
              <w:rPr>
                <w:rFonts w:eastAsia="MS Mincho"/>
                <w:sz w:val="16"/>
                <w:szCs w:val="16"/>
                <w:lang w:val="es-ES_tradnl" w:eastAsia="ja-JP" w:bidi="th-TH"/>
              </w:rPr>
              <w:t>260.378</w:t>
            </w:r>
          </w:p>
        </w:tc>
        <w:tc>
          <w:tcPr>
            <w:tcW w:w="1701" w:type="dxa"/>
            <w:shd w:val="clear" w:color="auto" w:fill="auto"/>
            <w:vAlign w:val="center"/>
          </w:tcPr>
          <w:p w:rsidR="00B070BF" w:rsidRPr="009577DE" w:rsidRDefault="00B070BF" w:rsidP="00C33D4A">
            <w:pPr>
              <w:widowControl w:val="0"/>
              <w:autoSpaceDE w:val="0"/>
              <w:autoSpaceDN w:val="0"/>
              <w:adjustRightInd w:val="0"/>
              <w:spacing w:after="220"/>
              <w:jc w:val="center"/>
              <w:rPr>
                <w:rFonts w:eastAsia="MS Mincho"/>
                <w:sz w:val="16"/>
                <w:szCs w:val="16"/>
                <w:lang w:val="es-ES_tradnl" w:eastAsia="ja-JP" w:bidi="th-TH"/>
              </w:rPr>
            </w:pPr>
            <w:r w:rsidRPr="009577DE">
              <w:rPr>
                <w:rFonts w:eastAsia="MS Mincho"/>
                <w:sz w:val="16"/>
                <w:szCs w:val="16"/>
                <w:lang w:val="es-ES_tradnl" w:eastAsia="ja-JP" w:bidi="th-TH"/>
              </w:rPr>
              <w:t>3.675</w:t>
            </w:r>
          </w:p>
        </w:tc>
        <w:tc>
          <w:tcPr>
            <w:tcW w:w="1984" w:type="dxa"/>
            <w:shd w:val="clear" w:color="auto" w:fill="auto"/>
            <w:vAlign w:val="center"/>
          </w:tcPr>
          <w:p w:rsidR="00B070BF" w:rsidRPr="009577DE" w:rsidRDefault="00B070BF" w:rsidP="00C33D4A">
            <w:pPr>
              <w:widowControl w:val="0"/>
              <w:autoSpaceDE w:val="0"/>
              <w:autoSpaceDN w:val="0"/>
              <w:adjustRightInd w:val="0"/>
              <w:spacing w:after="220"/>
              <w:jc w:val="center"/>
              <w:rPr>
                <w:rFonts w:eastAsia="MS Mincho"/>
                <w:sz w:val="16"/>
                <w:szCs w:val="16"/>
                <w:lang w:val="es-ES_tradnl" w:eastAsia="ja-JP" w:bidi="th-TH"/>
              </w:rPr>
            </w:pPr>
            <w:r w:rsidRPr="009577DE">
              <w:rPr>
                <w:rFonts w:eastAsia="MS Mincho"/>
                <w:sz w:val="16"/>
                <w:szCs w:val="16"/>
                <w:lang w:val="es-ES_tradnl" w:eastAsia="ja-JP" w:bidi="th-TH"/>
              </w:rPr>
              <w:t>466.247</w:t>
            </w:r>
          </w:p>
        </w:tc>
      </w:tr>
    </w:tbl>
    <w:p w:rsidR="00B070BF" w:rsidRPr="009577DE" w:rsidRDefault="00B070BF" w:rsidP="00B070BF">
      <w:pPr>
        <w:widowControl w:val="0"/>
        <w:spacing w:before="120"/>
        <w:rPr>
          <w:szCs w:val="22"/>
          <w:lang w:val="es-ES_tradnl"/>
        </w:rPr>
      </w:pPr>
      <w:r w:rsidRPr="009577DE">
        <w:rPr>
          <w:i/>
          <w:iCs/>
          <w:sz w:val="16"/>
          <w:szCs w:val="16"/>
          <w:vertAlign w:val="superscript"/>
          <w:lang w:val="es-ES_tradnl"/>
        </w:rPr>
        <w:t xml:space="preserve">1 </w:t>
      </w:r>
      <w:r w:rsidRPr="009577DE">
        <w:rPr>
          <w:i/>
          <w:iCs/>
          <w:sz w:val="16"/>
          <w:szCs w:val="16"/>
          <w:lang w:val="es-ES_tradnl"/>
        </w:rPr>
        <w:t>Estados financieros de la OMPI de 2012 (Anexo III)</w:t>
      </w:r>
    </w:p>
    <w:p w:rsidR="00B070BF" w:rsidRPr="009577DE" w:rsidRDefault="00B070BF" w:rsidP="00B070BF">
      <w:pPr>
        <w:widowControl w:val="0"/>
        <w:tabs>
          <w:tab w:val="left" w:pos="0"/>
          <w:tab w:val="left" w:pos="9071"/>
        </w:tabs>
        <w:rPr>
          <w:b/>
          <w:sz w:val="20"/>
          <w:lang w:val="es-ES_tradnl"/>
        </w:rPr>
      </w:pPr>
    </w:p>
    <w:p w:rsidR="00B070BF" w:rsidRPr="009577DE" w:rsidRDefault="00B070BF" w:rsidP="00B070BF">
      <w:pPr>
        <w:widowControl w:val="0"/>
        <w:tabs>
          <w:tab w:val="left" w:pos="0"/>
          <w:tab w:val="left" w:pos="9071"/>
        </w:tabs>
        <w:rPr>
          <w:b/>
          <w:sz w:val="20"/>
          <w:lang w:val="es-ES_tradnl"/>
        </w:rPr>
      </w:pPr>
    </w:p>
    <w:p w:rsidR="00B070BF" w:rsidRPr="009577DE" w:rsidRDefault="00B070BF" w:rsidP="00B070BF">
      <w:pPr>
        <w:widowControl w:val="0"/>
        <w:tabs>
          <w:tab w:val="left" w:pos="0"/>
          <w:tab w:val="left" w:pos="9071"/>
        </w:tabs>
        <w:rPr>
          <w:b/>
          <w:sz w:val="20"/>
          <w:lang w:val="es-ES_tradnl"/>
        </w:rPr>
      </w:pPr>
      <w:r w:rsidRPr="009577DE">
        <w:rPr>
          <w:b/>
          <w:sz w:val="20"/>
          <w:lang w:val="es-ES_tradnl"/>
        </w:rPr>
        <w:t>UNIÓN EUROPEA (Proyecto Pakistán)</w:t>
      </w:r>
    </w:p>
    <w:p w:rsidR="00B070BF" w:rsidRPr="009577DE" w:rsidRDefault="00B070BF" w:rsidP="00B070BF">
      <w:pPr>
        <w:widowControl w:val="0"/>
        <w:tabs>
          <w:tab w:val="left" w:pos="0"/>
          <w:tab w:val="left" w:pos="9071"/>
        </w:tabs>
        <w:rPr>
          <w:b/>
          <w:sz w:val="18"/>
          <w:lang w:val="es-ES_tradnl"/>
        </w:rPr>
      </w:pPr>
    </w:p>
    <w:tbl>
      <w:tblPr>
        <w:tblW w:w="9072" w:type="dxa"/>
        <w:tblInd w:w="108"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1843"/>
        <w:gridCol w:w="1134"/>
        <w:gridCol w:w="2835"/>
        <w:gridCol w:w="3260"/>
      </w:tblGrid>
      <w:tr w:rsidR="00B070BF" w:rsidRPr="009577DE" w:rsidTr="00C33D4A">
        <w:tc>
          <w:tcPr>
            <w:tcW w:w="9072" w:type="dxa"/>
            <w:gridSpan w:val="4"/>
            <w:tcBorders>
              <w:top w:val="single" w:sz="4" w:space="0" w:color="000000"/>
              <w:bottom w:val="single" w:sz="4" w:space="0" w:color="000000"/>
            </w:tcBorders>
            <w:shd w:val="clear" w:color="auto" w:fill="CCFFFF"/>
            <w:vAlign w:val="center"/>
          </w:tcPr>
          <w:p w:rsidR="00B070BF" w:rsidRPr="009577DE" w:rsidRDefault="00B070BF" w:rsidP="00C33D4A">
            <w:pPr>
              <w:widowControl w:val="0"/>
              <w:tabs>
                <w:tab w:val="left" w:pos="1740"/>
              </w:tabs>
              <w:spacing w:before="120" w:after="120"/>
              <w:ind w:left="1740" w:hanging="1740"/>
              <w:rPr>
                <w:b/>
                <w:bCs/>
                <w:sz w:val="16"/>
                <w:szCs w:val="16"/>
                <w:lang w:val="es-ES_tradnl"/>
              </w:rPr>
            </w:pPr>
            <w:r w:rsidRPr="009577DE">
              <w:rPr>
                <w:b/>
                <w:bCs/>
                <w:sz w:val="16"/>
                <w:szCs w:val="16"/>
                <w:lang w:val="es-ES_tradnl"/>
              </w:rPr>
              <w:t>RESULTADO:</w:t>
            </w:r>
            <w:r w:rsidRPr="009577DE">
              <w:rPr>
                <w:bCs/>
                <w:sz w:val="16"/>
                <w:szCs w:val="16"/>
                <w:lang w:val="es-ES_tradnl"/>
              </w:rPr>
              <w:tab/>
              <w:t>Marcos de P.I. adaptados y equilibrados en el ámbito legislativo, regulador y de política.</w:t>
            </w:r>
          </w:p>
        </w:tc>
      </w:tr>
      <w:tr w:rsidR="00B070BF" w:rsidRPr="009577DE" w:rsidTr="00C33D4A">
        <w:tc>
          <w:tcPr>
            <w:tcW w:w="1843" w:type="dxa"/>
            <w:tcBorders>
              <w:top w:val="single" w:sz="4" w:space="0" w:color="000000"/>
            </w:tcBorders>
            <w:vAlign w:val="center"/>
          </w:tcPr>
          <w:p w:rsidR="00B070BF" w:rsidRPr="009577DE" w:rsidRDefault="00B070BF" w:rsidP="00C33D4A">
            <w:pPr>
              <w:widowControl w:val="0"/>
              <w:rPr>
                <w:b/>
                <w:bCs/>
                <w:sz w:val="16"/>
                <w:szCs w:val="16"/>
                <w:lang w:val="es-ES_tradnl"/>
              </w:rPr>
            </w:pPr>
            <w:r w:rsidRPr="009577DE">
              <w:rPr>
                <w:b/>
                <w:bCs/>
                <w:sz w:val="16"/>
                <w:szCs w:val="16"/>
                <w:lang w:val="es-ES_tradnl"/>
              </w:rPr>
              <w:t>Actividad</w:t>
            </w:r>
          </w:p>
        </w:tc>
        <w:tc>
          <w:tcPr>
            <w:tcW w:w="1134" w:type="dxa"/>
            <w:tcBorders>
              <w:top w:val="single" w:sz="4" w:space="0" w:color="000000"/>
            </w:tcBorders>
            <w:shd w:val="clear" w:color="auto" w:fill="auto"/>
            <w:tcMar>
              <w:top w:w="110" w:type="dxa"/>
            </w:tcMar>
            <w:vAlign w:val="center"/>
          </w:tcPr>
          <w:p w:rsidR="00B070BF" w:rsidRPr="009577DE" w:rsidRDefault="00B070BF" w:rsidP="00C33D4A">
            <w:pPr>
              <w:widowControl w:val="0"/>
              <w:rPr>
                <w:sz w:val="16"/>
                <w:szCs w:val="16"/>
                <w:lang w:val="es-ES_tradnl"/>
              </w:rPr>
            </w:pPr>
            <w:r w:rsidRPr="009577DE">
              <w:rPr>
                <w:b/>
                <w:bCs/>
                <w:sz w:val="16"/>
                <w:szCs w:val="16"/>
                <w:lang w:val="es-ES_tradnl"/>
              </w:rPr>
              <w:t>Fecha</w:t>
            </w:r>
          </w:p>
        </w:tc>
        <w:tc>
          <w:tcPr>
            <w:tcW w:w="2835" w:type="dxa"/>
            <w:tcBorders>
              <w:top w:val="single" w:sz="4" w:space="0" w:color="000000"/>
            </w:tcBorders>
            <w:shd w:val="clear" w:color="auto" w:fill="auto"/>
            <w:tcMar>
              <w:top w:w="110" w:type="dxa"/>
            </w:tcMar>
            <w:vAlign w:val="center"/>
          </w:tcPr>
          <w:p w:rsidR="00B070BF" w:rsidRPr="009577DE" w:rsidRDefault="00B070BF" w:rsidP="00C33D4A">
            <w:pPr>
              <w:widowControl w:val="0"/>
              <w:rPr>
                <w:sz w:val="16"/>
                <w:szCs w:val="16"/>
                <w:lang w:val="es-ES_tradnl"/>
              </w:rPr>
            </w:pPr>
            <w:r w:rsidRPr="009577DE">
              <w:rPr>
                <w:b/>
                <w:bCs/>
                <w:sz w:val="16"/>
                <w:szCs w:val="16"/>
                <w:lang w:val="es-ES_tradnl"/>
              </w:rPr>
              <w:t>País anfitrión/Beneficiarios</w:t>
            </w:r>
          </w:p>
        </w:tc>
        <w:tc>
          <w:tcPr>
            <w:tcW w:w="3260" w:type="dxa"/>
            <w:tcBorders>
              <w:top w:val="single" w:sz="4" w:space="0" w:color="000000"/>
            </w:tcBorders>
            <w:shd w:val="clear" w:color="auto" w:fill="FFFFFF"/>
            <w:tcMar>
              <w:top w:w="110" w:type="dxa"/>
            </w:tcMar>
            <w:vAlign w:val="center"/>
          </w:tcPr>
          <w:p w:rsidR="00B070BF" w:rsidRPr="009577DE" w:rsidRDefault="00B070BF" w:rsidP="00C33D4A">
            <w:pPr>
              <w:widowControl w:val="0"/>
              <w:rPr>
                <w:sz w:val="16"/>
                <w:szCs w:val="16"/>
                <w:lang w:val="es-ES_tradnl"/>
              </w:rPr>
            </w:pPr>
            <w:r w:rsidRPr="009577DE">
              <w:rPr>
                <w:b/>
                <w:bCs/>
                <w:sz w:val="16"/>
                <w:szCs w:val="16"/>
                <w:lang w:val="es-ES_tradnl"/>
              </w:rPr>
              <w:t>Propósito/Descripción</w:t>
            </w:r>
          </w:p>
        </w:tc>
      </w:tr>
      <w:tr w:rsidR="00B070BF" w:rsidRPr="009577DE" w:rsidTr="00C33D4A">
        <w:trPr>
          <w:trHeight w:val="495"/>
        </w:trPr>
        <w:tc>
          <w:tcPr>
            <w:tcW w:w="1843" w:type="dxa"/>
          </w:tcPr>
          <w:p w:rsidR="00B070BF" w:rsidRPr="009577DE" w:rsidRDefault="00B070BF" w:rsidP="00C33D4A">
            <w:pPr>
              <w:widowControl w:val="0"/>
              <w:autoSpaceDE w:val="0"/>
              <w:autoSpaceDN w:val="0"/>
              <w:adjustRightInd w:val="0"/>
              <w:spacing w:before="120" w:after="120"/>
              <w:rPr>
                <w:sz w:val="16"/>
                <w:szCs w:val="16"/>
                <w:lang w:val="es-ES_tradnl"/>
              </w:rPr>
            </w:pPr>
            <w:r w:rsidRPr="009577DE">
              <w:rPr>
                <w:sz w:val="16"/>
                <w:szCs w:val="16"/>
                <w:lang w:val="es-ES_tradnl"/>
              </w:rPr>
              <w:t xml:space="preserve">Misión de expertos para mantener consultas con los sectores interesados a escala nacional en el establecimiento de un </w:t>
            </w:r>
            <w:r w:rsidRPr="009577DE">
              <w:rPr>
                <w:snapToGrid w:val="0"/>
                <w:sz w:val="16"/>
                <w:szCs w:val="16"/>
                <w:lang w:val="es-ES_tradnl"/>
              </w:rPr>
              <w:t>organismo de gestión colectiva.</w:t>
            </w:r>
          </w:p>
        </w:tc>
        <w:tc>
          <w:tcPr>
            <w:tcW w:w="1134" w:type="dxa"/>
          </w:tcPr>
          <w:p w:rsidR="00B070BF" w:rsidRPr="009577DE" w:rsidRDefault="00B070BF" w:rsidP="00C33D4A">
            <w:pPr>
              <w:widowControl w:val="0"/>
              <w:autoSpaceDE w:val="0"/>
              <w:autoSpaceDN w:val="0"/>
              <w:adjustRightInd w:val="0"/>
              <w:spacing w:before="120" w:after="120"/>
              <w:rPr>
                <w:sz w:val="16"/>
                <w:szCs w:val="16"/>
                <w:lang w:val="es-ES_tradnl"/>
              </w:rPr>
            </w:pPr>
            <w:r w:rsidRPr="009577DE">
              <w:rPr>
                <w:sz w:val="16"/>
                <w:szCs w:val="16"/>
                <w:lang w:val="es-ES_tradnl"/>
              </w:rPr>
              <w:t>5 a 11 de mayo de 2012</w:t>
            </w:r>
          </w:p>
        </w:tc>
        <w:tc>
          <w:tcPr>
            <w:tcW w:w="2835" w:type="dxa"/>
          </w:tcPr>
          <w:p w:rsidR="00B070BF" w:rsidRPr="009577DE" w:rsidRDefault="00B070BF" w:rsidP="00C33D4A">
            <w:pPr>
              <w:widowControl w:val="0"/>
              <w:autoSpaceDE w:val="0"/>
              <w:autoSpaceDN w:val="0"/>
              <w:adjustRightInd w:val="0"/>
              <w:spacing w:before="120" w:after="120"/>
              <w:rPr>
                <w:sz w:val="16"/>
                <w:szCs w:val="16"/>
                <w:lang w:val="es-ES_tradnl"/>
              </w:rPr>
            </w:pPr>
            <w:r w:rsidRPr="009577DE">
              <w:rPr>
                <w:sz w:val="16"/>
                <w:szCs w:val="16"/>
                <w:lang w:val="es-ES_tradnl"/>
              </w:rPr>
              <w:t>Pakistán</w:t>
            </w:r>
          </w:p>
          <w:p w:rsidR="00B070BF" w:rsidRPr="009577DE" w:rsidRDefault="00B070BF" w:rsidP="00C33D4A">
            <w:pPr>
              <w:widowControl w:val="0"/>
              <w:autoSpaceDE w:val="0"/>
              <w:autoSpaceDN w:val="0"/>
              <w:adjustRightInd w:val="0"/>
              <w:spacing w:before="120" w:after="120"/>
              <w:rPr>
                <w:sz w:val="16"/>
                <w:szCs w:val="16"/>
                <w:lang w:val="es-ES_tradnl"/>
              </w:rPr>
            </w:pPr>
          </w:p>
        </w:tc>
        <w:tc>
          <w:tcPr>
            <w:tcW w:w="3260" w:type="dxa"/>
          </w:tcPr>
          <w:p w:rsidR="00B070BF" w:rsidRPr="009577DE" w:rsidRDefault="00B070BF" w:rsidP="00C33D4A">
            <w:pPr>
              <w:widowControl w:val="0"/>
              <w:autoSpaceDE w:val="0"/>
              <w:autoSpaceDN w:val="0"/>
              <w:adjustRightInd w:val="0"/>
              <w:spacing w:before="120" w:after="120"/>
              <w:rPr>
                <w:sz w:val="16"/>
                <w:szCs w:val="16"/>
                <w:lang w:val="es-ES_tradnl"/>
              </w:rPr>
            </w:pPr>
            <w:r w:rsidRPr="009577DE">
              <w:rPr>
                <w:sz w:val="16"/>
                <w:szCs w:val="16"/>
                <w:lang w:val="es-ES_tradnl"/>
              </w:rPr>
              <w:t xml:space="preserve">i) Actualizar la evaluación de la viabilidad económica de la puesta en funcionamiento de un </w:t>
            </w:r>
            <w:r w:rsidRPr="009577DE">
              <w:rPr>
                <w:snapToGrid w:val="0"/>
                <w:sz w:val="16"/>
                <w:szCs w:val="16"/>
                <w:lang w:val="es-ES_tradnl"/>
              </w:rPr>
              <w:t>organismo de gestión colectiva</w:t>
            </w:r>
            <w:r w:rsidRPr="009577DE">
              <w:rPr>
                <w:sz w:val="16"/>
                <w:szCs w:val="16"/>
                <w:lang w:val="es-ES_tradnl"/>
              </w:rPr>
              <w:t xml:space="preserve">;  ii) evaluar las iniciativas recientes emprendidas por el sector privado y el gobierno para establecer un </w:t>
            </w:r>
            <w:r w:rsidRPr="009577DE">
              <w:rPr>
                <w:snapToGrid w:val="0"/>
                <w:sz w:val="16"/>
                <w:szCs w:val="16"/>
                <w:lang w:val="es-ES_tradnl"/>
              </w:rPr>
              <w:t xml:space="preserve">organismo de gestión colectiva;  y </w:t>
            </w:r>
            <w:r w:rsidRPr="009577DE">
              <w:rPr>
                <w:sz w:val="16"/>
                <w:szCs w:val="16"/>
                <w:lang w:val="es-ES_tradnl"/>
              </w:rPr>
              <w:t xml:space="preserve">iii) sugerir las medidas necesarias para poner en funcionamiento con eficacia un </w:t>
            </w:r>
            <w:r w:rsidRPr="009577DE">
              <w:rPr>
                <w:snapToGrid w:val="0"/>
                <w:sz w:val="16"/>
                <w:szCs w:val="16"/>
                <w:lang w:val="es-ES_tradnl"/>
              </w:rPr>
              <w:t>organismo de gestión colectiva.</w:t>
            </w:r>
          </w:p>
        </w:tc>
      </w:tr>
      <w:tr w:rsidR="00B070BF" w:rsidRPr="009577DE" w:rsidTr="00C33D4A">
        <w:trPr>
          <w:trHeight w:val="530"/>
        </w:trPr>
        <w:tc>
          <w:tcPr>
            <w:tcW w:w="1843" w:type="dxa"/>
          </w:tcPr>
          <w:p w:rsidR="00B070BF" w:rsidRPr="009577DE" w:rsidRDefault="00B070BF" w:rsidP="00C33D4A">
            <w:pPr>
              <w:widowControl w:val="0"/>
              <w:autoSpaceDE w:val="0"/>
              <w:autoSpaceDN w:val="0"/>
              <w:adjustRightInd w:val="0"/>
              <w:spacing w:before="120" w:after="120"/>
              <w:rPr>
                <w:sz w:val="16"/>
                <w:szCs w:val="16"/>
                <w:lang w:val="es-ES_tradnl"/>
              </w:rPr>
            </w:pPr>
            <w:r w:rsidRPr="009577DE">
              <w:rPr>
                <w:sz w:val="16"/>
                <w:szCs w:val="16"/>
                <w:lang w:val="es-ES_tradnl"/>
              </w:rPr>
              <w:t>Visita de consulta sobre el sistema de Madrid (OMPI, Ginebra).</w:t>
            </w:r>
          </w:p>
          <w:p w:rsidR="00B070BF" w:rsidRPr="009577DE" w:rsidRDefault="00B070BF" w:rsidP="00C33D4A">
            <w:pPr>
              <w:widowControl w:val="0"/>
              <w:autoSpaceDE w:val="0"/>
              <w:autoSpaceDN w:val="0"/>
              <w:adjustRightInd w:val="0"/>
              <w:spacing w:before="120" w:after="120"/>
              <w:rPr>
                <w:sz w:val="16"/>
                <w:szCs w:val="16"/>
                <w:lang w:val="es-ES_tradnl"/>
              </w:rPr>
            </w:pPr>
          </w:p>
          <w:p w:rsidR="00B070BF" w:rsidRPr="009577DE" w:rsidRDefault="00B070BF" w:rsidP="00C33D4A">
            <w:pPr>
              <w:widowControl w:val="0"/>
              <w:autoSpaceDE w:val="0"/>
              <w:autoSpaceDN w:val="0"/>
              <w:adjustRightInd w:val="0"/>
              <w:spacing w:before="120" w:after="120"/>
              <w:rPr>
                <w:sz w:val="16"/>
                <w:szCs w:val="16"/>
                <w:lang w:val="es-ES_tradnl"/>
              </w:rPr>
            </w:pPr>
          </w:p>
          <w:p w:rsidR="00B070BF" w:rsidRPr="009577DE" w:rsidRDefault="00B070BF" w:rsidP="00C33D4A">
            <w:pPr>
              <w:widowControl w:val="0"/>
              <w:autoSpaceDE w:val="0"/>
              <w:autoSpaceDN w:val="0"/>
              <w:adjustRightInd w:val="0"/>
              <w:spacing w:before="120" w:after="120"/>
              <w:rPr>
                <w:sz w:val="16"/>
                <w:szCs w:val="16"/>
                <w:lang w:val="es-ES_tradnl"/>
              </w:rPr>
            </w:pPr>
          </w:p>
        </w:tc>
        <w:tc>
          <w:tcPr>
            <w:tcW w:w="1134" w:type="dxa"/>
          </w:tcPr>
          <w:p w:rsidR="00B070BF" w:rsidRPr="009577DE" w:rsidRDefault="00B070BF" w:rsidP="00C33D4A">
            <w:pPr>
              <w:widowControl w:val="0"/>
              <w:autoSpaceDE w:val="0"/>
              <w:autoSpaceDN w:val="0"/>
              <w:adjustRightInd w:val="0"/>
              <w:spacing w:before="120" w:after="120"/>
              <w:rPr>
                <w:sz w:val="16"/>
                <w:szCs w:val="16"/>
                <w:lang w:val="es-ES_tradnl"/>
              </w:rPr>
            </w:pPr>
            <w:r w:rsidRPr="009577DE">
              <w:rPr>
                <w:sz w:val="16"/>
                <w:szCs w:val="16"/>
                <w:lang w:val="es-ES_tradnl"/>
              </w:rPr>
              <w:t>30 de mayo a 1 de junio de 2012</w:t>
            </w:r>
          </w:p>
          <w:p w:rsidR="00B070BF" w:rsidRPr="009577DE" w:rsidRDefault="00B070BF" w:rsidP="00C33D4A">
            <w:pPr>
              <w:widowControl w:val="0"/>
              <w:autoSpaceDE w:val="0"/>
              <w:autoSpaceDN w:val="0"/>
              <w:adjustRightInd w:val="0"/>
              <w:spacing w:before="120" w:after="120"/>
              <w:rPr>
                <w:sz w:val="16"/>
                <w:szCs w:val="16"/>
                <w:lang w:val="es-ES_tradnl"/>
              </w:rPr>
            </w:pPr>
          </w:p>
          <w:p w:rsidR="00B070BF" w:rsidRPr="009577DE" w:rsidRDefault="00B070BF" w:rsidP="00C33D4A">
            <w:pPr>
              <w:widowControl w:val="0"/>
              <w:autoSpaceDE w:val="0"/>
              <w:autoSpaceDN w:val="0"/>
              <w:adjustRightInd w:val="0"/>
              <w:spacing w:before="120" w:after="120"/>
              <w:rPr>
                <w:sz w:val="16"/>
                <w:szCs w:val="16"/>
                <w:lang w:val="es-ES_tradnl"/>
              </w:rPr>
            </w:pPr>
          </w:p>
        </w:tc>
        <w:tc>
          <w:tcPr>
            <w:tcW w:w="2835" w:type="dxa"/>
          </w:tcPr>
          <w:p w:rsidR="00B070BF" w:rsidRPr="009577DE" w:rsidRDefault="00B070BF" w:rsidP="00C33D4A">
            <w:pPr>
              <w:widowControl w:val="0"/>
              <w:autoSpaceDE w:val="0"/>
              <w:autoSpaceDN w:val="0"/>
              <w:adjustRightInd w:val="0"/>
              <w:spacing w:before="120" w:after="120"/>
              <w:rPr>
                <w:sz w:val="16"/>
                <w:szCs w:val="16"/>
                <w:lang w:val="es-ES_tradnl"/>
              </w:rPr>
            </w:pPr>
            <w:r w:rsidRPr="009577DE">
              <w:rPr>
                <w:sz w:val="16"/>
                <w:szCs w:val="16"/>
                <w:lang w:val="es-ES_tradnl"/>
              </w:rPr>
              <w:t>Pakistán</w:t>
            </w:r>
          </w:p>
          <w:p w:rsidR="00B070BF" w:rsidRPr="009577DE" w:rsidRDefault="00B070BF" w:rsidP="00C33D4A">
            <w:pPr>
              <w:widowControl w:val="0"/>
              <w:autoSpaceDE w:val="0"/>
              <w:autoSpaceDN w:val="0"/>
              <w:adjustRightInd w:val="0"/>
              <w:spacing w:before="120" w:after="120"/>
              <w:rPr>
                <w:sz w:val="16"/>
                <w:szCs w:val="16"/>
                <w:lang w:val="es-ES_tradnl"/>
              </w:rPr>
            </w:pPr>
            <w:r w:rsidRPr="009577DE">
              <w:rPr>
                <w:sz w:val="16"/>
                <w:szCs w:val="16"/>
                <w:lang w:val="es-ES_tradnl"/>
              </w:rPr>
              <w:t>6 participantes (funcionarios de P.I. y sectores interesados del Pakistán)</w:t>
            </w:r>
          </w:p>
        </w:tc>
        <w:tc>
          <w:tcPr>
            <w:tcW w:w="3260" w:type="dxa"/>
          </w:tcPr>
          <w:p w:rsidR="00B070BF" w:rsidRPr="009577DE" w:rsidRDefault="00B070BF" w:rsidP="00C33D4A">
            <w:pPr>
              <w:widowControl w:val="0"/>
              <w:autoSpaceDE w:val="0"/>
              <w:autoSpaceDN w:val="0"/>
              <w:adjustRightInd w:val="0"/>
              <w:spacing w:before="120" w:after="120"/>
              <w:rPr>
                <w:sz w:val="16"/>
                <w:szCs w:val="16"/>
                <w:lang w:val="es-ES_tradnl"/>
              </w:rPr>
            </w:pPr>
            <w:r w:rsidRPr="009577DE">
              <w:rPr>
                <w:sz w:val="16"/>
                <w:szCs w:val="16"/>
                <w:lang w:val="es-ES_tradnl"/>
              </w:rPr>
              <w:t>Las consultas giraron en torno a lo siguiente:  i) medidas necesarias en el ámbito legislativo, reglamentario, de organización y de recursos humanos para adherirse al sistema de Madrid y gozar de las ventajas que éste presenta;  ii) medidas que cabe tomar para satisfacer las obligaciones previstas en el marco del sistema;  y iii) ventajas y beneficios para distintos sectores interesados, así como inquietudes, en particular, las de los abogados de patentes.</w:t>
            </w:r>
          </w:p>
        </w:tc>
      </w:tr>
      <w:tr w:rsidR="00B070BF" w:rsidRPr="009577DE" w:rsidTr="00C33D4A">
        <w:trPr>
          <w:trHeight w:val="530"/>
        </w:trPr>
        <w:tc>
          <w:tcPr>
            <w:tcW w:w="1843" w:type="dxa"/>
          </w:tcPr>
          <w:p w:rsidR="00B070BF" w:rsidRPr="009577DE" w:rsidRDefault="00B070BF" w:rsidP="00C33D4A">
            <w:pPr>
              <w:keepNext/>
              <w:widowControl w:val="0"/>
              <w:autoSpaceDE w:val="0"/>
              <w:autoSpaceDN w:val="0"/>
              <w:adjustRightInd w:val="0"/>
              <w:spacing w:before="120" w:after="120"/>
              <w:rPr>
                <w:sz w:val="16"/>
                <w:szCs w:val="16"/>
                <w:lang w:val="es-ES_tradnl"/>
              </w:rPr>
            </w:pPr>
            <w:r w:rsidRPr="009577DE">
              <w:rPr>
                <w:sz w:val="16"/>
                <w:szCs w:val="16"/>
                <w:lang w:val="es-ES_tradnl"/>
              </w:rPr>
              <w:lastRenderedPageBreak/>
              <w:t>Se finalizó y se transmitió a la Oficina de Propiedad Intelectual del Pakistán un documento analítico titulado "La protección de los modelos de utilidad en el Pakistán – una opción para incentivar la innovación progresiva".</w:t>
            </w:r>
          </w:p>
          <w:p w:rsidR="00B070BF" w:rsidRPr="009577DE" w:rsidRDefault="00B070BF" w:rsidP="00C33D4A">
            <w:pPr>
              <w:keepNext/>
              <w:widowControl w:val="0"/>
              <w:autoSpaceDE w:val="0"/>
              <w:autoSpaceDN w:val="0"/>
              <w:adjustRightInd w:val="0"/>
              <w:spacing w:before="120" w:after="120"/>
              <w:rPr>
                <w:sz w:val="16"/>
                <w:szCs w:val="16"/>
                <w:lang w:val="es-ES_tradnl"/>
              </w:rPr>
            </w:pPr>
          </w:p>
          <w:p w:rsidR="00B070BF" w:rsidRPr="009577DE" w:rsidRDefault="00B070BF" w:rsidP="00C33D4A">
            <w:pPr>
              <w:keepNext/>
              <w:widowControl w:val="0"/>
              <w:autoSpaceDE w:val="0"/>
              <w:autoSpaceDN w:val="0"/>
              <w:adjustRightInd w:val="0"/>
              <w:spacing w:before="120" w:after="120"/>
              <w:rPr>
                <w:sz w:val="16"/>
                <w:szCs w:val="16"/>
                <w:lang w:val="es-ES_tradnl"/>
              </w:rPr>
            </w:pPr>
          </w:p>
        </w:tc>
        <w:tc>
          <w:tcPr>
            <w:tcW w:w="1134" w:type="dxa"/>
          </w:tcPr>
          <w:p w:rsidR="00B070BF" w:rsidRPr="009577DE" w:rsidRDefault="00B070BF" w:rsidP="00C33D4A">
            <w:pPr>
              <w:keepNext/>
              <w:widowControl w:val="0"/>
              <w:autoSpaceDE w:val="0"/>
              <w:autoSpaceDN w:val="0"/>
              <w:adjustRightInd w:val="0"/>
              <w:spacing w:before="120" w:after="120"/>
              <w:rPr>
                <w:sz w:val="16"/>
                <w:szCs w:val="16"/>
                <w:lang w:val="es-ES_tradnl"/>
              </w:rPr>
            </w:pPr>
            <w:r w:rsidRPr="009577DE">
              <w:rPr>
                <w:sz w:val="16"/>
                <w:szCs w:val="16"/>
                <w:lang w:val="es-ES_tradnl"/>
              </w:rPr>
              <w:t>Septiembre de 2012</w:t>
            </w:r>
          </w:p>
          <w:p w:rsidR="00B070BF" w:rsidRPr="009577DE" w:rsidRDefault="00B070BF" w:rsidP="00C33D4A">
            <w:pPr>
              <w:keepNext/>
              <w:widowControl w:val="0"/>
              <w:autoSpaceDE w:val="0"/>
              <w:autoSpaceDN w:val="0"/>
              <w:adjustRightInd w:val="0"/>
              <w:spacing w:before="120" w:after="120"/>
              <w:rPr>
                <w:sz w:val="16"/>
                <w:szCs w:val="16"/>
                <w:lang w:val="es-ES_tradnl"/>
              </w:rPr>
            </w:pPr>
          </w:p>
          <w:p w:rsidR="00B070BF" w:rsidRPr="009577DE" w:rsidRDefault="00B070BF" w:rsidP="00C33D4A">
            <w:pPr>
              <w:keepNext/>
              <w:widowControl w:val="0"/>
              <w:autoSpaceDE w:val="0"/>
              <w:autoSpaceDN w:val="0"/>
              <w:adjustRightInd w:val="0"/>
              <w:spacing w:before="120" w:after="120"/>
              <w:rPr>
                <w:sz w:val="16"/>
                <w:szCs w:val="16"/>
                <w:lang w:val="es-ES_tradnl"/>
              </w:rPr>
            </w:pPr>
          </w:p>
          <w:p w:rsidR="00B070BF" w:rsidRPr="009577DE" w:rsidRDefault="00B070BF" w:rsidP="00C33D4A">
            <w:pPr>
              <w:keepNext/>
              <w:widowControl w:val="0"/>
              <w:autoSpaceDE w:val="0"/>
              <w:autoSpaceDN w:val="0"/>
              <w:adjustRightInd w:val="0"/>
              <w:spacing w:before="120" w:after="120"/>
              <w:rPr>
                <w:sz w:val="16"/>
                <w:szCs w:val="16"/>
                <w:lang w:val="es-ES_tradnl"/>
              </w:rPr>
            </w:pPr>
          </w:p>
          <w:p w:rsidR="00B070BF" w:rsidRPr="009577DE" w:rsidRDefault="00B070BF" w:rsidP="00C33D4A">
            <w:pPr>
              <w:keepNext/>
              <w:widowControl w:val="0"/>
              <w:autoSpaceDE w:val="0"/>
              <w:autoSpaceDN w:val="0"/>
              <w:adjustRightInd w:val="0"/>
              <w:spacing w:before="120" w:after="120"/>
              <w:rPr>
                <w:sz w:val="16"/>
                <w:szCs w:val="16"/>
                <w:lang w:val="es-ES_tradnl"/>
              </w:rPr>
            </w:pPr>
          </w:p>
        </w:tc>
        <w:tc>
          <w:tcPr>
            <w:tcW w:w="2835" w:type="dxa"/>
          </w:tcPr>
          <w:p w:rsidR="00B070BF" w:rsidRPr="009577DE" w:rsidRDefault="00B070BF" w:rsidP="00C33D4A">
            <w:pPr>
              <w:keepNext/>
              <w:widowControl w:val="0"/>
              <w:autoSpaceDE w:val="0"/>
              <w:autoSpaceDN w:val="0"/>
              <w:adjustRightInd w:val="0"/>
              <w:spacing w:before="120" w:after="120"/>
              <w:rPr>
                <w:sz w:val="16"/>
                <w:szCs w:val="16"/>
                <w:lang w:val="es-ES_tradnl"/>
              </w:rPr>
            </w:pPr>
            <w:r w:rsidRPr="009577DE">
              <w:rPr>
                <w:sz w:val="16"/>
                <w:szCs w:val="16"/>
                <w:lang w:val="es-ES_tradnl"/>
              </w:rPr>
              <w:t>Pakistán</w:t>
            </w:r>
          </w:p>
          <w:p w:rsidR="00B070BF" w:rsidRPr="009577DE" w:rsidRDefault="00B070BF" w:rsidP="00C33D4A">
            <w:pPr>
              <w:keepNext/>
              <w:widowControl w:val="0"/>
              <w:autoSpaceDE w:val="0"/>
              <w:autoSpaceDN w:val="0"/>
              <w:adjustRightInd w:val="0"/>
              <w:spacing w:before="120" w:after="120"/>
              <w:rPr>
                <w:sz w:val="16"/>
                <w:szCs w:val="16"/>
                <w:lang w:val="es-ES_tradnl"/>
              </w:rPr>
            </w:pPr>
          </w:p>
          <w:p w:rsidR="00B070BF" w:rsidRPr="009577DE" w:rsidRDefault="00B070BF" w:rsidP="00C33D4A">
            <w:pPr>
              <w:keepNext/>
              <w:widowControl w:val="0"/>
              <w:autoSpaceDE w:val="0"/>
              <w:autoSpaceDN w:val="0"/>
              <w:adjustRightInd w:val="0"/>
              <w:spacing w:before="120" w:after="120"/>
              <w:rPr>
                <w:sz w:val="16"/>
                <w:szCs w:val="16"/>
                <w:lang w:val="es-ES_tradnl"/>
              </w:rPr>
            </w:pPr>
          </w:p>
          <w:p w:rsidR="00B070BF" w:rsidRPr="009577DE" w:rsidRDefault="00B070BF" w:rsidP="00C33D4A">
            <w:pPr>
              <w:keepNext/>
              <w:widowControl w:val="0"/>
              <w:autoSpaceDE w:val="0"/>
              <w:autoSpaceDN w:val="0"/>
              <w:adjustRightInd w:val="0"/>
              <w:spacing w:before="120" w:after="120"/>
              <w:rPr>
                <w:sz w:val="16"/>
                <w:szCs w:val="16"/>
                <w:lang w:val="es-ES_tradnl"/>
              </w:rPr>
            </w:pPr>
          </w:p>
          <w:p w:rsidR="00B070BF" w:rsidRPr="009577DE" w:rsidRDefault="00B070BF" w:rsidP="00C33D4A">
            <w:pPr>
              <w:keepNext/>
              <w:widowControl w:val="0"/>
              <w:autoSpaceDE w:val="0"/>
              <w:autoSpaceDN w:val="0"/>
              <w:adjustRightInd w:val="0"/>
              <w:spacing w:before="120" w:after="120"/>
              <w:rPr>
                <w:sz w:val="16"/>
                <w:szCs w:val="16"/>
                <w:lang w:val="es-ES_tradnl"/>
              </w:rPr>
            </w:pPr>
          </w:p>
          <w:p w:rsidR="00B070BF" w:rsidRPr="009577DE" w:rsidRDefault="00B070BF" w:rsidP="00C33D4A">
            <w:pPr>
              <w:keepNext/>
              <w:widowControl w:val="0"/>
              <w:autoSpaceDE w:val="0"/>
              <w:autoSpaceDN w:val="0"/>
              <w:adjustRightInd w:val="0"/>
              <w:spacing w:before="120" w:after="120"/>
              <w:rPr>
                <w:sz w:val="16"/>
                <w:szCs w:val="16"/>
                <w:lang w:val="es-ES_tradnl"/>
              </w:rPr>
            </w:pPr>
          </w:p>
        </w:tc>
        <w:tc>
          <w:tcPr>
            <w:tcW w:w="3260" w:type="dxa"/>
          </w:tcPr>
          <w:p w:rsidR="00B070BF" w:rsidRPr="009577DE" w:rsidRDefault="00B070BF" w:rsidP="00C33D4A">
            <w:pPr>
              <w:keepNext/>
              <w:widowControl w:val="0"/>
              <w:autoSpaceDE w:val="0"/>
              <w:autoSpaceDN w:val="0"/>
              <w:adjustRightInd w:val="0"/>
              <w:spacing w:before="120" w:after="120"/>
              <w:rPr>
                <w:sz w:val="16"/>
                <w:szCs w:val="16"/>
                <w:lang w:val="es-ES_tradnl"/>
              </w:rPr>
            </w:pPr>
            <w:r w:rsidRPr="009577DE">
              <w:rPr>
                <w:sz w:val="16"/>
                <w:szCs w:val="16"/>
                <w:lang w:val="es-ES_tradnl"/>
              </w:rPr>
              <w:t>El documento contiene los elementos siguientes: i) un panorama de los aspectos jurídicos y económicos de los modelos de utilidad;  ii) las características principales de la legislación sobre modelos de utilidad en determinados países que contemplan la protección, y la experiencia de esos países en la utilización de los modelos de utilidad;  iii) motivos a favor o en contra de introducir la protección de los modelos de utilidad en el Pakistán, teniendo en cuenta el nivel de desarrollo económico y tecnológico del país;  y iv) recomendaciones respecto de medidas adicionales, entre otras, las alternativas a la protección de los modelos de utilidad.</w:t>
            </w:r>
          </w:p>
        </w:tc>
      </w:tr>
      <w:tr w:rsidR="00B070BF" w:rsidRPr="009577DE" w:rsidTr="00C33D4A">
        <w:trPr>
          <w:trHeight w:val="530"/>
        </w:trPr>
        <w:tc>
          <w:tcPr>
            <w:tcW w:w="1843" w:type="dxa"/>
          </w:tcPr>
          <w:p w:rsidR="00B070BF" w:rsidRPr="009577DE" w:rsidRDefault="00B070BF" w:rsidP="00C33D4A">
            <w:pPr>
              <w:widowControl w:val="0"/>
              <w:autoSpaceDE w:val="0"/>
              <w:autoSpaceDN w:val="0"/>
              <w:adjustRightInd w:val="0"/>
              <w:spacing w:before="120" w:after="120"/>
              <w:rPr>
                <w:sz w:val="16"/>
                <w:szCs w:val="16"/>
                <w:lang w:val="es-ES_tradnl"/>
              </w:rPr>
            </w:pPr>
            <w:r w:rsidRPr="009577DE">
              <w:rPr>
                <w:sz w:val="16"/>
                <w:szCs w:val="16"/>
                <w:lang w:val="es-ES_tradnl"/>
              </w:rPr>
              <w:t>Visita de consulta y taller en la OMPI, en Ginebra, sobre procedimientos relativos al PCT para funcionarios del Pakistán.</w:t>
            </w:r>
          </w:p>
          <w:p w:rsidR="00B070BF" w:rsidRPr="009577DE" w:rsidRDefault="00B070BF" w:rsidP="00C33D4A">
            <w:pPr>
              <w:widowControl w:val="0"/>
              <w:autoSpaceDE w:val="0"/>
              <w:autoSpaceDN w:val="0"/>
              <w:adjustRightInd w:val="0"/>
              <w:spacing w:before="120" w:after="120"/>
              <w:rPr>
                <w:sz w:val="16"/>
                <w:szCs w:val="16"/>
                <w:lang w:val="es-ES_tradnl"/>
              </w:rPr>
            </w:pPr>
          </w:p>
        </w:tc>
        <w:tc>
          <w:tcPr>
            <w:tcW w:w="1134" w:type="dxa"/>
          </w:tcPr>
          <w:p w:rsidR="00B070BF" w:rsidRPr="009577DE" w:rsidRDefault="00B070BF" w:rsidP="00C33D4A">
            <w:pPr>
              <w:widowControl w:val="0"/>
              <w:autoSpaceDE w:val="0"/>
              <w:autoSpaceDN w:val="0"/>
              <w:adjustRightInd w:val="0"/>
              <w:spacing w:before="120" w:after="120"/>
              <w:rPr>
                <w:sz w:val="16"/>
                <w:szCs w:val="16"/>
                <w:lang w:val="es-ES_tradnl"/>
              </w:rPr>
            </w:pPr>
            <w:r w:rsidRPr="009577DE">
              <w:rPr>
                <w:sz w:val="16"/>
                <w:szCs w:val="16"/>
                <w:lang w:val="es-ES_tradnl"/>
              </w:rPr>
              <w:t>11 a 13 de septiembre de 2012</w:t>
            </w:r>
          </w:p>
        </w:tc>
        <w:tc>
          <w:tcPr>
            <w:tcW w:w="2835" w:type="dxa"/>
          </w:tcPr>
          <w:p w:rsidR="00B070BF" w:rsidRPr="009577DE" w:rsidRDefault="00B070BF" w:rsidP="00C33D4A">
            <w:pPr>
              <w:widowControl w:val="0"/>
              <w:autoSpaceDE w:val="0"/>
              <w:autoSpaceDN w:val="0"/>
              <w:adjustRightInd w:val="0"/>
              <w:spacing w:before="120" w:after="120"/>
              <w:rPr>
                <w:sz w:val="16"/>
                <w:szCs w:val="16"/>
                <w:lang w:val="es-ES_tradnl"/>
              </w:rPr>
            </w:pPr>
            <w:r w:rsidRPr="009577DE">
              <w:rPr>
                <w:sz w:val="16"/>
                <w:szCs w:val="16"/>
                <w:lang w:val="es-ES_tradnl"/>
              </w:rPr>
              <w:t>Pakistán</w:t>
            </w:r>
          </w:p>
          <w:p w:rsidR="00B070BF" w:rsidRPr="009577DE" w:rsidRDefault="00B070BF" w:rsidP="00C33D4A">
            <w:pPr>
              <w:widowControl w:val="0"/>
              <w:autoSpaceDE w:val="0"/>
              <w:autoSpaceDN w:val="0"/>
              <w:adjustRightInd w:val="0"/>
              <w:spacing w:before="120" w:after="120"/>
              <w:rPr>
                <w:sz w:val="16"/>
                <w:szCs w:val="16"/>
                <w:lang w:val="es-ES_tradnl"/>
              </w:rPr>
            </w:pPr>
            <w:r w:rsidRPr="009577DE">
              <w:rPr>
                <w:sz w:val="16"/>
                <w:szCs w:val="16"/>
                <w:lang w:val="es-ES_tradnl"/>
              </w:rPr>
              <w:t>Cinco participantes (funcionarios de P.I. del Pakistán y sectores interesados)</w:t>
            </w:r>
          </w:p>
        </w:tc>
        <w:tc>
          <w:tcPr>
            <w:tcW w:w="3260" w:type="dxa"/>
          </w:tcPr>
          <w:p w:rsidR="00B070BF" w:rsidRPr="009577DE" w:rsidRDefault="00B070BF" w:rsidP="00C33D4A">
            <w:pPr>
              <w:widowControl w:val="0"/>
              <w:autoSpaceDE w:val="0"/>
              <w:autoSpaceDN w:val="0"/>
              <w:adjustRightInd w:val="0"/>
              <w:spacing w:before="120" w:after="120"/>
              <w:rPr>
                <w:sz w:val="16"/>
                <w:szCs w:val="16"/>
                <w:lang w:val="es-ES_tradnl"/>
              </w:rPr>
            </w:pPr>
            <w:r w:rsidRPr="009577DE">
              <w:rPr>
                <w:sz w:val="16"/>
                <w:szCs w:val="16"/>
                <w:lang w:val="es-ES_tradnl" w:eastAsia="ja-JP"/>
              </w:rPr>
              <w:t xml:space="preserve">Mejorar la comprensión del </w:t>
            </w:r>
            <w:r w:rsidRPr="009577DE">
              <w:rPr>
                <w:snapToGrid w:val="0"/>
                <w:sz w:val="16"/>
                <w:szCs w:val="16"/>
                <w:lang w:val="es-ES_tradnl" w:eastAsia="ja-JP"/>
              </w:rPr>
              <w:t>sistema del</w:t>
            </w:r>
            <w:r w:rsidRPr="009577DE">
              <w:rPr>
                <w:sz w:val="16"/>
                <w:szCs w:val="16"/>
                <w:lang w:val="es-ES_tradnl" w:eastAsia="ja-JP"/>
              </w:rPr>
              <w:t xml:space="preserve"> PCT para facilitar la adhesión al mismo;  las consultas giraron en torno a las cuestiones pertinentes a la adhesión del Pakistán al PCT, entre otras cosas, las medidas que hay que tomar para cumplir con las obligaciones previstas en él y las medidas necesarias para aprovechar plenamente las ventajas del Tratado.</w:t>
            </w:r>
          </w:p>
        </w:tc>
      </w:tr>
      <w:tr w:rsidR="00B070BF" w:rsidRPr="009577DE" w:rsidTr="00C33D4A">
        <w:trPr>
          <w:trHeight w:val="552"/>
        </w:trPr>
        <w:tc>
          <w:tcPr>
            <w:tcW w:w="1843" w:type="dxa"/>
            <w:tcBorders>
              <w:bottom w:val="single" w:sz="4" w:space="0" w:color="000000"/>
            </w:tcBorders>
          </w:tcPr>
          <w:p w:rsidR="00B070BF" w:rsidRPr="009577DE" w:rsidRDefault="00B070BF" w:rsidP="00C33D4A">
            <w:pPr>
              <w:widowControl w:val="0"/>
              <w:autoSpaceDE w:val="0"/>
              <w:autoSpaceDN w:val="0"/>
              <w:adjustRightInd w:val="0"/>
              <w:spacing w:before="120" w:after="120"/>
              <w:rPr>
                <w:sz w:val="16"/>
                <w:szCs w:val="16"/>
                <w:lang w:val="es-ES_tradnl"/>
              </w:rPr>
            </w:pPr>
            <w:r w:rsidRPr="009577DE">
              <w:rPr>
                <w:sz w:val="16"/>
                <w:szCs w:val="16"/>
                <w:lang w:val="es-ES_tradnl"/>
              </w:rPr>
              <w:t xml:space="preserve">Se finalizó y se transmitió a la Oficina de P.I. del Pakistán un estudio actualizado titulado “Establecimiento de un </w:t>
            </w:r>
            <w:r w:rsidRPr="009577DE">
              <w:rPr>
                <w:snapToGrid w:val="0"/>
                <w:sz w:val="16"/>
                <w:szCs w:val="16"/>
                <w:lang w:val="es-ES_tradnl"/>
              </w:rPr>
              <w:t>organismo de</w:t>
            </w:r>
            <w:r w:rsidRPr="009577DE">
              <w:rPr>
                <w:sz w:val="16"/>
                <w:szCs w:val="16"/>
                <w:lang w:val="es-ES_tradnl"/>
              </w:rPr>
              <w:t xml:space="preserve"> gestión colectiva en el Pakistán”.</w:t>
            </w:r>
          </w:p>
        </w:tc>
        <w:tc>
          <w:tcPr>
            <w:tcW w:w="1134" w:type="dxa"/>
            <w:tcBorders>
              <w:bottom w:val="single" w:sz="4" w:space="0" w:color="000000"/>
            </w:tcBorders>
          </w:tcPr>
          <w:p w:rsidR="00B070BF" w:rsidRPr="009577DE" w:rsidRDefault="00B070BF" w:rsidP="00C33D4A">
            <w:pPr>
              <w:widowControl w:val="0"/>
              <w:autoSpaceDE w:val="0"/>
              <w:autoSpaceDN w:val="0"/>
              <w:adjustRightInd w:val="0"/>
              <w:spacing w:before="120" w:after="120"/>
              <w:rPr>
                <w:sz w:val="16"/>
                <w:szCs w:val="16"/>
                <w:lang w:val="es-ES_tradnl"/>
              </w:rPr>
            </w:pPr>
            <w:r w:rsidRPr="009577DE">
              <w:rPr>
                <w:sz w:val="16"/>
                <w:szCs w:val="16"/>
                <w:lang w:val="es-ES_tradnl"/>
              </w:rPr>
              <w:t>Noviembre de 2012</w:t>
            </w:r>
          </w:p>
          <w:p w:rsidR="00B070BF" w:rsidRPr="009577DE" w:rsidRDefault="00B070BF" w:rsidP="00C33D4A">
            <w:pPr>
              <w:widowControl w:val="0"/>
              <w:autoSpaceDE w:val="0"/>
              <w:autoSpaceDN w:val="0"/>
              <w:adjustRightInd w:val="0"/>
              <w:spacing w:before="120" w:after="120"/>
              <w:rPr>
                <w:sz w:val="16"/>
                <w:szCs w:val="16"/>
                <w:lang w:val="es-ES_tradnl"/>
              </w:rPr>
            </w:pPr>
          </w:p>
          <w:p w:rsidR="00B070BF" w:rsidRPr="009577DE" w:rsidRDefault="00B070BF" w:rsidP="00C33D4A">
            <w:pPr>
              <w:widowControl w:val="0"/>
              <w:autoSpaceDE w:val="0"/>
              <w:autoSpaceDN w:val="0"/>
              <w:adjustRightInd w:val="0"/>
              <w:spacing w:before="120" w:after="120"/>
              <w:rPr>
                <w:sz w:val="16"/>
                <w:szCs w:val="16"/>
                <w:lang w:val="es-ES_tradnl"/>
              </w:rPr>
            </w:pPr>
          </w:p>
        </w:tc>
        <w:tc>
          <w:tcPr>
            <w:tcW w:w="2835" w:type="dxa"/>
            <w:tcBorders>
              <w:bottom w:val="single" w:sz="4" w:space="0" w:color="000000"/>
            </w:tcBorders>
          </w:tcPr>
          <w:p w:rsidR="00B070BF" w:rsidRPr="009577DE" w:rsidRDefault="00B070BF" w:rsidP="00C33D4A">
            <w:pPr>
              <w:widowControl w:val="0"/>
              <w:autoSpaceDE w:val="0"/>
              <w:autoSpaceDN w:val="0"/>
              <w:adjustRightInd w:val="0"/>
              <w:spacing w:before="120" w:after="120"/>
              <w:rPr>
                <w:sz w:val="16"/>
                <w:szCs w:val="16"/>
                <w:lang w:val="es-ES_tradnl"/>
              </w:rPr>
            </w:pPr>
            <w:r w:rsidRPr="009577DE">
              <w:rPr>
                <w:sz w:val="16"/>
                <w:szCs w:val="16"/>
                <w:lang w:val="es-ES_tradnl"/>
              </w:rPr>
              <w:t>Pakistán</w:t>
            </w:r>
          </w:p>
          <w:p w:rsidR="00B070BF" w:rsidRPr="009577DE" w:rsidRDefault="00B070BF" w:rsidP="00C33D4A">
            <w:pPr>
              <w:widowControl w:val="0"/>
              <w:autoSpaceDE w:val="0"/>
              <w:autoSpaceDN w:val="0"/>
              <w:adjustRightInd w:val="0"/>
              <w:spacing w:before="120" w:after="120"/>
              <w:rPr>
                <w:sz w:val="16"/>
                <w:szCs w:val="16"/>
                <w:lang w:val="es-ES_tradnl"/>
              </w:rPr>
            </w:pPr>
          </w:p>
          <w:p w:rsidR="00B070BF" w:rsidRPr="009577DE" w:rsidRDefault="00B070BF" w:rsidP="00C33D4A">
            <w:pPr>
              <w:widowControl w:val="0"/>
              <w:autoSpaceDE w:val="0"/>
              <w:autoSpaceDN w:val="0"/>
              <w:adjustRightInd w:val="0"/>
              <w:spacing w:before="120" w:after="120"/>
              <w:rPr>
                <w:sz w:val="16"/>
                <w:szCs w:val="16"/>
                <w:lang w:val="es-ES_tradnl"/>
              </w:rPr>
            </w:pPr>
          </w:p>
          <w:p w:rsidR="00B070BF" w:rsidRPr="009577DE" w:rsidRDefault="00B070BF" w:rsidP="00C33D4A">
            <w:pPr>
              <w:widowControl w:val="0"/>
              <w:autoSpaceDE w:val="0"/>
              <w:autoSpaceDN w:val="0"/>
              <w:adjustRightInd w:val="0"/>
              <w:spacing w:before="120" w:after="120"/>
              <w:rPr>
                <w:sz w:val="16"/>
                <w:szCs w:val="16"/>
                <w:lang w:val="es-ES_tradnl"/>
              </w:rPr>
            </w:pPr>
          </w:p>
          <w:p w:rsidR="00B070BF" w:rsidRPr="009577DE" w:rsidRDefault="00B070BF" w:rsidP="00C33D4A">
            <w:pPr>
              <w:widowControl w:val="0"/>
              <w:autoSpaceDE w:val="0"/>
              <w:autoSpaceDN w:val="0"/>
              <w:adjustRightInd w:val="0"/>
              <w:spacing w:before="120" w:after="120"/>
              <w:rPr>
                <w:sz w:val="16"/>
                <w:szCs w:val="16"/>
                <w:lang w:val="es-ES_tradnl"/>
              </w:rPr>
            </w:pPr>
          </w:p>
        </w:tc>
        <w:tc>
          <w:tcPr>
            <w:tcW w:w="3260" w:type="dxa"/>
            <w:tcBorders>
              <w:bottom w:val="single" w:sz="4" w:space="0" w:color="000000"/>
            </w:tcBorders>
          </w:tcPr>
          <w:p w:rsidR="00B070BF" w:rsidRPr="009577DE" w:rsidRDefault="00B070BF" w:rsidP="00C33D4A">
            <w:pPr>
              <w:widowControl w:val="0"/>
              <w:autoSpaceDE w:val="0"/>
              <w:autoSpaceDN w:val="0"/>
              <w:adjustRightInd w:val="0"/>
              <w:spacing w:before="120" w:after="120"/>
              <w:rPr>
                <w:sz w:val="16"/>
                <w:szCs w:val="16"/>
                <w:lang w:val="es-ES_tradnl"/>
              </w:rPr>
            </w:pPr>
            <w:r w:rsidRPr="009577DE">
              <w:rPr>
                <w:sz w:val="16"/>
                <w:szCs w:val="16"/>
                <w:lang w:val="es-ES_tradnl"/>
              </w:rPr>
              <w:t xml:space="preserve">El documento contiene los elementos siguientes:  i) un breve panorama de las iniciativas actuales encaminadas a establecer en el país un </w:t>
            </w:r>
            <w:r w:rsidRPr="009577DE">
              <w:rPr>
                <w:snapToGrid w:val="0"/>
                <w:sz w:val="16"/>
                <w:szCs w:val="16"/>
                <w:lang w:val="es-ES_tradnl"/>
              </w:rPr>
              <w:t>organismo de gestión colectiva</w:t>
            </w:r>
            <w:r w:rsidRPr="009577DE">
              <w:rPr>
                <w:sz w:val="16"/>
                <w:szCs w:val="16"/>
                <w:lang w:val="es-ES_tradnl"/>
              </w:rPr>
              <w:t xml:space="preserve">;  ii) una evaluación actualizada de la viabilidad económica de establecer un </w:t>
            </w:r>
            <w:r w:rsidRPr="009577DE">
              <w:rPr>
                <w:snapToGrid w:val="0"/>
                <w:sz w:val="16"/>
                <w:szCs w:val="16"/>
                <w:lang w:val="es-ES_tradnl"/>
              </w:rPr>
              <w:t>organismo de gestión colectiva</w:t>
            </w:r>
            <w:r w:rsidRPr="009577DE">
              <w:rPr>
                <w:sz w:val="16"/>
                <w:szCs w:val="16"/>
                <w:lang w:val="es-ES_tradnl"/>
              </w:rPr>
              <w:t xml:space="preserve">;  iii) opciones para poner en funcionamiento un </w:t>
            </w:r>
            <w:r w:rsidRPr="009577DE">
              <w:rPr>
                <w:snapToGrid w:val="0"/>
                <w:sz w:val="16"/>
                <w:szCs w:val="16"/>
                <w:lang w:val="es-ES_tradnl"/>
              </w:rPr>
              <w:t xml:space="preserve">organismo de gestión colectiva </w:t>
            </w:r>
            <w:proofErr w:type="spellStart"/>
            <w:r w:rsidRPr="009577DE">
              <w:rPr>
                <w:snapToGrid w:val="0"/>
                <w:sz w:val="16"/>
                <w:szCs w:val="16"/>
                <w:lang w:val="es-ES_tradnl"/>
              </w:rPr>
              <w:t>costoeficaz</w:t>
            </w:r>
            <w:proofErr w:type="spellEnd"/>
            <w:r w:rsidRPr="009577DE">
              <w:rPr>
                <w:snapToGrid w:val="0"/>
                <w:sz w:val="16"/>
                <w:szCs w:val="16"/>
                <w:lang w:val="es-ES_tradnl"/>
              </w:rPr>
              <w:t xml:space="preserve"> y sostenible</w:t>
            </w:r>
            <w:r w:rsidRPr="009577DE">
              <w:rPr>
                <w:sz w:val="16"/>
                <w:szCs w:val="16"/>
                <w:lang w:val="es-ES_tradnl"/>
              </w:rPr>
              <w:t xml:space="preserve">;  iv) recomendaciones específicas sobre el camino a seguir para establecer un </w:t>
            </w:r>
            <w:r w:rsidRPr="009577DE">
              <w:rPr>
                <w:snapToGrid w:val="0"/>
                <w:sz w:val="16"/>
                <w:szCs w:val="16"/>
                <w:lang w:val="es-ES_tradnl"/>
              </w:rPr>
              <w:t>organismo de gestión colectiva viable que pueda funcionar con eficacia en las condiciones específicas del Pakistán</w:t>
            </w:r>
            <w:r w:rsidRPr="009577DE">
              <w:rPr>
                <w:sz w:val="16"/>
                <w:szCs w:val="16"/>
                <w:lang w:val="es-ES_tradnl"/>
              </w:rPr>
              <w:t>.</w:t>
            </w:r>
          </w:p>
        </w:tc>
      </w:tr>
      <w:tr w:rsidR="00B070BF" w:rsidRPr="009577DE" w:rsidTr="00C33D4A">
        <w:tc>
          <w:tcPr>
            <w:tcW w:w="9072" w:type="dxa"/>
            <w:gridSpan w:val="4"/>
            <w:tcBorders>
              <w:top w:val="single" w:sz="4" w:space="0" w:color="000000"/>
              <w:bottom w:val="single" w:sz="4" w:space="0" w:color="000000"/>
            </w:tcBorders>
            <w:shd w:val="clear" w:color="auto" w:fill="CCFFFF"/>
            <w:vAlign w:val="center"/>
          </w:tcPr>
          <w:p w:rsidR="00B070BF" w:rsidRPr="009577DE" w:rsidRDefault="00B070BF" w:rsidP="00C33D4A">
            <w:pPr>
              <w:keepNext/>
              <w:keepLines/>
              <w:tabs>
                <w:tab w:val="left" w:pos="1740"/>
              </w:tabs>
              <w:spacing w:before="120" w:after="120"/>
              <w:ind w:left="1740" w:hanging="1740"/>
              <w:rPr>
                <w:b/>
                <w:bCs/>
                <w:sz w:val="16"/>
                <w:szCs w:val="16"/>
                <w:lang w:val="es-ES_tradnl"/>
              </w:rPr>
            </w:pPr>
            <w:r w:rsidRPr="009577DE">
              <w:rPr>
                <w:b/>
                <w:bCs/>
                <w:sz w:val="16"/>
                <w:szCs w:val="16"/>
                <w:lang w:val="es-ES_tradnl"/>
              </w:rPr>
              <w:t>RESULTADO:</w:t>
            </w:r>
            <w:r w:rsidRPr="009577DE">
              <w:rPr>
                <w:b/>
                <w:bCs/>
                <w:sz w:val="16"/>
                <w:szCs w:val="16"/>
                <w:lang w:val="es-ES_tradnl"/>
              </w:rPr>
              <w:tab/>
            </w:r>
            <w:r w:rsidRPr="009577DE">
              <w:rPr>
                <w:bCs/>
                <w:sz w:val="16"/>
                <w:szCs w:val="16"/>
                <w:lang w:val="es-ES_tradnl"/>
              </w:rPr>
              <w:t>Mejora de las capacidades en el ámbito de los recursos humanos para hacer frente al amplio espectro de exigencias que supone la utilización de la P.I. en aras del desarrollo</w:t>
            </w:r>
          </w:p>
        </w:tc>
      </w:tr>
      <w:tr w:rsidR="00B070BF" w:rsidRPr="009577DE" w:rsidTr="00C33D4A">
        <w:tc>
          <w:tcPr>
            <w:tcW w:w="1843" w:type="dxa"/>
            <w:tcBorders>
              <w:top w:val="single" w:sz="4" w:space="0" w:color="000000"/>
            </w:tcBorders>
            <w:vAlign w:val="center"/>
          </w:tcPr>
          <w:p w:rsidR="00B070BF" w:rsidRPr="009577DE" w:rsidRDefault="00B070BF" w:rsidP="00C33D4A">
            <w:pPr>
              <w:keepNext/>
              <w:keepLines/>
              <w:rPr>
                <w:b/>
                <w:bCs/>
                <w:sz w:val="16"/>
                <w:szCs w:val="16"/>
                <w:lang w:val="es-ES_tradnl"/>
              </w:rPr>
            </w:pPr>
            <w:r w:rsidRPr="009577DE">
              <w:rPr>
                <w:b/>
                <w:bCs/>
                <w:sz w:val="16"/>
                <w:szCs w:val="16"/>
                <w:lang w:val="es-ES_tradnl"/>
              </w:rPr>
              <w:t>Actividad</w:t>
            </w:r>
          </w:p>
        </w:tc>
        <w:tc>
          <w:tcPr>
            <w:tcW w:w="1134" w:type="dxa"/>
            <w:tcBorders>
              <w:top w:val="single" w:sz="4" w:space="0" w:color="000000"/>
            </w:tcBorders>
            <w:shd w:val="clear" w:color="auto" w:fill="auto"/>
            <w:tcMar>
              <w:top w:w="110" w:type="dxa"/>
            </w:tcMar>
            <w:vAlign w:val="center"/>
          </w:tcPr>
          <w:p w:rsidR="00B070BF" w:rsidRPr="009577DE" w:rsidRDefault="00B070BF" w:rsidP="00C33D4A">
            <w:pPr>
              <w:keepNext/>
              <w:keepLines/>
              <w:rPr>
                <w:sz w:val="16"/>
                <w:szCs w:val="16"/>
                <w:lang w:val="es-ES_tradnl"/>
              </w:rPr>
            </w:pPr>
            <w:r w:rsidRPr="009577DE">
              <w:rPr>
                <w:b/>
                <w:bCs/>
                <w:sz w:val="16"/>
                <w:szCs w:val="16"/>
                <w:lang w:val="es-ES_tradnl"/>
              </w:rPr>
              <w:t>Fecha</w:t>
            </w:r>
          </w:p>
        </w:tc>
        <w:tc>
          <w:tcPr>
            <w:tcW w:w="2835" w:type="dxa"/>
            <w:tcBorders>
              <w:top w:val="single" w:sz="4" w:space="0" w:color="000000"/>
            </w:tcBorders>
            <w:shd w:val="clear" w:color="auto" w:fill="auto"/>
            <w:tcMar>
              <w:top w:w="110" w:type="dxa"/>
            </w:tcMar>
            <w:vAlign w:val="center"/>
          </w:tcPr>
          <w:p w:rsidR="00B070BF" w:rsidRPr="009577DE" w:rsidRDefault="00B070BF" w:rsidP="00C33D4A">
            <w:pPr>
              <w:keepNext/>
              <w:keepLines/>
              <w:rPr>
                <w:sz w:val="16"/>
                <w:szCs w:val="16"/>
                <w:lang w:val="es-ES_tradnl"/>
              </w:rPr>
            </w:pPr>
            <w:r w:rsidRPr="009577DE">
              <w:rPr>
                <w:b/>
                <w:bCs/>
                <w:sz w:val="16"/>
                <w:szCs w:val="16"/>
                <w:lang w:val="es-ES_tradnl"/>
              </w:rPr>
              <w:t>País anfitrión/Beneficiarios</w:t>
            </w:r>
          </w:p>
        </w:tc>
        <w:tc>
          <w:tcPr>
            <w:tcW w:w="3260" w:type="dxa"/>
            <w:tcBorders>
              <w:top w:val="single" w:sz="4" w:space="0" w:color="000000"/>
            </w:tcBorders>
            <w:shd w:val="clear" w:color="auto" w:fill="FFFFFF"/>
            <w:tcMar>
              <w:top w:w="110" w:type="dxa"/>
            </w:tcMar>
            <w:vAlign w:val="center"/>
          </w:tcPr>
          <w:p w:rsidR="00B070BF" w:rsidRPr="009577DE" w:rsidRDefault="00B070BF" w:rsidP="00C33D4A">
            <w:pPr>
              <w:keepNext/>
              <w:keepLines/>
              <w:rPr>
                <w:sz w:val="16"/>
                <w:szCs w:val="16"/>
                <w:lang w:val="es-ES_tradnl"/>
              </w:rPr>
            </w:pPr>
            <w:r w:rsidRPr="009577DE">
              <w:rPr>
                <w:b/>
                <w:bCs/>
                <w:sz w:val="16"/>
                <w:szCs w:val="16"/>
                <w:lang w:val="es-ES_tradnl"/>
              </w:rPr>
              <w:t>Propósito/Descripción</w:t>
            </w:r>
          </w:p>
        </w:tc>
      </w:tr>
      <w:tr w:rsidR="00B070BF" w:rsidRPr="009577DE" w:rsidTr="00C33D4A">
        <w:trPr>
          <w:trHeight w:val="520"/>
        </w:trPr>
        <w:tc>
          <w:tcPr>
            <w:tcW w:w="1843" w:type="dxa"/>
          </w:tcPr>
          <w:p w:rsidR="00B070BF" w:rsidRPr="009577DE" w:rsidRDefault="00B070BF" w:rsidP="00C33D4A">
            <w:pPr>
              <w:autoSpaceDE w:val="0"/>
              <w:autoSpaceDN w:val="0"/>
              <w:adjustRightInd w:val="0"/>
              <w:spacing w:before="120" w:after="120"/>
              <w:rPr>
                <w:sz w:val="16"/>
                <w:szCs w:val="16"/>
                <w:lang w:val="es-ES_tradnl"/>
              </w:rPr>
            </w:pPr>
            <w:r w:rsidRPr="009577DE">
              <w:rPr>
                <w:sz w:val="16"/>
                <w:szCs w:val="16"/>
                <w:lang w:val="es-ES_tradnl"/>
              </w:rPr>
              <w:t>Revisión de los procedimientos administrativos en materia de marcas y formación de los examinadores de marcas, Karachi (Pakistán).</w:t>
            </w:r>
          </w:p>
        </w:tc>
        <w:tc>
          <w:tcPr>
            <w:tcW w:w="1134" w:type="dxa"/>
          </w:tcPr>
          <w:p w:rsidR="00B070BF" w:rsidRPr="009577DE" w:rsidRDefault="00B070BF" w:rsidP="00C33D4A">
            <w:pPr>
              <w:autoSpaceDE w:val="0"/>
              <w:autoSpaceDN w:val="0"/>
              <w:adjustRightInd w:val="0"/>
              <w:spacing w:before="120" w:after="120"/>
              <w:rPr>
                <w:sz w:val="16"/>
                <w:szCs w:val="16"/>
                <w:lang w:val="es-ES_tradnl"/>
              </w:rPr>
            </w:pPr>
            <w:r w:rsidRPr="009577DE">
              <w:rPr>
                <w:sz w:val="16"/>
                <w:szCs w:val="16"/>
                <w:lang w:val="es-ES_tradnl"/>
              </w:rPr>
              <w:t>9 a 13 de enero de 2012</w:t>
            </w:r>
          </w:p>
          <w:p w:rsidR="00B070BF" w:rsidRPr="009577DE" w:rsidRDefault="00B070BF" w:rsidP="00C33D4A">
            <w:pPr>
              <w:autoSpaceDE w:val="0"/>
              <w:autoSpaceDN w:val="0"/>
              <w:adjustRightInd w:val="0"/>
              <w:spacing w:before="120" w:after="120"/>
              <w:rPr>
                <w:sz w:val="16"/>
                <w:szCs w:val="16"/>
                <w:lang w:val="es-ES_tradnl"/>
              </w:rPr>
            </w:pPr>
          </w:p>
        </w:tc>
        <w:tc>
          <w:tcPr>
            <w:tcW w:w="2835" w:type="dxa"/>
          </w:tcPr>
          <w:p w:rsidR="00B070BF" w:rsidRPr="009577DE" w:rsidRDefault="00B070BF" w:rsidP="00C33D4A">
            <w:pPr>
              <w:autoSpaceDE w:val="0"/>
              <w:autoSpaceDN w:val="0"/>
              <w:adjustRightInd w:val="0"/>
              <w:spacing w:before="120" w:after="120"/>
              <w:rPr>
                <w:sz w:val="16"/>
                <w:szCs w:val="16"/>
                <w:lang w:val="es-ES_tradnl"/>
              </w:rPr>
            </w:pPr>
            <w:r w:rsidRPr="009577DE">
              <w:rPr>
                <w:sz w:val="16"/>
                <w:szCs w:val="16"/>
                <w:lang w:val="es-ES_tradnl"/>
              </w:rPr>
              <w:t>Pakistán</w:t>
            </w:r>
          </w:p>
          <w:p w:rsidR="00B070BF" w:rsidRPr="009577DE" w:rsidRDefault="00B070BF" w:rsidP="00C33D4A">
            <w:pPr>
              <w:autoSpaceDE w:val="0"/>
              <w:autoSpaceDN w:val="0"/>
              <w:adjustRightInd w:val="0"/>
              <w:spacing w:after="120"/>
              <w:rPr>
                <w:sz w:val="16"/>
                <w:szCs w:val="16"/>
                <w:lang w:val="es-ES_tradnl"/>
              </w:rPr>
            </w:pPr>
            <w:r w:rsidRPr="009577DE">
              <w:rPr>
                <w:sz w:val="16"/>
                <w:szCs w:val="16"/>
                <w:lang w:val="es-ES_tradnl"/>
              </w:rPr>
              <w:t>21 funcionarios del Registro de Marcas.</w:t>
            </w:r>
          </w:p>
        </w:tc>
        <w:tc>
          <w:tcPr>
            <w:tcW w:w="3260" w:type="dxa"/>
          </w:tcPr>
          <w:p w:rsidR="00B070BF" w:rsidRPr="009577DE" w:rsidRDefault="00B070BF" w:rsidP="00C33D4A">
            <w:pPr>
              <w:autoSpaceDE w:val="0"/>
              <w:autoSpaceDN w:val="0"/>
              <w:adjustRightInd w:val="0"/>
              <w:spacing w:before="120" w:after="120"/>
              <w:rPr>
                <w:sz w:val="16"/>
                <w:szCs w:val="16"/>
                <w:lang w:val="es-ES_tradnl"/>
              </w:rPr>
            </w:pPr>
            <w:r w:rsidRPr="009577DE">
              <w:rPr>
                <w:sz w:val="16"/>
                <w:szCs w:val="16"/>
                <w:lang w:val="es-ES_tradnl"/>
              </w:rPr>
              <w:t>i) Revisar los procedimientos administrativos en materia de marcas en relación con las normas y reglamentos nacionales respectivos y con las prácticas óptimas internacionales, y brindar asesoramiento al respecto;  y ii) impartir formación adaptada a los examinadores de marcas sobre búsqueda y examen de fondo y sobre los desafíos que se les plantean en su trabajo.</w:t>
            </w:r>
          </w:p>
        </w:tc>
      </w:tr>
      <w:tr w:rsidR="00B070BF" w:rsidRPr="009577DE" w:rsidTr="00C33D4A">
        <w:trPr>
          <w:trHeight w:val="528"/>
        </w:trPr>
        <w:tc>
          <w:tcPr>
            <w:tcW w:w="1843" w:type="dxa"/>
          </w:tcPr>
          <w:p w:rsidR="00B070BF" w:rsidRPr="009577DE" w:rsidRDefault="00B070BF" w:rsidP="00C33D4A">
            <w:pPr>
              <w:autoSpaceDE w:val="0"/>
              <w:autoSpaceDN w:val="0"/>
              <w:adjustRightInd w:val="0"/>
              <w:spacing w:before="120" w:after="120"/>
              <w:rPr>
                <w:sz w:val="16"/>
                <w:szCs w:val="16"/>
                <w:lang w:val="es-ES_tradnl"/>
              </w:rPr>
            </w:pPr>
            <w:r w:rsidRPr="009577DE">
              <w:rPr>
                <w:sz w:val="16"/>
                <w:szCs w:val="16"/>
                <w:lang w:val="es-ES_tradnl"/>
              </w:rPr>
              <w:t xml:space="preserve">Formación de formadores de los </w:t>
            </w:r>
            <w:r w:rsidRPr="009577DE">
              <w:rPr>
                <w:snapToGrid w:val="0"/>
                <w:sz w:val="16"/>
                <w:szCs w:val="16"/>
                <w:lang w:val="es-ES_tradnl"/>
              </w:rPr>
              <w:t>organismos de observancia del</w:t>
            </w:r>
            <w:r w:rsidRPr="009577DE">
              <w:rPr>
                <w:sz w:val="16"/>
                <w:szCs w:val="16"/>
                <w:lang w:val="es-ES_tradnl"/>
              </w:rPr>
              <w:t xml:space="preserve"> Pakistán, en Manchester (Reino Unido).</w:t>
            </w:r>
          </w:p>
          <w:p w:rsidR="00B070BF" w:rsidRPr="009577DE" w:rsidRDefault="00B070BF" w:rsidP="00C33D4A">
            <w:pPr>
              <w:autoSpaceDE w:val="0"/>
              <w:autoSpaceDN w:val="0"/>
              <w:adjustRightInd w:val="0"/>
              <w:spacing w:before="120" w:after="120"/>
              <w:rPr>
                <w:sz w:val="16"/>
                <w:szCs w:val="16"/>
                <w:lang w:val="es-ES_tradnl"/>
              </w:rPr>
            </w:pPr>
          </w:p>
        </w:tc>
        <w:tc>
          <w:tcPr>
            <w:tcW w:w="1134" w:type="dxa"/>
          </w:tcPr>
          <w:p w:rsidR="00B070BF" w:rsidRPr="009577DE" w:rsidRDefault="00B070BF" w:rsidP="00C33D4A">
            <w:pPr>
              <w:autoSpaceDE w:val="0"/>
              <w:autoSpaceDN w:val="0"/>
              <w:adjustRightInd w:val="0"/>
              <w:spacing w:before="120" w:after="120"/>
              <w:rPr>
                <w:sz w:val="16"/>
                <w:szCs w:val="16"/>
                <w:lang w:val="es-ES_tradnl"/>
              </w:rPr>
            </w:pPr>
            <w:r w:rsidRPr="009577DE">
              <w:rPr>
                <w:sz w:val="16"/>
                <w:szCs w:val="16"/>
                <w:lang w:val="es-ES_tradnl"/>
              </w:rPr>
              <w:t>20 a 24 de febrero de 2012</w:t>
            </w:r>
          </w:p>
          <w:p w:rsidR="00B070BF" w:rsidRPr="009577DE" w:rsidRDefault="00B070BF" w:rsidP="00C33D4A">
            <w:pPr>
              <w:autoSpaceDE w:val="0"/>
              <w:autoSpaceDN w:val="0"/>
              <w:adjustRightInd w:val="0"/>
              <w:spacing w:before="120" w:after="120"/>
              <w:rPr>
                <w:sz w:val="16"/>
                <w:szCs w:val="16"/>
                <w:lang w:val="es-ES_tradnl"/>
              </w:rPr>
            </w:pPr>
          </w:p>
          <w:p w:rsidR="00B070BF" w:rsidRPr="009577DE" w:rsidRDefault="00B070BF" w:rsidP="00C33D4A">
            <w:pPr>
              <w:autoSpaceDE w:val="0"/>
              <w:autoSpaceDN w:val="0"/>
              <w:adjustRightInd w:val="0"/>
              <w:spacing w:before="120" w:after="120"/>
              <w:rPr>
                <w:sz w:val="16"/>
                <w:szCs w:val="16"/>
                <w:lang w:val="es-ES_tradnl"/>
              </w:rPr>
            </w:pPr>
          </w:p>
          <w:p w:rsidR="00B070BF" w:rsidRPr="009577DE" w:rsidRDefault="00B070BF" w:rsidP="00C33D4A">
            <w:pPr>
              <w:autoSpaceDE w:val="0"/>
              <w:autoSpaceDN w:val="0"/>
              <w:adjustRightInd w:val="0"/>
              <w:spacing w:before="120" w:after="120"/>
              <w:rPr>
                <w:sz w:val="16"/>
                <w:szCs w:val="16"/>
                <w:lang w:val="es-ES_tradnl"/>
              </w:rPr>
            </w:pPr>
          </w:p>
        </w:tc>
        <w:tc>
          <w:tcPr>
            <w:tcW w:w="2835" w:type="dxa"/>
          </w:tcPr>
          <w:p w:rsidR="00B070BF" w:rsidRPr="009577DE" w:rsidRDefault="00B070BF" w:rsidP="00C33D4A">
            <w:pPr>
              <w:autoSpaceDE w:val="0"/>
              <w:autoSpaceDN w:val="0"/>
              <w:adjustRightInd w:val="0"/>
              <w:spacing w:before="120" w:after="120"/>
              <w:rPr>
                <w:sz w:val="16"/>
                <w:szCs w:val="16"/>
                <w:lang w:val="es-ES_tradnl"/>
              </w:rPr>
            </w:pPr>
            <w:r w:rsidRPr="009577DE">
              <w:rPr>
                <w:sz w:val="16"/>
                <w:szCs w:val="16"/>
                <w:lang w:val="es-ES_tradnl"/>
              </w:rPr>
              <w:t>Pakistán</w:t>
            </w:r>
          </w:p>
          <w:p w:rsidR="00B070BF" w:rsidRPr="009577DE" w:rsidRDefault="00B070BF" w:rsidP="00C33D4A">
            <w:pPr>
              <w:autoSpaceDE w:val="0"/>
              <w:autoSpaceDN w:val="0"/>
              <w:adjustRightInd w:val="0"/>
              <w:spacing w:before="120" w:after="120"/>
              <w:rPr>
                <w:sz w:val="16"/>
                <w:szCs w:val="16"/>
                <w:lang w:val="es-ES_tradnl"/>
              </w:rPr>
            </w:pPr>
            <w:r w:rsidRPr="009577DE">
              <w:rPr>
                <w:sz w:val="16"/>
                <w:szCs w:val="16"/>
                <w:lang w:val="es-ES_tradnl"/>
              </w:rPr>
              <w:t>Cuatro funcionarios del Pakistán (de aduanas, la policía, el Organismo Federal de Investigación y la Oficina de Propiedad Intelectual del Pakistán).</w:t>
            </w:r>
          </w:p>
        </w:tc>
        <w:tc>
          <w:tcPr>
            <w:tcW w:w="3260" w:type="dxa"/>
          </w:tcPr>
          <w:p w:rsidR="00B070BF" w:rsidRPr="009577DE" w:rsidRDefault="00B070BF" w:rsidP="00C33D4A">
            <w:pPr>
              <w:autoSpaceDE w:val="0"/>
              <w:autoSpaceDN w:val="0"/>
              <w:adjustRightInd w:val="0"/>
              <w:spacing w:before="120" w:after="120"/>
              <w:rPr>
                <w:sz w:val="16"/>
                <w:szCs w:val="16"/>
                <w:lang w:val="es-ES_tradnl"/>
              </w:rPr>
            </w:pPr>
            <w:r w:rsidRPr="009577DE">
              <w:rPr>
                <w:sz w:val="16"/>
                <w:szCs w:val="16"/>
                <w:lang w:val="es-ES_tradnl"/>
              </w:rPr>
              <w:t xml:space="preserve">Habilitar a los principales </w:t>
            </w:r>
            <w:r w:rsidRPr="009577DE">
              <w:rPr>
                <w:snapToGrid w:val="0"/>
                <w:sz w:val="16"/>
                <w:szCs w:val="16"/>
                <w:lang w:val="es-ES_tradnl"/>
              </w:rPr>
              <w:t>organismos de observancia del país para que elaboren y organicen de manera sostenible sus propios programas de formación.</w:t>
            </w:r>
          </w:p>
        </w:tc>
      </w:tr>
      <w:tr w:rsidR="00B070BF" w:rsidRPr="009577DE" w:rsidTr="00C33D4A">
        <w:trPr>
          <w:trHeight w:val="528"/>
        </w:trPr>
        <w:tc>
          <w:tcPr>
            <w:tcW w:w="1843" w:type="dxa"/>
          </w:tcPr>
          <w:p w:rsidR="00B070BF" w:rsidRPr="009577DE" w:rsidRDefault="00B070BF" w:rsidP="00C33D4A">
            <w:pPr>
              <w:autoSpaceDE w:val="0"/>
              <w:autoSpaceDN w:val="0"/>
              <w:adjustRightInd w:val="0"/>
              <w:rPr>
                <w:sz w:val="16"/>
                <w:szCs w:val="16"/>
                <w:lang w:val="es-ES_tradnl"/>
              </w:rPr>
            </w:pPr>
          </w:p>
          <w:p w:rsidR="00B070BF" w:rsidRPr="009577DE" w:rsidRDefault="00B070BF" w:rsidP="00C33D4A">
            <w:pPr>
              <w:autoSpaceDE w:val="0"/>
              <w:autoSpaceDN w:val="0"/>
              <w:adjustRightInd w:val="0"/>
              <w:rPr>
                <w:sz w:val="16"/>
                <w:szCs w:val="16"/>
                <w:lang w:val="es-ES_tradnl"/>
              </w:rPr>
            </w:pPr>
            <w:r w:rsidRPr="009577DE">
              <w:rPr>
                <w:sz w:val="16"/>
                <w:szCs w:val="16"/>
                <w:lang w:val="es-ES_tradnl"/>
              </w:rPr>
              <w:t>Inscripción en el Curso LLM sobre propiedad intelectual de la OMPI–Universidad de Turín.</w:t>
            </w:r>
          </w:p>
        </w:tc>
        <w:tc>
          <w:tcPr>
            <w:tcW w:w="1134" w:type="dxa"/>
          </w:tcPr>
          <w:p w:rsidR="00B070BF" w:rsidRPr="009577DE" w:rsidRDefault="00B070BF" w:rsidP="00C33D4A">
            <w:pPr>
              <w:autoSpaceDE w:val="0"/>
              <w:autoSpaceDN w:val="0"/>
              <w:adjustRightInd w:val="0"/>
              <w:spacing w:before="120" w:after="120"/>
              <w:rPr>
                <w:sz w:val="16"/>
                <w:szCs w:val="16"/>
                <w:lang w:val="es-ES_tradnl"/>
              </w:rPr>
            </w:pPr>
            <w:r w:rsidRPr="009577DE">
              <w:rPr>
                <w:sz w:val="16"/>
                <w:szCs w:val="16"/>
                <w:lang w:val="es-ES_tradnl"/>
              </w:rPr>
              <w:t>1 de junio de 2012 a 28 de febrero de 2013</w:t>
            </w:r>
          </w:p>
        </w:tc>
        <w:tc>
          <w:tcPr>
            <w:tcW w:w="2835" w:type="dxa"/>
          </w:tcPr>
          <w:p w:rsidR="00B070BF" w:rsidRPr="009577DE" w:rsidRDefault="00B070BF" w:rsidP="00C33D4A">
            <w:pPr>
              <w:autoSpaceDE w:val="0"/>
              <w:autoSpaceDN w:val="0"/>
              <w:adjustRightInd w:val="0"/>
              <w:spacing w:before="120" w:after="120"/>
              <w:rPr>
                <w:sz w:val="16"/>
                <w:szCs w:val="16"/>
                <w:lang w:val="es-ES_tradnl"/>
              </w:rPr>
            </w:pPr>
            <w:r w:rsidRPr="009577DE">
              <w:rPr>
                <w:sz w:val="16"/>
                <w:szCs w:val="16"/>
                <w:lang w:val="es-ES_tradnl"/>
              </w:rPr>
              <w:t>Pakistán</w:t>
            </w:r>
          </w:p>
          <w:p w:rsidR="00B070BF" w:rsidRPr="009577DE" w:rsidRDefault="00B070BF" w:rsidP="00C33D4A">
            <w:pPr>
              <w:autoSpaceDE w:val="0"/>
              <w:autoSpaceDN w:val="0"/>
              <w:adjustRightInd w:val="0"/>
              <w:spacing w:after="120"/>
              <w:rPr>
                <w:sz w:val="16"/>
                <w:szCs w:val="16"/>
                <w:lang w:val="es-ES_tradnl"/>
              </w:rPr>
            </w:pPr>
            <w:r w:rsidRPr="009577DE">
              <w:rPr>
                <w:sz w:val="16"/>
                <w:szCs w:val="16"/>
                <w:lang w:val="es-ES_tradnl"/>
              </w:rPr>
              <w:t>Dos funcionarios del Pakistán.</w:t>
            </w:r>
          </w:p>
        </w:tc>
        <w:tc>
          <w:tcPr>
            <w:tcW w:w="3260" w:type="dxa"/>
          </w:tcPr>
          <w:p w:rsidR="00B070BF" w:rsidRPr="009577DE" w:rsidRDefault="00B070BF" w:rsidP="00C33D4A">
            <w:pPr>
              <w:autoSpaceDE w:val="0"/>
              <w:autoSpaceDN w:val="0"/>
              <w:adjustRightInd w:val="0"/>
              <w:spacing w:before="120" w:after="120"/>
              <w:rPr>
                <w:sz w:val="16"/>
                <w:szCs w:val="16"/>
                <w:lang w:val="es-ES_tradnl"/>
              </w:rPr>
            </w:pPr>
            <w:r w:rsidRPr="009577DE">
              <w:rPr>
                <w:sz w:val="16"/>
                <w:szCs w:val="16"/>
                <w:lang w:val="es-ES_tradnl"/>
              </w:rPr>
              <w:t>Mejorar la capacidad de tratar asuntos relacionados con la política en materia de P.I. mediante una mejor comprensión del derecho de P.I.</w:t>
            </w:r>
          </w:p>
        </w:tc>
      </w:tr>
      <w:tr w:rsidR="00B070BF" w:rsidRPr="009577DE" w:rsidTr="00C33D4A">
        <w:trPr>
          <w:trHeight w:val="528"/>
        </w:trPr>
        <w:tc>
          <w:tcPr>
            <w:tcW w:w="1843" w:type="dxa"/>
          </w:tcPr>
          <w:p w:rsidR="00B070BF" w:rsidRPr="009577DE" w:rsidRDefault="00B070BF" w:rsidP="00C33D4A">
            <w:pPr>
              <w:autoSpaceDE w:val="0"/>
              <w:autoSpaceDN w:val="0"/>
              <w:adjustRightInd w:val="0"/>
              <w:rPr>
                <w:sz w:val="16"/>
                <w:szCs w:val="16"/>
                <w:lang w:val="es-ES_tradnl"/>
              </w:rPr>
            </w:pPr>
          </w:p>
          <w:p w:rsidR="00B070BF" w:rsidRPr="009577DE" w:rsidRDefault="00B070BF" w:rsidP="00C33D4A">
            <w:pPr>
              <w:autoSpaceDE w:val="0"/>
              <w:autoSpaceDN w:val="0"/>
              <w:adjustRightInd w:val="0"/>
              <w:rPr>
                <w:sz w:val="16"/>
                <w:szCs w:val="16"/>
                <w:lang w:val="es-ES_tradnl"/>
              </w:rPr>
            </w:pPr>
            <w:r w:rsidRPr="009577DE">
              <w:rPr>
                <w:sz w:val="16"/>
                <w:szCs w:val="16"/>
                <w:lang w:val="es-ES_tradnl"/>
              </w:rPr>
              <w:t xml:space="preserve">Taller sobre utilización eficaz del </w:t>
            </w:r>
            <w:r w:rsidRPr="009577DE">
              <w:rPr>
                <w:snapToGrid w:val="0"/>
                <w:sz w:val="16"/>
                <w:szCs w:val="16"/>
                <w:lang w:val="es-ES_tradnl"/>
              </w:rPr>
              <w:t>sistema de propiedad intelectual por las pequeñas y medianas empresas del</w:t>
            </w:r>
            <w:r w:rsidRPr="009577DE">
              <w:rPr>
                <w:sz w:val="16"/>
                <w:szCs w:val="16"/>
                <w:lang w:val="es-ES_tradnl"/>
              </w:rPr>
              <w:t xml:space="preserve"> Pakistán (OMPI, Ginebra).</w:t>
            </w:r>
          </w:p>
          <w:p w:rsidR="00B070BF" w:rsidRPr="009577DE" w:rsidRDefault="00B070BF" w:rsidP="00C33D4A">
            <w:pPr>
              <w:autoSpaceDE w:val="0"/>
              <w:autoSpaceDN w:val="0"/>
              <w:adjustRightInd w:val="0"/>
              <w:rPr>
                <w:sz w:val="16"/>
                <w:szCs w:val="16"/>
                <w:lang w:val="es-ES_tradnl"/>
              </w:rPr>
            </w:pPr>
          </w:p>
          <w:p w:rsidR="00B070BF" w:rsidRPr="009577DE" w:rsidRDefault="00B070BF" w:rsidP="00C33D4A">
            <w:pPr>
              <w:autoSpaceDE w:val="0"/>
              <w:autoSpaceDN w:val="0"/>
              <w:adjustRightInd w:val="0"/>
              <w:rPr>
                <w:sz w:val="16"/>
                <w:szCs w:val="16"/>
                <w:lang w:val="es-ES_tradnl"/>
              </w:rPr>
            </w:pPr>
          </w:p>
          <w:p w:rsidR="00B070BF" w:rsidRPr="009577DE" w:rsidRDefault="00B070BF" w:rsidP="00C33D4A">
            <w:pPr>
              <w:autoSpaceDE w:val="0"/>
              <w:autoSpaceDN w:val="0"/>
              <w:adjustRightInd w:val="0"/>
              <w:rPr>
                <w:sz w:val="16"/>
                <w:szCs w:val="16"/>
                <w:lang w:val="es-ES_tradnl"/>
              </w:rPr>
            </w:pPr>
          </w:p>
          <w:p w:rsidR="00B070BF" w:rsidRPr="009577DE" w:rsidRDefault="00B070BF" w:rsidP="00C33D4A">
            <w:pPr>
              <w:autoSpaceDE w:val="0"/>
              <w:autoSpaceDN w:val="0"/>
              <w:adjustRightInd w:val="0"/>
              <w:rPr>
                <w:sz w:val="16"/>
                <w:szCs w:val="16"/>
                <w:lang w:val="es-ES_tradnl"/>
              </w:rPr>
            </w:pPr>
          </w:p>
        </w:tc>
        <w:tc>
          <w:tcPr>
            <w:tcW w:w="1134" w:type="dxa"/>
          </w:tcPr>
          <w:p w:rsidR="00B070BF" w:rsidRPr="009577DE" w:rsidRDefault="00B070BF" w:rsidP="00C33D4A">
            <w:pPr>
              <w:autoSpaceDE w:val="0"/>
              <w:autoSpaceDN w:val="0"/>
              <w:adjustRightInd w:val="0"/>
              <w:spacing w:before="120" w:after="120"/>
              <w:rPr>
                <w:sz w:val="16"/>
                <w:szCs w:val="16"/>
                <w:lang w:val="es-ES_tradnl"/>
              </w:rPr>
            </w:pPr>
            <w:r w:rsidRPr="009577DE">
              <w:rPr>
                <w:sz w:val="16"/>
                <w:szCs w:val="16"/>
                <w:lang w:val="es-ES_tradnl"/>
              </w:rPr>
              <w:t>4 a 7 de junio de 2012</w:t>
            </w:r>
          </w:p>
        </w:tc>
        <w:tc>
          <w:tcPr>
            <w:tcW w:w="2835" w:type="dxa"/>
          </w:tcPr>
          <w:p w:rsidR="00B070BF" w:rsidRPr="009577DE" w:rsidRDefault="00B070BF" w:rsidP="00C33D4A">
            <w:pPr>
              <w:autoSpaceDE w:val="0"/>
              <w:autoSpaceDN w:val="0"/>
              <w:adjustRightInd w:val="0"/>
              <w:rPr>
                <w:sz w:val="16"/>
                <w:szCs w:val="16"/>
                <w:lang w:val="es-ES_tradnl"/>
              </w:rPr>
            </w:pPr>
          </w:p>
          <w:p w:rsidR="00B070BF" w:rsidRPr="009577DE" w:rsidRDefault="00B070BF" w:rsidP="00C33D4A">
            <w:pPr>
              <w:autoSpaceDE w:val="0"/>
              <w:autoSpaceDN w:val="0"/>
              <w:adjustRightInd w:val="0"/>
              <w:rPr>
                <w:sz w:val="16"/>
                <w:szCs w:val="16"/>
                <w:lang w:val="es-ES_tradnl"/>
              </w:rPr>
            </w:pPr>
            <w:r w:rsidRPr="009577DE">
              <w:rPr>
                <w:sz w:val="16"/>
                <w:szCs w:val="16"/>
                <w:lang w:val="es-ES_tradnl"/>
              </w:rPr>
              <w:t>Pakistán</w:t>
            </w:r>
          </w:p>
          <w:p w:rsidR="00B070BF" w:rsidRPr="009577DE" w:rsidRDefault="00B070BF" w:rsidP="00C33D4A">
            <w:pPr>
              <w:autoSpaceDE w:val="0"/>
              <w:autoSpaceDN w:val="0"/>
              <w:adjustRightInd w:val="0"/>
              <w:rPr>
                <w:sz w:val="16"/>
                <w:szCs w:val="16"/>
                <w:lang w:val="es-ES_tradnl"/>
              </w:rPr>
            </w:pPr>
          </w:p>
          <w:p w:rsidR="00B070BF" w:rsidRPr="009577DE" w:rsidRDefault="00B070BF" w:rsidP="00C33D4A">
            <w:pPr>
              <w:autoSpaceDE w:val="0"/>
              <w:autoSpaceDN w:val="0"/>
              <w:adjustRightInd w:val="0"/>
              <w:rPr>
                <w:sz w:val="16"/>
                <w:szCs w:val="16"/>
                <w:lang w:val="es-ES_tradnl"/>
              </w:rPr>
            </w:pPr>
            <w:r w:rsidRPr="009577DE">
              <w:rPr>
                <w:sz w:val="16"/>
                <w:szCs w:val="16"/>
                <w:lang w:val="es-ES_tradnl"/>
              </w:rPr>
              <w:t>12 participantes (personal de pymes, funcionarios de cámaras de comercio y de la Oficina de P.I. del Pakistán).</w:t>
            </w:r>
          </w:p>
          <w:p w:rsidR="00B070BF" w:rsidRPr="009577DE" w:rsidRDefault="00B070BF" w:rsidP="00C33D4A">
            <w:pPr>
              <w:autoSpaceDE w:val="0"/>
              <w:autoSpaceDN w:val="0"/>
              <w:adjustRightInd w:val="0"/>
              <w:spacing w:before="120" w:after="120"/>
              <w:rPr>
                <w:sz w:val="16"/>
                <w:szCs w:val="16"/>
                <w:lang w:val="es-ES_tradnl"/>
              </w:rPr>
            </w:pPr>
          </w:p>
          <w:p w:rsidR="00B070BF" w:rsidRPr="009577DE" w:rsidRDefault="00B070BF" w:rsidP="00C33D4A">
            <w:pPr>
              <w:autoSpaceDE w:val="0"/>
              <w:autoSpaceDN w:val="0"/>
              <w:adjustRightInd w:val="0"/>
              <w:spacing w:after="120"/>
              <w:rPr>
                <w:sz w:val="16"/>
                <w:szCs w:val="16"/>
                <w:lang w:val="es-ES_tradnl"/>
              </w:rPr>
            </w:pPr>
          </w:p>
        </w:tc>
        <w:tc>
          <w:tcPr>
            <w:tcW w:w="3260" w:type="dxa"/>
          </w:tcPr>
          <w:p w:rsidR="00B070BF" w:rsidRPr="009577DE" w:rsidRDefault="00B070BF" w:rsidP="00C33D4A">
            <w:pPr>
              <w:autoSpaceDE w:val="0"/>
              <w:autoSpaceDN w:val="0"/>
              <w:adjustRightInd w:val="0"/>
              <w:spacing w:before="120" w:after="120"/>
              <w:rPr>
                <w:sz w:val="16"/>
                <w:szCs w:val="16"/>
                <w:lang w:val="es-ES_tradnl"/>
              </w:rPr>
            </w:pPr>
            <w:r w:rsidRPr="009577DE">
              <w:rPr>
                <w:sz w:val="16"/>
                <w:szCs w:val="16"/>
                <w:lang w:val="es-ES_tradnl"/>
              </w:rPr>
              <w:t xml:space="preserve">i) Facilitar la comprensión por los participantes de los principales instrumentos de P.I. y de cómo pueden ser utilizados por las empresas, en particular las pymes, para aumentar su competitividad;  ii) intercambiar opiniones sobre cómo pueden las pymes del Pakistán utilizar el </w:t>
            </w:r>
            <w:r w:rsidRPr="009577DE">
              <w:rPr>
                <w:snapToGrid w:val="0"/>
                <w:sz w:val="16"/>
                <w:szCs w:val="16"/>
                <w:lang w:val="es-ES_tradnl"/>
              </w:rPr>
              <w:t>sistema de P.I. con mayor eficacia</w:t>
            </w:r>
            <w:r w:rsidRPr="009577DE">
              <w:rPr>
                <w:sz w:val="16"/>
                <w:szCs w:val="16"/>
                <w:lang w:val="es-ES_tradnl"/>
              </w:rPr>
              <w:t xml:space="preserve">;  y iii) reconocer las medidas que pueden tomarse para fomentar el uso del </w:t>
            </w:r>
            <w:r w:rsidRPr="009577DE">
              <w:rPr>
                <w:snapToGrid w:val="0"/>
                <w:sz w:val="16"/>
                <w:szCs w:val="16"/>
                <w:lang w:val="es-ES_tradnl"/>
              </w:rPr>
              <w:t>sistema de P.I. por las pymes en el Pakistán</w:t>
            </w:r>
            <w:r w:rsidRPr="009577DE">
              <w:rPr>
                <w:sz w:val="16"/>
                <w:szCs w:val="16"/>
                <w:lang w:val="es-ES_tradnl"/>
              </w:rPr>
              <w:t>.</w:t>
            </w:r>
          </w:p>
        </w:tc>
      </w:tr>
      <w:tr w:rsidR="00B070BF" w:rsidRPr="009577DE" w:rsidTr="00C33D4A">
        <w:trPr>
          <w:trHeight w:val="528"/>
        </w:trPr>
        <w:tc>
          <w:tcPr>
            <w:tcW w:w="1843" w:type="dxa"/>
          </w:tcPr>
          <w:p w:rsidR="00B070BF" w:rsidRPr="009577DE" w:rsidRDefault="00B070BF" w:rsidP="00C33D4A">
            <w:pPr>
              <w:autoSpaceDE w:val="0"/>
              <w:autoSpaceDN w:val="0"/>
              <w:adjustRightInd w:val="0"/>
              <w:rPr>
                <w:sz w:val="8"/>
                <w:szCs w:val="8"/>
                <w:lang w:val="es-ES_tradnl"/>
              </w:rPr>
            </w:pPr>
          </w:p>
          <w:p w:rsidR="00B070BF" w:rsidRPr="009577DE" w:rsidRDefault="00B070BF" w:rsidP="00C33D4A">
            <w:pPr>
              <w:autoSpaceDE w:val="0"/>
              <w:autoSpaceDN w:val="0"/>
              <w:adjustRightInd w:val="0"/>
              <w:rPr>
                <w:sz w:val="16"/>
                <w:szCs w:val="16"/>
                <w:lang w:val="es-ES_tradnl"/>
              </w:rPr>
            </w:pPr>
            <w:r w:rsidRPr="009577DE">
              <w:rPr>
                <w:sz w:val="16"/>
                <w:szCs w:val="16"/>
                <w:lang w:val="es-ES_tradnl"/>
              </w:rPr>
              <w:t>Taller sobre gestión por resultados y planificación financiera/de los recursos humanos.</w:t>
            </w:r>
          </w:p>
        </w:tc>
        <w:tc>
          <w:tcPr>
            <w:tcW w:w="1134" w:type="dxa"/>
          </w:tcPr>
          <w:p w:rsidR="00B070BF" w:rsidRPr="009577DE" w:rsidRDefault="00B070BF" w:rsidP="00C33D4A">
            <w:pPr>
              <w:autoSpaceDE w:val="0"/>
              <w:autoSpaceDN w:val="0"/>
              <w:adjustRightInd w:val="0"/>
              <w:spacing w:before="120" w:after="120"/>
              <w:rPr>
                <w:sz w:val="16"/>
                <w:szCs w:val="16"/>
                <w:lang w:val="es-ES_tradnl"/>
              </w:rPr>
            </w:pPr>
            <w:r w:rsidRPr="009577DE">
              <w:rPr>
                <w:sz w:val="16"/>
                <w:szCs w:val="16"/>
                <w:lang w:val="es-ES_tradnl"/>
              </w:rPr>
              <w:t>19 y 20 de septiembre de 2012</w:t>
            </w:r>
          </w:p>
        </w:tc>
        <w:tc>
          <w:tcPr>
            <w:tcW w:w="2835" w:type="dxa"/>
          </w:tcPr>
          <w:p w:rsidR="00B070BF" w:rsidRPr="009577DE" w:rsidRDefault="00B070BF" w:rsidP="00C33D4A">
            <w:pPr>
              <w:autoSpaceDE w:val="0"/>
              <w:autoSpaceDN w:val="0"/>
              <w:adjustRightInd w:val="0"/>
              <w:spacing w:before="120" w:after="120"/>
              <w:rPr>
                <w:sz w:val="16"/>
                <w:szCs w:val="16"/>
                <w:lang w:val="es-ES_tradnl"/>
              </w:rPr>
            </w:pPr>
            <w:r w:rsidRPr="009577DE">
              <w:rPr>
                <w:sz w:val="16"/>
                <w:szCs w:val="16"/>
                <w:lang w:val="es-ES_tradnl"/>
              </w:rPr>
              <w:t>15 funcionarios de la Oficina de P.I. del Pakistán</w:t>
            </w:r>
          </w:p>
        </w:tc>
        <w:tc>
          <w:tcPr>
            <w:tcW w:w="3260" w:type="dxa"/>
          </w:tcPr>
          <w:p w:rsidR="00B070BF" w:rsidRPr="009577DE" w:rsidRDefault="00B070BF" w:rsidP="00C33D4A">
            <w:pPr>
              <w:autoSpaceDE w:val="0"/>
              <w:autoSpaceDN w:val="0"/>
              <w:adjustRightInd w:val="0"/>
              <w:spacing w:before="120" w:after="120"/>
              <w:rPr>
                <w:sz w:val="16"/>
                <w:szCs w:val="16"/>
                <w:lang w:val="es-ES_tradnl"/>
              </w:rPr>
            </w:pPr>
            <w:r w:rsidRPr="009577DE">
              <w:rPr>
                <w:sz w:val="16"/>
                <w:szCs w:val="16"/>
                <w:lang w:val="es-ES_tradnl"/>
              </w:rPr>
              <w:t>Dotar a los funcionarios directivos y administrativos de la Oficina de P.I. del Pakistán de instrumentos modernos y de aptitudes para la gestión sistemática del presupuesto por programas de la Oficina, entre otras cosas:  i) planificación estratégica en materia de recursos humanos;  ii) gestión por resultados;  iii) preparación de planes de desarrollo institucional;  iv) elaboración y gestión de proyectos;  v) técnicas de redacción de informes/documentos;  vi) sistemas modernos de contabilidad;  y vii) preparación y planificación del presupuesto.</w:t>
            </w:r>
          </w:p>
        </w:tc>
      </w:tr>
      <w:tr w:rsidR="00B070BF" w:rsidRPr="009577DE" w:rsidTr="00C33D4A">
        <w:trPr>
          <w:trHeight w:val="371"/>
        </w:trPr>
        <w:tc>
          <w:tcPr>
            <w:tcW w:w="1843" w:type="dxa"/>
            <w:tcBorders>
              <w:bottom w:val="single" w:sz="4" w:space="0" w:color="000000"/>
            </w:tcBorders>
          </w:tcPr>
          <w:p w:rsidR="00B070BF" w:rsidRPr="009577DE" w:rsidRDefault="00B070BF" w:rsidP="00C33D4A">
            <w:pPr>
              <w:autoSpaceDE w:val="0"/>
              <w:autoSpaceDN w:val="0"/>
              <w:adjustRightInd w:val="0"/>
              <w:spacing w:before="120" w:after="120"/>
              <w:rPr>
                <w:sz w:val="16"/>
                <w:szCs w:val="16"/>
                <w:lang w:val="es-ES_tradnl"/>
              </w:rPr>
            </w:pPr>
            <w:r w:rsidRPr="009577DE">
              <w:rPr>
                <w:sz w:val="16"/>
                <w:szCs w:val="16"/>
                <w:lang w:val="es-ES_tradnl"/>
              </w:rPr>
              <w:t>Coloquio para jueces sobre observancia de los derechos de P.I. (OMPI, Oficina de Singapur).</w:t>
            </w:r>
          </w:p>
        </w:tc>
        <w:tc>
          <w:tcPr>
            <w:tcW w:w="1134" w:type="dxa"/>
            <w:tcBorders>
              <w:bottom w:val="single" w:sz="4" w:space="0" w:color="000000"/>
            </w:tcBorders>
          </w:tcPr>
          <w:p w:rsidR="00B070BF" w:rsidRPr="009577DE" w:rsidRDefault="00B070BF" w:rsidP="00C33D4A">
            <w:pPr>
              <w:autoSpaceDE w:val="0"/>
              <w:autoSpaceDN w:val="0"/>
              <w:adjustRightInd w:val="0"/>
              <w:spacing w:before="120" w:after="120"/>
              <w:rPr>
                <w:sz w:val="16"/>
                <w:szCs w:val="16"/>
                <w:lang w:val="es-ES_tradnl"/>
              </w:rPr>
            </w:pPr>
            <w:r w:rsidRPr="009577DE">
              <w:rPr>
                <w:sz w:val="16"/>
                <w:szCs w:val="16"/>
                <w:lang w:val="es-ES_tradnl"/>
              </w:rPr>
              <w:t>26 y 27 de septiembre de 2012</w:t>
            </w:r>
          </w:p>
        </w:tc>
        <w:tc>
          <w:tcPr>
            <w:tcW w:w="2835" w:type="dxa"/>
            <w:tcBorders>
              <w:bottom w:val="single" w:sz="4" w:space="0" w:color="000000"/>
            </w:tcBorders>
          </w:tcPr>
          <w:p w:rsidR="00B070BF" w:rsidRPr="009577DE" w:rsidRDefault="00B070BF" w:rsidP="00C33D4A">
            <w:pPr>
              <w:autoSpaceDE w:val="0"/>
              <w:autoSpaceDN w:val="0"/>
              <w:adjustRightInd w:val="0"/>
              <w:spacing w:before="120" w:after="120"/>
              <w:rPr>
                <w:sz w:val="16"/>
                <w:szCs w:val="16"/>
                <w:lang w:val="es-ES_tradnl"/>
              </w:rPr>
            </w:pPr>
            <w:r w:rsidRPr="009577DE">
              <w:rPr>
                <w:sz w:val="16"/>
                <w:szCs w:val="16"/>
                <w:lang w:val="es-ES_tradnl"/>
              </w:rPr>
              <w:t>Pakistán</w:t>
            </w:r>
          </w:p>
          <w:p w:rsidR="00B070BF" w:rsidRPr="009577DE" w:rsidRDefault="00B070BF" w:rsidP="00C33D4A">
            <w:pPr>
              <w:autoSpaceDE w:val="0"/>
              <w:autoSpaceDN w:val="0"/>
              <w:adjustRightInd w:val="0"/>
              <w:spacing w:before="120" w:after="120"/>
              <w:rPr>
                <w:sz w:val="16"/>
                <w:szCs w:val="16"/>
                <w:lang w:val="es-ES_tradnl"/>
              </w:rPr>
            </w:pPr>
            <w:r w:rsidRPr="009577DE">
              <w:rPr>
                <w:sz w:val="16"/>
                <w:szCs w:val="16"/>
                <w:lang w:val="es-ES_tradnl"/>
              </w:rPr>
              <w:t>18 participantes (jueces civiles/penales, Academia Federal de la Judicatura y funcionarios de la Oficina de P.I. del Pakistán).</w:t>
            </w:r>
          </w:p>
        </w:tc>
        <w:tc>
          <w:tcPr>
            <w:tcW w:w="3260" w:type="dxa"/>
            <w:tcBorders>
              <w:bottom w:val="single" w:sz="4" w:space="0" w:color="000000"/>
            </w:tcBorders>
          </w:tcPr>
          <w:p w:rsidR="00B070BF" w:rsidRPr="009577DE" w:rsidRDefault="00B070BF" w:rsidP="00C33D4A">
            <w:pPr>
              <w:autoSpaceDE w:val="0"/>
              <w:autoSpaceDN w:val="0"/>
              <w:adjustRightInd w:val="0"/>
              <w:spacing w:before="120" w:after="120"/>
              <w:rPr>
                <w:sz w:val="16"/>
                <w:szCs w:val="16"/>
                <w:lang w:val="es-ES_tradnl"/>
              </w:rPr>
            </w:pPr>
            <w:r w:rsidRPr="009577DE">
              <w:rPr>
                <w:sz w:val="16"/>
                <w:szCs w:val="16"/>
                <w:lang w:val="es-ES_tradnl"/>
              </w:rPr>
              <w:t>i) Examinar el alcance y la incidencia de la falsificación, entre otras cosas, la necesidad de sensibilizar al público como alternativa a las medidas punitivas;  ii) examinar la justificación de las sanciones penales, los elementos de los delitos de P.I., las necesidades en materia de prueba, las medidas y las órdenes provisionales, así como las opciones de proporcionalidad de la sentencia;  iii) examinar un enfoque estratégico de la observancia, teniendo en mente los desafíos socioeconómicos que se plantean en el Pakistán;  y iv) estudiar cuestiones de actualidad, entre otras, la cooperación eficaz entre los sectores público y privado.</w:t>
            </w:r>
          </w:p>
        </w:tc>
      </w:tr>
      <w:tr w:rsidR="00B070BF" w:rsidRPr="009577DE" w:rsidTr="00C33D4A">
        <w:tc>
          <w:tcPr>
            <w:tcW w:w="9072" w:type="dxa"/>
            <w:gridSpan w:val="4"/>
            <w:tcBorders>
              <w:top w:val="single" w:sz="4" w:space="0" w:color="000000"/>
              <w:bottom w:val="single" w:sz="4" w:space="0" w:color="000000"/>
            </w:tcBorders>
            <w:shd w:val="clear" w:color="auto" w:fill="CCFFFF"/>
            <w:vAlign w:val="center"/>
          </w:tcPr>
          <w:p w:rsidR="00B070BF" w:rsidRPr="009577DE" w:rsidRDefault="00B070BF" w:rsidP="00C33D4A">
            <w:pPr>
              <w:keepNext/>
              <w:keepLines/>
              <w:tabs>
                <w:tab w:val="left" w:pos="1740"/>
              </w:tabs>
              <w:spacing w:before="120" w:after="120"/>
              <w:ind w:left="1740" w:hanging="1740"/>
              <w:rPr>
                <w:b/>
                <w:bCs/>
                <w:sz w:val="16"/>
                <w:szCs w:val="16"/>
                <w:lang w:val="es-ES_tradnl"/>
              </w:rPr>
            </w:pPr>
            <w:r w:rsidRPr="009577DE">
              <w:rPr>
                <w:b/>
                <w:bCs/>
                <w:sz w:val="16"/>
                <w:szCs w:val="16"/>
                <w:lang w:val="es-ES_tradnl"/>
              </w:rPr>
              <w:t>RESULTADO:</w:t>
            </w:r>
            <w:r w:rsidRPr="009577DE">
              <w:rPr>
                <w:b/>
                <w:bCs/>
                <w:sz w:val="16"/>
                <w:szCs w:val="16"/>
                <w:lang w:val="es-ES_tradnl"/>
              </w:rPr>
              <w:tab/>
            </w:r>
            <w:r w:rsidRPr="009577DE">
              <w:rPr>
                <w:bCs/>
                <w:sz w:val="16"/>
                <w:szCs w:val="16"/>
                <w:lang w:val="es-ES_tradnl"/>
              </w:rPr>
              <w:t>Mejora en la infraestructura técnica y de conocimientos de las oficinas y demás instituciones de P.I. que les permite prestar mejores servicios (más económicos, más rápidos y de mejor calidad) a sus usuarios</w:t>
            </w:r>
          </w:p>
        </w:tc>
      </w:tr>
      <w:tr w:rsidR="00B070BF" w:rsidRPr="009577DE" w:rsidTr="00C33D4A">
        <w:tc>
          <w:tcPr>
            <w:tcW w:w="1843" w:type="dxa"/>
            <w:tcBorders>
              <w:top w:val="single" w:sz="4" w:space="0" w:color="000000"/>
            </w:tcBorders>
            <w:vAlign w:val="center"/>
          </w:tcPr>
          <w:p w:rsidR="00B070BF" w:rsidRPr="009577DE" w:rsidRDefault="00B070BF" w:rsidP="00C33D4A">
            <w:pPr>
              <w:keepNext/>
              <w:keepLines/>
              <w:rPr>
                <w:b/>
                <w:bCs/>
                <w:sz w:val="16"/>
                <w:szCs w:val="16"/>
                <w:lang w:val="es-ES_tradnl"/>
              </w:rPr>
            </w:pPr>
            <w:r w:rsidRPr="009577DE">
              <w:rPr>
                <w:b/>
                <w:bCs/>
                <w:sz w:val="16"/>
                <w:szCs w:val="16"/>
                <w:lang w:val="es-ES_tradnl"/>
              </w:rPr>
              <w:t>Actividad</w:t>
            </w:r>
          </w:p>
        </w:tc>
        <w:tc>
          <w:tcPr>
            <w:tcW w:w="1134" w:type="dxa"/>
            <w:tcBorders>
              <w:top w:val="single" w:sz="4" w:space="0" w:color="000000"/>
            </w:tcBorders>
            <w:shd w:val="clear" w:color="auto" w:fill="auto"/>
            <w:tcMar>
              <w:top w:w="110" w:type="dxa"/>
            </w:tcMar>
            <w:vAlign w:val="center"/>
          </w:tcPr>
          <w:p w:rsidR="00B070BF" w:rsidRPr="009577DE" w:rsidRDefault="00B070BF" w:rsidP="00C33D4A">
            <w:pPr>
              <w:keepNext/>
              <w:keepLines/>
              <w:rPr>
                <w:sz w:val="16"/>
                <w:szCs w:val="16"/>
                <w:lang w:val="es-ES_tradnl"/>
              </w:rPr>
            </w:pPr>
            <w:r w:rsidRPr="009577DE">
              <w:rPr>
                <w:b/>
                <w:bCs/>
                <w:sz w:val="16"/>
                <w:szCs w:val="16"/>
                <w:lang w:val="es-ES_tradnl"/>
              </w:rPr>
              <w:t>Fecha</w:t>
            </w:r>
          </w:p>
        </w:tc>
        <w:tc>
          <w:tcPr>
            <w:tcW w:w="2835" w:type="dxa"/>
            <w:tcBorders>
              <w:top w:val="single" w:sz="4" w:space="0" w:color="000000"/>
            </w:tcBorders>
            <w:shd w:val="clear" w:color="auto" w:fill="auto"/>
            <w:tcMar>
              <w:top w:w="110" w:type="dxa"/>
            </w:tcMar>
            <w:vAlign w:val="center"/>
          </w:tcPr>
          <w:p w:rsidR="00B070BF" w:rsidRPr="009577DE" w:rsidRDefault="00B070BF" w:rsidP="00C33D4A">
            <w:pPr>
              <w:keepNext/>
              <w:keepLines/>
              <w:rPr>
                <w:sz w:val="16"/>
                <w:szCs w:val="16"/>
                <w:lang w:val="es-ES_tradnl"/>
              </w:rPr>
            </w:pPr>
            <w:r w:rsidRPr="009577DE">
              <w:rPr>
                <w:b/>
                <w:bCs/>
                <w:sz w:val="16"/>
                <w:szCs w:val="16"/>
                <w:lang w:val="es-ES_tradnl"/>
              </w:rPr>
              <w:t>País anfitrión/Beneficiarios</w:t>
            </w:r>
          </w:p>
        </w:tc>
        <w:tc>
          <w:tcPr>
            <w:tcW w:w="3260" w:type="dxa"/>
            <w:tcBorders>
              <w:top w:val="single" w:sz="4" w:space="0" w:color="000000"/>
            </w:tcBorders>
            <w:shd w:val="clear" w:color="auto" w:fill="FFFFFF"/>
            <w:tcMar>
              <w:top w:w="110" w:type="dxa"/>
            </w:tcMar>
            <w:vAlign w:val="center"/>
          </w:tcPr>
          <w:p w:rsidR="00B070BF" w:rsidRPr="009577DE" w:rsidRDefault="00B070BF" w:rsidP="00C33D4A">
            <w:pPr>
              <w:keepNext/>
              <w:keepLines/>
              <w:rPr>
                <w:sz w:val="16"/>
                <w:szCs w:val="16"/>
                <w:lang w:val="es-ES_tradnl"/>
              </w:rPr>
            </w:pPr>
            <w:r w:rsidRPr="009577DE">
              <w:rPr>
                <w:b/>
                <w:bCs/>
                <w:sz w:val="16"/>
                <w:szCs w:val="16"/>
                <w:lang w:val="es-ES_tradnl"/>
              </w:rPr>
              <w:t>Propósito/Descripción</w:t>
            </w:r>
          </w:p>
        </w:tc>
      </w:tr>
      <w:tr w:rsidR="00B070BF" w:rsidRPr="009577DE" w:rsidTr="00C33D4A">
        <w:trPr>
          <w:trHeight w:val="515"/>
        </w:trPr>
        <w:tc>
          <w:tcPr>
            <w:tcW w:w="1843" w:type="dxa"/>
          </w:tcPr>
          <w:p w:rsidR="00B070BF" w:rsidRPr="009577DE" w:rsidRDefault="00B070BF" w:rsidP="00C33D4A">
            <w:pPr>
              <w:autoSpaceDE w:val="0"/>
              <w:autoSpaceDN w:val="0"/>
              <w:adjustRightInd w:val="0"/>
              <w:spacing w:before="120" w:after="120"/>
              <w:rPr>
                <w:sz w:val="16"/>
                <w:szCs w:val="16"/>
                <w:lang w:val="es-ES_tradnl"/>
              </w:rPr>
            </w:pPr>
            <w:r w:rsidRPr="009577DE">
              <w:rPr>
                <w:sz w:val="16"/>
                <w:szCs w:val="16"/>
                <w:lang w:val="es-ES_tradnl"/>
              </w:rPr>
              <w:t xml:space="preserve">Misión de asesoramiento sobre Infraestructura de T.I. (Parte 2) </w:t>
            </w:r>
          </w:p>
        </w:tc>
        <w:tc>
          <w:tcPr>
            <w:tcW w:w="1134" w:type="dxa"/>
          </w:tcPr>
          <w:p w:rsidR="00B070BF" w:rsidRPr="009577DE" w:rsidRDefault="00B070BF" w:rsidP="00C33D4A">
            <w:pPr>
              <w:autoSpaceDE w:val="0"/>
              <w:autoSpaceDN w:val="0"/>
              <w:adjustRightInd w:val="0"/>
              <w:spacing w:before="120" w:after="120"/>
              <w:rPr>
                <w:sz w:val="16"/>
                <w:szCs w:val="16"/>
                <w:lang w:val="es-ES_tradnl"/>
              </w:rPr>
            </w:pPr>
            <w:r w:rsidRPr="009577DE">
              <w:rPr>
                <w:sz w:val="16"/>
                <w:szCs w:val="16"/>
                <w:lang w:val="es-ES_tradnl"/>
              </w:rPr>
              <w:t>9 a 13 de enero de 2012</w:t>
            </w:r>
          </w:p>
        </w:tc>
        <w:tc>
          <w:tcPr>
            <w:tcW w:w="2835" w:type="dxa"/>
          </w:tcPr>
          <w:p w:rsidR="00B070BF" w:rsidRPr="009577DE" w:rsidRDefault="00B070BF" w:rsidP="00C33D4A">
            <w:pPr>
              <w:autoSpaceDE w:val="0"/>
              <w:autoSpaceDN w:val="0"/>
              <w:adjustRightInd w:val="0"/>
              <w:spacing w:before="120" w:after="120"/>
              <w:rPr>
                <w:sz w:val="16"/>
                <w:szCs w:val="16"/>
                <w:lang w:val="es-ES_tradnl"/>
              </w:rPr>
            </w:pPr>
            <w:r w:rsidRPr="009577DE">
              <w:rPr>
                <w:sz w:val="16"/>
                <w:szCs w:val="16"/>
                <w:lang w:val="es-ES_tradnl"/>
              </w:rPr>
              <w:t>Pakistán</w:t>
            </w:r>
          </w:p>
        </w:tc>
        <w:tc>
          <w:tcPr>
            <w:tcW w:w="3260" w:type="dxa"/>
          </w:tcPr>
          <w:p w:rsidR="00B070BF" w:rsidRPr="009577DE" w:rsidRDefault="00B070BF" w:rsidP="00C33D4A">
            <w:pPr>
              <w:autoSpaceDE w:val="0"/>
              <w:autoSpaceDN w:val="0"/>
              <w:adjustRightInd w:val="0"/>
              <w:spacing w:before="120" w:after="120"/>
              <w:rPr>
                <w:sz w:val="16"/>
                <w:szCs w:val="16"/>
                <w:lang w:val="es-ES_tradnl"/>
              </w:rPr>
            </w:pPr>
            <w:r w:rsidRPr="009577DE">
              <w:rPr>
                <w:sz w:val="16"/>
                <w:szCs w:val="16"/>
                <w:lang w:val="es-ES_tradnl"/>
              </w:rPr>
              <w:t xml:space="preserve">i) Examinar la situación actual de las salas de servidores en los Registros de P.I., con miras a consolidarlas en un único centro de datos;  ii) examinar las normas vigentes en materia de T.I. y de P.I.;  iii) examinar el </w:t>
            </w:r>
            <w:r w:rsidRPr="009577DE">
              <w:rPr>
                <w:i/>
                <w:sz w:val="16"/>
                <w:szCs w:val="16"/>
                <w:lang w:val="es-ES_tradnl"/>
              </w:rPr>
              <w:t>hardware</w:t>
            </w:r>
            <w:r w:rsidRPr="009577DE">
              <w:rPr>
                <w:sz w:val="16"/>
                <w:szCs w:val="16"/>
                <w:lang w:val="es-ES_tradnl"/>
              </w:rPr>
              <w:t xml:space="preserve">, el </w:t>
            </w:r>
            <w:r w:rsidRPr="009577DE">
              <w:rPr>
                <w:i/>
                <w:sz w:val="16"/>
                <w:szCs w:val="16"/>
                <w:lang w:val="es-ES_tradnl"/>
              </w:rPr>
              <w:t>software</w:t>
            </w:r>
            <w:r w:rsidRPr="009577DE">
              <w:rPr>
                <w:sz w:val="16"/>
                <w:szCs w:val="16"/>
                <w:lang w:val="es-ES_tradnl"/>
              </w:rPr>
              <w:t xml:space="preserve"> y los componentes de los sistemas de seguridad informática y de Internet;  y iv) examinar los mecanismos vigentes de salvaguardia/recuperación.</w:t>
            </w:r>
          </w:p>
        </w:tc>
      </w:tr>
      <w:tr w:rsidR="00B070BF" w:rsidRPr="009577DE" w:rsidTr="00C33D4A">
        <w:trPr>
          <w:trHeight w:val="473"/>
        </w:trPr>
        <w:tc>
          <w:tcPr>
            <w:tcW w:w="1843" w:type="dxa"/>
          </w:tcPr>
          <w:p w:rsidR="00B070BF" w:rsidRPr="009577DE" w:rsidRDefault="00B070BF" w:rsidP="00C33D4A">
            <w:pPr>
              <w:widowControl w:val="0"/>
              <w:autoSpaceDE w:val="0"/>
              <w:autoSpaceDN w:val="0"/>
              <w:adjustRightInd w:val="0"/>
              <w:spacing w:before="120" w:after="120"/>
              <w:rPr>
                <w:sz w:val="16"/>
                <w:szCs w:val="16"/>
                <w:lang w:val="es-ES_tradnl"/>
              </w:rPr>
            </w:pPr>
            <w:r w:rsidRPr="009577DE">
              <w:rPr>
                <w:sz w:val="16"/>
                <w:szCs w:val="16"/>
                <w:lang w:val="es-ES_tradnl"/>
              </w:rPr>
              <w:t>Primera sesión de formación en tecnología, en Karachi (Pakistán) con el tema:  Administración de sistemas.</w:t>
            </w:r>
          </w:p>
        </w:tc>
        <w:tc>
          <w:tcPr>
            <w:tcW w:w="1134" w:type="dxa"/>
          </w:tcPr>
          <w:p w:rsidR="00B070BF" w:rsidRPr="009577DE" w:rsidRDefault="00B070BF" w:rsidP="00C33D4A">
            <w:pPr>
              <w:widowControl w:val="0"/>
              <w:autoSpaceDE w:val="0"/>
              <w:autoSpaceDN w:val="0"/>
              <w:adjustRightInd w:val="0"/>
              <w:spacing w:before="120" w:after="120"/>
              <w:rPr>
                <w:sz w:val="16"/>
                <w:szCs w:val="16"/>
                <w:lang w:val="es-ES_tradnl"/>
              </w:rPr>
            </w:pPr>
            <w:r w:rsidRPr="009577DE">
              <w:rPr>
                <w:sz w:val="16"/>
                <w:szCs w:val="16"/>
                <w:lang w:val="es-ES_tradnl"/>
              </w:rPr>
              <w:t>2 a 6 de abril de 2012</w:t>
            </w:r>
          </w:p>
          <w:p w:rsidR="00B070BF" w:rsidRPr="009577DE" w:rsidRDefault="00B070BF" w:rsidP="00C33D4A">
            <w:pPr>
              <w:widowControl w:val="0"/>
              <w:autoSpaceDE w:val="0"/>
              <w:autoSpaceDN w:val="0"/>
              <w:adjustRightInd w:val="0"/>
              <w:spacing w:before="120" w:after="120"/>
              <w:rPr>
                <w:sz w:val="16"/>
                <w:szCs w:val="16"/>
                <w:lang w:val="es-ES_tradnl"/>
              </w:rPr>
            </w:pPr>
          </w:p>
        </w:tc>
        <w:tc>
          <w:tcPr>
            <w:tcW w:w="2835" w:type="dxa"/>
          </w:tcPr>
          <w:p w:rsidR="00B070BF" w:rsidRPr="009577DE" w:rsidRDefault="00B070BF" w:rsidP="00C33D4A">
            <w:pPr>
              <w:widowControl w:val="0"/>
              <w:autoSpaceDE w:val="0"/>
              <w:autoSpaceDN w:val="0"/>
              <w:adjustRightInd w:val="0"/>
              <w:spacing w:before="120" w:after="120"/>
              <w:rPr>
                <w:sz w:val="16"/>
                <w:szCs w:val="16"/>
                <w:lang w:val="es-ES_tradnl"/>
              </w:rPr>
            </w:pPr>
            <w:r w:rsidRPr="009577DE">
              <w:rPr>
                <w:sz w:val="16"/>
                <w:szCs w:val="16"/>
                <w:lang w:val="es-ES_tradnl"/>
              </w:rPr>
              <w:t>Pakistán</w:t>
            </w:r>
          </w:p>
          <w:p w:rsidR="00B070BF" w:rsidRPr="009577DE" w:rsidRDefault="00B070BF" w:rsidP="00C33D4A">
            <w:pPr>
              <w:widowControl w:val="0"/>
              <w:autoSpaceDE w:val="0"/>
              <w:autoSpaceDN w:val="0"/>
              <w:adjustRightInd w:val="0"/>
              <w:spacing w:before="120" w:after="120"/>
              <w:rPr>
                <w:sz w:val="16"/>
                <w:szCs w:val="16"/>
                <w:lang w:val="es-ES_tradnl"/>
              </w:rPr>
            </w:pPr>
            <w:r w:rsidRPr="009577DE">
              <w:rPr>
                <w:sz w:val="16"/>
                <w:szCs w:val="16"/>
                <w:lang w:val="es-ES_tradnl"/>
              </w:rPr>
              <w:t>12 miembros del personal de T.I. de la oficina de P.I. del Pakistán</w:t>
            </w:r>
            <w:r w:rsidRPr="009577DE">
              <w:rPr>
                <w:sz w:val="16"/>
                <w:szCs w:val="16"/>
                <w:lang w:val="es-ES_tradnl"/>
              </w:rPr>
              <w:br/>
            </w:r>
            <w:r w:rsidRPr="009577DE">
              <w:rPr>
                <w:sz w:val="16"/>
                <w:szCs w:val="16"/>
                <w:lang w:val="es-ES_tradnl"/>
              </w:rPr>
              <w:br/>
            </w:r>
          </w:p>
        </w:tc>
        <w:tc>
          <w:tcPr>
            <w:tcW w:w="3260" w:type="dxa"/>
          </w:tcPr>
          <w:p w:rsidR="00B070BF" w:rsidRPr="009577DE" w:rsidRDefault="00B070BF" w:rsidP="00C33D4A">
            <w:pPr>
              <w:widowControl w:val="0"/>
              <w:autoSpaceDE w:val="0"/>
              <w:autoSpaceDN w:val="0"/>
              <w:adjustRightInd w:val="0"/>
              <w:spacing w:before="120" w:after="120"/>
              <w:rPr>
                <w:sz w:val="16"/>
                <w:szCs w:val="16"/>
                <w:lang w:val="es-ES_tradnl"/>
              </w:rPr>
            </w:pPr>
            <w:r w:rsidRPr="009577DE">
              <w:rPr>
                <w:sz w:val="16"/>
                <w:szCs w:val="16"/>
                <w:lang w:val="es-ES_tradnl"/>
              </w:rPr>
              <w:t>Mejorar las aptitudes técnicas y los conocimientos especializados del personal de T.I. de la oficina de P.I. del Pakistán sobre mantenimiento y apoyo de sistemas de automatización y redes en los Registros de P.I.</w:t>
            </w:r>
          </w:p>
        </w:tc>
      </w:tr>
      <w:tr w:rsidR="00B070BF" w:rsidRPr="009577DE" w:rsidTr="00C33D4A">
        <w:trPr>
          <w:trHeight w:val="473"/>
        </w:trPr>
        <w:tc>
          <w:tcPr>
            <w:tcW w:w="1843" w:type="dxa"/>
          </w:tcPr>
          <w:p w:rsidR="00B070BF" w:rsidRPr="009577DE" w:rsidRDefault="00B070BF" w:rsidP="00C33D4A">
            <w:pPr>
              <w:keepNext/>
              <w:widowControl w:val="0"/>
              <w:autoSpaceDE w:val="0"/>
              <w:autoSpaceDN w:val="0"/>
              <w:adjustRightInd w:val="0"/>
              <w:spacing w:before="120" w:after="120"/>
              <w:rPr>
                <w:sz w:val="16"/>
                <w:szCs w:val="16"/>
                <w:lang w:val="es-ES_tradnl"/>
              </w:rPr>
            </w:pPr>
            <w:r w:rsidRPr="009577DE">
              <w:rPr>
                <w:sz w:val="16"/>
                <w:szCs w:val="16"/>
                <w:lang w:val="es-ES_tradnl"/>
              </w:rPr>
              <w:lastRenderedPageBreak/>
              <w:t>Formación en videoconferencia / Skype y sesiones de apoyo sobre digitalización e IPAS Java.</w:t>
            </w:r>
            <w:r w:rsidRPr="009577DE">
              <w:rPr>
                <w:sz w:val="16"/>
                <w:szCs w:val="16"/>
                <w:lang w:val="es-ES_tradnl"/>
              </w:rPr>
              <w:br/>
            </w:r>
          </w:p>
        </w:tc>
        <w:tc>
          <w:tcPr>
            <w:tcW w:w="1134" w:type="dxa"/>
          </w:tcPr>
          <w:p w:rsidR="00B070BF" w:rsidRPr="009577DE" w:rsidRDefault="00B070BF" w:rsidP="00C33D4A">
            <w:pPr>
              <w:keepNext/>
              <w:widowControl w:val="0"/>
              <w:autoSpaceDE w:val="0"/>
              <w:autoSpaceDN w:val="0"/>
              <w:adjustRightInd w:val="0"/>
              <w:spacing w:before="120" w:after="120"/>
              <w:rPr>
                <w:sz w:val="16"/>
                <w:szCs w:val="16"/>
                <w:lang w:val="es-ES_tradnl"/>
              </w:rPr>
            </w:pPr>
            <w:r w:rsidRPr="009577DE">
              <w:rPr>
                <w:sz w:val="16"/>
                <w:szCs w:val="16"/>
                <w:lang w:val="es-ES_tradnl"/>
              </w:rPr>
              <w:t>Segundo semestre de 2012</w:t>
            </w:r>
          </w:p>
          <w:p w:rsidR="00B070BF" w:rsidRPr="009577DE" w:rsidRDefault="00B070BF" w:rsidP="00C33D4A">
            <w:pPr>
              <w:keepNext/>
              <w:widowControl w:val="0"/>
              <w:autoSpaceDE w:val="0"/>
              <w:autoSpaceDN w:val="0"/>
              <w:adjustRightInd w:val="0"/>
              <w:spacing w:before="120" w:after="120"/>
              <w:rPr>
                <w:sz w:val="16"/>
                <w:szCs w:val="16"/>
                <w:lang w:val="es-ES_tradnl"/>
              </w:rPr>
            </w:pPr>
            <w:r w:rsidRPr="009577DE">
              <w:rPr>
                <w:sz w:val="16"/>
                <w:szCs w:val="16"/>
                <w:lang w:val="es-ES_tradnl"/>
              </w:rPr>
              <w:br/>
            </w:r>
            <w:r w:rsidRPr="009577DE">
              <w:rPr>
                <w:sz w:val="16"/>
                <w:szCs w:val="16"/>
                <w:lang w:val="es-ES_tradnl"/>
              </w:rPr>
              <w:br/>
            </w:r>
            <w:r w:rsidRPr="009577DE">
              <w:rPr>
                <w:sz w:val="16"/>
                <w:szCs w:val="16"/>
                <w:lang w:val="es-ES_tradnl"/>
              </w:rPr>
              <w:br/>
            </w:r>
          </w:p>
        </w:tc>
        <w:tc>
          <w:tcPr>
            <w:tcW w:w="2835" w:type="dxa"/>
          </w:tcPr>
          <w:p w:rsidR="00B070BF" w:rsidRPr="009577DE" w:rsidRDefault="00B070BF" w:rsidP="00C33D4A">
            <w:pPr>
              <w:keepNext/>
              <w:widowControl w:val="0"/>
              <w:autoSpaceDE w:val="0"/>
              <w:autoSpaceDN w:val="0"/>
              <w:adjustRightInd w:val="0"/>
              <w:spacing w:before="120" w:after="120"/>
              <w:rPr>
                <w:sz w:val="16"/>
                <w:szCs w:val="16"/>
                <w:lang w:val="es-ES_tradnl"/>
              </w:rPr>
            </w:pPr>
            <w:r w:rsidRPr="009577DE">
              <w:rPr>
                <w:sz w:val="16"/>
                <w:szCs w:val="16"/>
                <w:lang w:val="es-ES_tradnl"/>
              </w:rPr>
              <w:t>Pakistán</w:t>
            </w:r>
          </w:p>
          <w:p w:rsidR="00B070BF" w:rsidRPr="009577DE" w:rsidRDefault="00B070BF" w:rsidP="00C33D4A">
            <w:pPr>
              <w:keepNext/>
              <w:widowControl w:val="0"/>
              <w:autoSpaceDE w:val="0"/>
              <w:autoSpaceDN w:val="0"/>
              <w:adjustRightInd w:val="0"/>
              <w:spacing w:before="120" w:after="120"/>
              <w:rPr>
                <w:sz w:val="16"/>
                <w:szCs w:val="16"/>
                <w:lang w:val="es-ES_tradnl"/>
              </w:rPr>
            </w:pPr>
            <w:r w:rsidRPr="009577DE">
              <w:rPr>
                <w:sz w:val="16"/>
                <w:szCs w:val="16"/>
                <w:lang w:val="es-ES_tradnl"/>
              </w:rPr>
              <w:t xml:space="preserve">Personal de T.I. de la oficina de P.I. del Pakistán </w:t>
            </w:r>
            <w:r w:rsidRPr="009577DE">
              <w:rPr>
                <w:sz w:val="16"/>
                <w:szCs w:val="16"/>
                <w:lang w:val="es-ES_tradnl"/>
              </w:rPr>
              <w:br/>
            </w:r>
            <w:r w:rsidRPr="009577DE">
              <w:rPr>
                <w:sz w:val="16"/>
                <w:szCs w:val="16"/>
                <w:lang w:val="es-ES_tradnl"/>
              </w:rPr>
              <w:br/>
            </w:r>
            <w:r w:rsidRPr="009577DE">
              <w:rPr>
                <w:sz w:val="16"/>
                <w:szCs w:val="16"/>
                <w:lang w:val="es-ES_tradnl"/>
              </w:rPr>
              <w:br/>
            </w:r>
          </w:p>
        </w:tc>
        <w:tc>
          <w:tcPr>
            <w:tcW w:w="3260" w:type="dxa"/>
          </w:tcPr>
          <w:p w:rsidR="00B070BF" w:rsidRPr="009577DE" w:rsidRDefault="00B070BF" w:rsidP="00C33D4A">
            <w:pPr>
              <w:keepNext/>
              <w:widowControl w:val="0"/>
              <w:autoSpaceDE w:val="0"/>
              <w:autoSpaceDN w:val="0"/>
              <w:adjustRightInd w:val="0"/>
              <w:spacing w:before="120" w:after="120"/>
              <w:rPr>
                <w:sz w:val="16"/>
                <w:szCs w:val="16"/>
                <w:lang w:val="es-ES_tradnl"/>
              </w:rPr>
            </w:pPr>
            <w:r w:rsidRPr="009577DE">
              <w:rPr>
                <w:sz w:val="16"/>
                <w:szCs w:val="16"/>
                <w:lang w:val="es-ES_tradnl"/>
              </w:rPr>
              <w:t>i) Impartir conocimientos sobre instrumentos de escaneo y digitalización;  ii) solución de problemas en la instalación del sistema IPAS Java en versión de prueba;  iii) revisión de los procedimientos en materia de P.I. y planificación de la automatización.</w:t>
            </w:r>
          </w:p>
        </w:tc>
      </w:tr>
      <w:tr w:rsidR="00B070BF" w:rsidRPr="009577DE" w:rsidTr="00C33D4A">
        <w:trPr>
          <w:trHeight w:val="315"/>
        </w:trPr>
        <w:tc>
          <w:tcPr>
            <w:tcW w:w="1843" w:type="dxa"/>
          </w:tcPr>
          <w:p w:rsidR="00B070BF" w:rsidRPr="009577DE" w:rsidRDefault="00B070BF" w:rsidP="00C33D4A">
            <w:pPr>
              <w:widowControl w:val="0"/>
              <w:autoSpaceDE w:val="0"/>
              <w:autoSpaceDN w:val="0"/>
              <w:adjustRightInd w:val="0"/>
              <w:spacing w:before="120" w:after="120"/>
              <w:rPr>
                <w:sz w:val="16"/>
                <w:szCs w:val="16"/>
                <w:lang w:val="es-ES_tradnl"/>
              </w:rPr>
            </w:pPr>
            <w:r w:rsidRPr="009577DE">
              <w:rPr>
                <w:sz w:val="16"/>
                <w:szCs w:val="16"/>
                <w:lang w:val="es-ES_tradnl"/>
              </w:rPr>
              <w:t xml:space="preserve">Se iniciaron los procedimientos de compra para servicios de digitalización. </w:t>
            </w:r>
          </w:p>
        </w:tc>
        <w:tc>
          <w:tcPr>
            <w:tcW w:w="1134" w:type="dxa"/>
          </w:tcPr>
          <w:p w:rsidR="00B070BF" w:rsidRPr="009577DE" w:rsidRDefault="00B070BF" w:rsidP="00C33D4A">
            <w:pPr>
              <w:widowControl w:val="0"/>
              <w:autoSpaceDE w:val="0"/>
              <w:autoSpaceDN w:val="0"/>
              <w:adjustRightInd w:val="0"/>
              <w:spacing w:before="120" w:after="120"/>
              <w:rPr>
                <w:sz w:val="16"/>
                <w:szCs w:val="16"/>
                <w:lang w:val="es-ES_tradnl"/>
              </w:rPr>
            </w:pPr>
            <w:r w:rsidRPr="009577DE">
              <w:rPr>
                <w:sz w:val="16"/>
                <w:szCs w:val="16"/>
                <w:lang w:val="es-ES_tradnl"/>
              </w:rPr>
              <w:t>Noviembre de 2012</w:t>
            </w:r>
          </w:p>
        </w:tc>
        <w:tc>
          <w:tcPr>
            <w:tcW w:w="2835" w:type="dxa"/>
          </w:tcPr>
          <w:p w:rsidR="00B070BF" w:rsidRPr="009577DE" w:rsidRDefault="00B070BF" w:rsidP="00C33D4A">
            <w:pPr>
              <w:widowControl w:val="0"/>
              <w:autoSpaceDE w:val="0"/>
              <w:autoSpaceDN w:val="0"/>
              <w:adjustRightInd w:val="0"/>
              <w:spacing w:before="120" w:after="120"/>
              <w:rPr>
                <w:sz w:val="16"/>
                <w:szCs w:val="16"/>
                <w:lang w:val="es-ES_tradnl"/>
              </w:rPr>
            </w:pPr>
            <w:r w:rsidRPr="009577DE">
              <w:rPr>
                <w:sz w:val="16"/>
                <w:szCs w:val="16"/>
                <w:lang w:val="es-ES_tradnl"/>
              </w:rPr>
              <w:t>Pakistán</w:t>
            </w:r>
          </w:p>
        </w:tc>
        <w:tc>
          <w:tcPr>
            <w:tcW w:w="3260" w:type="dxa"/>
          </w:tcPr>
          <w:p w:rsidR="00B070BF" w:rsidRPr="009577DE" w:rsidRDefault="00B070BF" w:rsidP="00C33D4A">
            <w:pPr>
              <w:widowControl w:val="0"/>
              <w:autoSpaceDE w:val="0"/>
              <w:autoSpaceDN w:val="0"/>
              <w:adjustRightInd w:val="0"/>
              <w:spacing w:before="120" w:after="120"/>
              <w:rPr>
                <w:sz w:val="16"/>
                <w:szCs w:val="16"/>
                <w:lang w:val="es-ES_tradnl"/>
              </w:rPr>
            </w:pPr>
            <w:r w:rsidRPr="009577DE">
              <w:rPr>
                <w:sz w:val="16"/>
                <w:szCs w:val="16"/>
                <w:lang w:val="es-ES_tradnl"/>
              </w:rPr>
              <w:t>Digitalización de los registros de P.I. en papel (patentes, marcas y derecho de autor), incluyendo el escaneo, la introducción de datos de registros faltantes, la validación de las bases de datos de P.I. y el equipo de apoyo.</w:t>
            </w:r>
          </w:p>
        </w:tc>
      </w:tr>
    </w:tbl>
    <w:p w:rsidR="00B070BF" w:rsidRPr="009577DE" w:rsidRDefault="00B070BF" w:rsidP="00B070BF">
      <w:pPr>
        <w:widowControl w:val="0"/>
        <w:tabs>
          <w:tab w:val="left" w:pos="0"/>
          <w:tab w:val="left" w:pos="9071"/>
        </w:tabs>
        <w:rPr>
          <w:b/>
          <w:sz w:val="20"/>
          <w:lang w:val="es-ES_tradnl"/>
        </w:rPr>
      </w:pPr>
    </w:p>
    <w:p w:rsidR="00B070BF" w:rsidRPr="009577DE" w:rsidRDefault="00B070BF" w:rsidP="00B070BF">
      <w:pPr>
        <w:widowControl w:val="0"/>
        <w:tabs>
          <w:tab w:val="left" w:pos="0"/>
          <w:tab w:val="left" w:pos="9071"/>
        </w:tabs>
        <w:rPr>
          <w:sz w:val="20"/>
          <w:lang w:val="es-ES_tradnl"/>
        </w:rPr>
      </w:pPr>
    </w:p>
    <w:p w:rsidR="00B070BF" w:rsidRPr="009577DE" w:rsidRDefault="00B070BF" w:rsidP="00B070BF">
      <w:pPr>
        <w:widowControl w:val="0"/>
        <w:rPr>
          <w:b/>
          <w:sz w:val="20"/>
          <w:lang w:val="es-ES_tradnl"/>
        </w:rPr>
      </w:pPr>
      <w:r w:rsidRPr="009577DE">
        <w:rPr>
          <w:b/>
          <w:sz w:val="20"/>
          <w:lang w:val="es-ES_tradnl"/>
        </w:rPr>
        <w:t>UNIÓN EUROPEA (Proyecto Pakistán) – Contribuciones de donantes y gastos de 2012</w:t>
      </w:r>
      <w:r w:rsidRPr="009577DE">
        <w:rPr>
          <w:b/>
          <w:sz w:val="20"/>
          <w:vertAlign w:val="superscript"/>
          <w:lang w:val="es-ES_tradnl"/>
        </w:rPr>
        <w:t>1</w:t>
      </w:r>
    </w:p>
    <w:p w:rsidR="00B070BF" w:rsidRPr="009577DE" w:rsidRDefault="00B070BF" w:rsidP="00B070BF">
      <w:pPr>
        <w:widowControl w:val="0"/>
        <w:rPr>
          <w:sz w:val="20"/>
          <w:lang w:val="es-ES_tradn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3"/>
        <w:gridCol w:w="1701"/>
        <w:gridCol w:w="1843"/>
        <w:gridCol w:w="1701"/>
        <w:gridCol w:w="1984"/>
      </w:tblGrid>
      <w:tr w:rsidR="00B070BF" w:rsidRPr="009577DE" w:rsidTr="00C33D4A">
        <w:trPr>
          <w:trHeight w:val="567"/>
        </w:trPr>
        <w:tc>
          <w:tcPr>
            <w:tcW w:w="1843" w:type="dxa"/>
            <w:shd w:val="clear" w:color="auto" w:fill="CCFFFF"/>
            <w:vAlign w:val="center"/>
          </w:tcPr>
          <w:p w:rsidR="00B070BF" w:rsidRPr="009577DE" w:rsidRDefault="00B070BF" w:rsidP="00C33D4A">
            <w:pPr>
              <w:widowControl w:val="0"/>
              <w:spacing w:after="220"/>
              <w:jc w:val="center"/>
              <w:rPr>
                <w:b/>
                <w:sz w:val="16"/>
                <w:szCs w:val="16"/>
                <w:lang w:val="es-ES_tradnl"/>
              </w:rPr>
            </w:pPr>
            <w:r w:rsidRPr="009577DE">
              <w:rPr>
                <w:b/>
                <w:sz w:val="16"/>
                <w:szCs w:val="16"/>
                <w:lang w:val="es-ES_tradnl"/>
              </w:rPr>
              <w:t>Balance a 31 de diciembre de 2011</w:t>
            </w:r>
          </w:p>
        </w:tc>
        <w:tc>
          <w:tcPr>
            <w:tcW w:w="1701" w:type="dxa"/>
            <w:shd w:val="clear" w:color="auto" w:fill="CCFFFF"/>
            <w:vAlign w:val="center"/>
          </w:tcPr>
          <w:p w:rsidR="00B070BF" w:rsidRPr="009577DE" w:rsidRDefault="00B070BF" w:rsidP="00C33D4A">
            <w:pPr>
              <w:widowControl w:val="0"/>
              <w:spacing w:after="220"/>
              <w:jc w:val="center"/>
              <w:rPr>
                <w:b/>
                <w:sz w:val="16"/>
                <w:szCs w:val="16"/>
                <w:lang w:val="es-ES_tradnl"/>
              </w:rPr>
            </w:pPr>
            <w:r w:rsidRPr="009577DE">
              <w:rPr>
                <w:b/>
                <w:sz w:val="16"/>
                <w:szCs w:val="16"/>
                <w:lang w:val="es-ES_tradnl"/>
              </w:rPr>
              <w:t>Ingresos en 2012</w:t>
            </w:r>
          </w:p>
        </w:tc>
        <w:tc>
          <w:tcPr>
            <w:tcW w:w="1843" w:type="dxa"/>
            <w:shd w:val="clear" w:color="auto" w:fill="CCFFFF"/>
            <w:vAlign w:val="center"/>
          </w:tcPr>
          <w:p w:rsidR="00B070BF" w:rsidRPr="009577DE" w:rsidRDefault="00B070BF" w:rsidP="00C33D4A">
            <w:pPr>
              <w:widowControl w:val="0"/>
              <w:spacing w:after="220"/>
              <w:jc w:val="center"/>
              <w:rPr>
                <w:b/>
                <w:sz w:val="16"/>
                <w:szCs w:val="16"/>
                <w:lang w:val="es-ES_tradnl"/>
              </w:rPr>
            </w:pPr>
            <w:r w:rsidRPr="009577DE">
              <w:rPr>
                <w:b/>
                <w:sz w:val="16"/>
                <w:szCs w:val="16"/>
                <w:lang w:val="es-ES_tradnl"/>
              </w:rPr>
              <w:t>Gastos en 2012</w:t>
            </w:r>
          </w:p>
        </w:tc>
        <w:tc>
          <w:tcPr>
            <w:tcW w:w="1701" w:type="dxa"/>
            <w:shd w:val="clear" w:color="auto" w:fill="CCFFFF"/>
            <w:vAlign w:val="center"/>
          </w:tcPr>
          <w:p w:rsidR="00B070BF" w:rsidRPr="009577DE" w:rsidRDefault="00B070BF" w:rsidP="00C33D4A">
            <w:pPr>
              <w:widowControl w:val="0"/>
              <w:spacing w:after="220"/>
              <w:jc w:val="center"/>
              <w:rPr>
                <w:b/>
                <w:sz w:val="16"/>
                <w:szCs w:val="16"/>
                <w:lang w:val="es-ES_tradnl"/>
              </w:rPr>
            </w:pPr>
            <w:r w:rsidRPr="009577DE">
              <w:rPr>
                <w:b/>
                <w:sz w:val="16"/>
                <w:szCs w:val="16"/>
                <w:lang w:val="es-ES_tradnl"/>
              </w:rPr>
              <w:t>Reembolsos</w:t>
            </w:r>
          </w:p>
        </w:tc>
        <w:tc>
          <w:tcPr>
            <w:tcW w:w="1984" w:type="dxa"/>
            <w:shd w:val="clear" w:color="auto" w:fill="CCFFFF"/>
            <w:vAlign w:val="center"/>
          </w:tcPr>
          <w:p w:rsidR="00B070BF" w:rsidRPr="009577DE" w:rsidRDefault="00B070BF" w:rsidP="00C33D4A">
            <w:pPr>
              <w:widowControl w:val="0"/>
              <w:spacing w:after="220"/>
              <w:jc w:val="center"/>
              <w:rPr>
                <w:b/>
                <w:sz w:val="16"/>
                <w:szCs w:val="16"/>
                <w:lang w:val="es-ES_tradnl"/>
              </w:rPr>
            </w:pPr>
            <w:r w:rsidRPr="009577DE">
              <w:rPr>
                <w:b/>
                <w:sz w:val="16"/>
                <w:szCs w:val="16"/>
                <w:lang w:val="es-ES_tradnl"/>
              </w:rPr>
              <w:t>Balance a 31 de diciembre de 2012</w:t>
            </w:r>
          </w:p>
        </w:tc>
      </w:tr>
      <w:tr w:rsidR="00B070BF" w:rsidRPr="009577DE" w:rsidTr="00C33D4A">
        <w:trPr>
          <w:trHeight w:val="567"/>
        </w:trPr>
        <w:tc>
          <w:tcPr>
            <w:tcW w:w="1843" w:type="dxa"/>
            <w:shd w:val="clear" w:color="auto" w:fill="auto"/>
            <w:vAlign w:val="center"/>
          </w:tcPr>
          <w:p w:rsidR="00B070BF" w:rsidRPr="009577DE" w:rsidRDefault="00B070BF" w:rsidP="00C33D4A">
            <w:pPr>
              <w:widowControl w:val="0"/>
              <w:autoSpaceDE w:val="0"/>
              <w:autoSpaceDN w:val="0"/>
              <w:adjustRightInd w:val="0"/>
              <w:spacing w:after="220"/>
              <w:jc w:val="center"/>
              <w:rPr>
                <w:rFonts w:eastAsia="MS Mincho"/>
                <w:sz w:val="16"/>
                <w:szCs w:val="16"/>
                <w:lang w:val="es-ES_tradnl" w:eastAsia="ja-JP" w:bidi="th-TH"/>
              </w:rPr>
            </w:pPr>
            <w:r w:rsidRPr="009577DE">
              <w:rPr>
                <w:rFonts w:eastAsia="MS Mincho"/>
                <w:sz w:val="16"/>
                <w:szCs w:val="16"/>
                <w:lang w:val="es-ES_tradnl" w:eastAsia="ja-JP" w:bidi="th-TH"/>
              </w:rPr>
              <w:t>354.583</w:t>
            </w:r>
          </w:p>
        </w:tc>
        <w:tc>
          <w:tcPr>
            <w:tcW w:w="1701" w:type="dxa"/>
            <w:shd w:val="clear" w:color="auto" w:fill="auto"/>
            <w:vAlign w:val="center"/>
          </w:tcPr>
          <w:p w:rsidR="00B070BF" w:rsidRPr="009577DE" w:rsidRDefault="00B070BF" w:rsidP="00C33D4A">
            <w:pPr>
              <w:widowControl w:val="0"/>
              <w:autoSpaceDE w:val="0"/>
              <w:autoSpaceDN w:val="0"/>
              <w:adjustRightInd w:val="0"/>
              <w:spacing w:after="220"/>
              <w:jc w:val="center"/>
              <w:rPr>
                <w:rFonts w:eastAsia="MS Mincho"/>
                <w:sz w:val="16"/>
                <w:szCs w:val="16"/>
                <w:lang w:val="es-ES_tradnl" w:eastAsia="ja-JP" w:bidi="th-TH"/>
              </w:rPr>
            </w:pPr>
            <w:r w:rsidRPr="009577DE">
              <w:rPr>
                <w:rFonts w:eastAsia="MS Mincho"/>
                <w:sz w:val="16"/>
                <w:szCs w:val="16"/>
                <w:lang w:val="es-ES_tradnl" w:eastAsia="ja-JP" w:bidi="th-TH"/>
              </w:rPr>
              <w:t>613.968</w:t>
            </w:r>
          </w:p>
        </w:tc>
        <w:tc>
          <w:tcPr>
            <w:tcW w:w="1843" w:type="dxa"/>
            <w:shd w:val="clear" w:color="auto" w:fill="auto"/>
            <w:vAlign w:val="center"/>
          </w:tcPr>
          <w:p w:rsidR="00B070BF" w:rsidRPr="009577DE" w:rsidRDefault="00B070BF" w:rsidP="00C33D4A">
            <w:pPr>
              <w:widowControl w:val="0"/>
              <w:autoSpaceDE w:val="0"/>
              <w:autoSpaceDN w:val="0"/>
              <w:adjustRightInd w:val="0"/>
              <w:spacing w:after="220"/>
              <w:jc w:val="center"/>
              <w:rPr>
                <w:rFonts w:eastAsia="MS Mincho"/>
                <w:sz w:val="16"/>
                <w:szCs w:val="16"/>
                <w:lang w:val="es-ES_tradnl" w:eastAsia="ja-JP" w:bidi="th-TH"/>
              </w:rPr>
            </w:pPr>
            <w:r w:rsidRPr="009577DE">
              <w:rPr>
                <w:rFonts w:eastAsia="MS Mincho"/>
                <w:sz w:val="16"/>
                <w:szCs w:val="16"/>
                <w:lang w:val="es-ES_tradnl" w:eastAsia="ja-JP" w:bidi="th-TH"/>
              </w:rPr>
              <w:t>348.886</w:t>
            </w:r>
          </w:p>
        </w:tc>
        <w:tc>
          <w:tcPr>
            <w:tcW w:w="1701" w:type="dxa"/>
            <w:shd w:val="clear" w:color="auto" w:fill="auto"/>
            <w:vAlign w:val="center"/>
          </w:tcPr>
          <w:p w:rsidR="00B070BF" w:rsidRPr="009577DE" w:rsidRDefault="00B070BF" w:rsidP="00C33D4A">
            <w:pPr>
              <w:widowControl w:val="0"/>
              <w:autoSpaceDE w:val="0"/>
              <w:autoSpaceDN w:val="0"/>
              <w:adjustRightInd w:val="0"/>
              <w:spacing w:after="220"/>
              <w:jc w:val="center"/>
              <w:rPr>
                <w:rFonts w:eastAsia="MS Mincho"/>
                <w:sz w:val="16"/>
                <w:szCs w:val="16"/>
                <w:lang w:val="es-ES_tradnl" w:eastAsia="ja-JP" w:bidi="th-TH"/>
              </w:rPr>
            </w:pPr>
            <w:r w:rsidRPr="009577DE">
              <w:rPr>
                <w:rFonts w:eastAsia="MS Mincho"/>
                <w:sz w:val="16"/>
                <w:szCs w:val="16"/>
                <w:lang w:val="es-ES_tradnl" w:eastAsia="ja-JP" w:bidi="th-TH"/>
              </w:rPr>
              <w:t>–</w:t>
            </w:r>
          </w:p>
        </w:tc>
        <w:tc>
          <w:tcPr>
            <w:tcW w:w="1984" w:type="dxa"/>
            <w:shd w:val="clear" w:color="auto" w:fill="auto"/>
            <w:vAlign w:val="center"/>
          </w:tcPr>
          <w:p w:rsidR="00B070BF" w:rsidRPr="009577DE" w:rsidRDefault="00B070BF" w:rsidP="00C33D4A">
            <w:pPr>
              <w:widowControl w:val="0"/>
              <w:autoSpaceDE w:val="0"/>
              <w:autoSpaceDN w:val="0"/>
              <w:adjustRightInd w:val="0"/>
              <w:spacing w:after="220"/>
              <w:jc w:val="center"/>
              <w:rPr>
                <w:rFonts w:eastAsia="MS Mincho"/>
                <w:sz w:val="16"/>
                <w:szCs w:val="16"/>
                <w:lang w:val="es-ES_tradnl" w:eastAsia="ja-JP" w:bidi="th-TH"/>
              </w:rPr>
            </w:pPr>
            <w:r w:rsidRPr="009577DE">
              <w:rPr>
                <w:rFonts w:eastAsia="MS Mincho"/>
                <w:sz w:val="16"/>
                <w:szCs w:val="16"/>
                <w:lang w:val="es-ES_tradnl" w:eastAsia="ja-JP" w:bidi="th-TH"/>
              </w:rPr>
              <w:t>619.665</w:t>
            </w:r>
          </w:p>
        </w:tc>
      </w:tr>
    </w:tbl>
    <w:p w:rsidR="00B070BF" w:rsidRPr="009577DE" w:rsidRDefault="00B070BF" w:rsidP="00B070BF">
      <w:pPr>
        <w:widowControl w:val="0"/>
        <w:spacing w:before="120"/>
        <w:rPr>
          <w:szCs w:val="22"/>
          <w:lang w:val="es-ES_tradnl"/>
        </w:rPr>
      </w:pPr>
      <w:r w:rsidRPr="009577DE">
        <w:rPr>
          <w:i/>
          <w:iCs/>
          <w:sz w:val="16"/>
          <w:szCs w:val="16"/>
          <w:vertAlign w:val="superscript"/>
          <w:lang w:val="es-ES_tradnl"/>
        </w:rPr>
        <w:t xml:space="preserve">1 </w:t>
      </w:r>
      <w:r w:rsidRPr="009577DE">
        <w:rPr>
          <w:i/>
          <w:iCs/>
          <w:sz w:val="16"/>
          <w:szCs w:val="16"/>
          <w:lang w:val="es-ES_tradnl"/>
        </w:rPr>
        <w:t>Estados financieros de la OMPI de 2012 (Anexo III)</w:t>
      </w:r>
    </w:p>
    <w:p w:rsidR="00B070BF" w:rsidRPr="009577DE" w:rsidRDefault="00B070BF" w:rsidP="00B070BF">
      <w:pPr>
        <w:widowControl w:val="0"/>
        <w:rPr>
          <w:b/>
          <w:sz w:val="20"/>
          <w:lang w:val="es-ES_tradnl"/>
        </w:rPr>
      </w:pPr>
    </w:p>
    <w:p w:rsidR="00B070BF" w:rsidRPr="009577DE" w:rsidRDefault="00B070BF" w:rsidP="00B070BF">
      <w:pPr>
        <w:widowControl w:val="0"/>
        <w:rPr>
          <w:b/>
          <w:sz w:val="20"/>
          <w:lang w:val="es-ES_tradnl"/>
        </w:rPr>
      </w:pPr>
    </w:p>
    <w:p w:rsidR="00B070BF" w:rsidRPr="009577DE" w:rsidRDefault="00B070BF" w:rsidP="00B070BF">
      <w:pPr>
        <w:widowControl w:val="0"/>
        <w:rPr>
          <w:b/>
          <w:sz w:val="20"/>
          <w:lang w:val="es-ES_tradnl"/>
        </w:rPr>
      </w:pPr>
      <w:r w:rsidRPr="009577DE">
        <w:rPr>
          <w:b/>
          <w:sz w:val="20"/>
          <w:lang w:val="es-ES_tradnl"/>
        </w:rPr>
        <w:t>FINLANDIA – DERECHO DE AUTOR I, II, III</w:t>
      </w:r>
    </w:p>
    <w:p w:rsidR="00B070BF" w:rsidRPr="009577DE" w:rsidRDefault="00B070BF" w:rsidP="00B070BF">
      <w:pPr>
        <w:widowControl w:val="0"/>
        <w:rPr>
          <w:b/>
          <w:sz w:val="18"/>
          <w:lang w:val="es-ES_tradnl"/>
        </w:rPr>
      </w:pPr>
    </w:p>
    <w:tbl>
      <w:tblPr>
        <w:tblW w:w="9080" w:type="dxa"/>
        <w:tblInd w:w="103"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1844"/>
        <w:gridCol w:w="1137"/>
        <w:gridCol w:w="2553"/>
        <w:gridCol w:w="3546"/>
      </w:tblGrid>
      <w:tr w:rsidR="00B070BF" w:rsidRPr="009577DE" w:rsidTr="00C33D4A">
        <w:tc>
          <w:tcPr>
            <w:tcW w:w="9080" w:type="dxa"/>
            <w:gridSpan w:val="4"/>
            <w:tcBorders>
              <w:top w:val="single" w:sz="4" w:space="0" w:color="000000"/>
              <w:bottom w:val="single" w:sz="4" w:space="0" w:color="000000"/>
            </w:tcBorders>
            <w:shd w:val="clear" w:color="auto" w:fill="CCFFFF"/>
            <w:vAlign w:val="center"/>
          </w:tcPr>
          <w:p w:rsidR="00B070BF" w:rsidRPr="009577DE" w:rsidRDefault="00B070BF" w:rsidP="00C33D4A">
            <w:pPr>
              <w:widowControl w:val="0"/>
              <w:tabs>
                <w:tab w:val="left" w:pos="1427"/>
              </w:tabs>
              <w:spacing w:before="120" w:after="120"/>
              <w:ind w:left="1427" w:hanging="1427"/>
              <w:rPr>
                <w:b/>
                <w:bCs/>
                <w:sz w:val="16"/>
                <w:szCs w:val="16"/>
                <w:lang w:val="es-ES_tradnl"/>
              </w:rPr>
            </w:pPr>
            <w:r w:rsidRPr="009577DE">
              <w:rPr>
                <w:b/>
                <w:bCs/>
                <w:sz w:val="16"/>
                <w:szCs w:val="16"/>
                <w:lang w:val="es-ES_tradnl"/>
              </w:rPr>
              <w:t>RESULTADO:</w:t>
            </w:r>
            <w:r w:rsidRPr="009577DE">
              <w:rPr>
                <w:bCs/>
                <w:sz w:val="16"/>
                <w:szCs w:val="16"/>
                <w:lang w:val="es-ES_tradnl"/>
              </w:rPr>
              <w:tab/>
              <w:t>Decisión fundamentada sobre cuestiones de derecho de autor.</w:t>
            </w:r>
          </w:p>
        </w:tc>
      </w:tr>
      <w:tr w:rsidR="00B070BF" w:rsidRPr="009577DE" w:rsidTr="00C33D4A">
        <w:tc>
          <w:tcPr>
            <w:tcW w:w="1844" w:type="dxa"/>
            <w:tcBorders>
              <w:top w:val="single" w:sz="4" w:space="0" w:color="000000"/>
            </w:tcBorders>
            <w:vAlign w:val="center"/>
          </w:tcPr>
          <w:p w:rsidR="00B070BF" w:rsidRPr="009577DE" w:rsidRDefault="00B070BF" w:rsidP="00C33D4A">
            <w:pPr>
              <w:widowControl w:val="0"/>
              <w:rPr>
                <w:b/>
                <w:bCs/>
                <w:sz w:val="16"/>
                <w:szCs w:val="16"/>
                <w:lang w:val="es-ES_tradnl"/>
              </w:rPr>
            </w:pPr>
            <w:r w:rsidRPr="009577DE">
              <w:rPr>
                <w:b/>
                <w:bCs/>
                <w:sz w:val="16"/>
                <w:szCs w:val="16"/>
                <w:lang w:val="es-ES_tradnl"/>
              </w:rPr>
              <w:t>Actividad</w:t>
            </w:r>
          </w:p>
        </w:tc>
        <w:tc>
          <w:tcPr>
            <w:tcW w:w="1137" w:type="dxa"/>
            <w:tcBorders>
              <w:top w:val="single" w:sz="4" w:space="0" w:color="000000"/>
            </w:tcBorders>
            <w:shd w:val="clear" w:color="auto" w:fill="auto"/>
            <w:tcMar>
              <w:top w:w="110" w:type="dxa"/>
            </w:tcMar>
            <w:vAlign w:val="center"/>
          </w:tcPr>
          <w:p w:rsidR="00B070BF" w:rsidRPr="009577DE" w:rsidRDefault="00B070BF" w:rsidP="00C33D4A">
            <w:pPr>
              <w:widowControl w:val="0"/>
              <w:rPr>
                <w:sz w:val="16"/>
                <w:szCs w:val="16"/>
                <w:lang w:val="es-ES_tradnl"/>
              </w:rPr>
            </w:pPr>
            <w:r w:rsidRPr="009577DE">
              <w:rPr>
                <w:b/>
                <w:bCs/>
                <w:sz w:val="16"/>
                <w:szCs w:val="16"/>
                <w:lang w:val="es-ES_tradnl"/>
              </w:rPr>
              <w:t>Fecha</w:t>
            </w:r>
          </w:p>
        </w:tc>
        <w:tc>
          <w:tcPr>
            <w:tcW w:w="2553" w:type="dxa"/>
            <w:tcBorders>
              <w:top w:val="single" w:sz="4" w:space="0" w:color="000000"/>
            </w:tcBorders>
            <w:shd w:val="clear" w:color="auto" w:fill="auto"/>
            <w:tcMar>
              <w:top w:w="110" w:type="dxa"/>
            </w:tcMar>
            <w:vAlign w:val="center"/>
          </w:tcPr>
          <w:p w:rsidR="00B070BF" w:rsidRPr="009577DE" w:rsidRDefault="00B070BF" w:rsidP="00C33D4A">
            <w:pPr>
              <w:widowControl w:val="0"/>
              <w:rPr>
                <w:sz w:val="16"/>
                <w:szCs w:val="16"/>
                <w:lang w:val="es-ES_tradnl"/>
              </w:rPr>
            </w:pPr>
            <w:r w:rsidRPr="009577DE">
              <w:rPr>
                <w:b/>
                <w:bCs/>
                <w:sz w:val="16"/>
                <w:szCs w:val="16"/>
                <w:lang w:val="es-ES_tradnl"/>
              </w:rPr>
              <w:t>País anfitrión/Beneficiarios</w:t>
            </w:r>
          </w:p>
        </w:tc>
        <w:tc>
          <w:tcPr>
            <w:tcW w:w="3546" w:type="dxa"/>
            <w:tcBorders>
              <w:top w:val="single" w:sz="4" w:space="0" w:color="000000"/>
            </w:tcBorders>
            <w:shd w:val="clear" w:color="auto" w:fill="FFFFFF"/>
            <w:tcMar>
              <w:top w:w="110" w:type="dxa"/>
            </w:tcMar>
            <w:vAlign w:val="center"/>
          </w:tcPr>
          <w:p w:rsidR="00B070BF" w:rsidRPr="009577DE" w:rsidRDefault="00B070BF" w:rsidP="00C33D4A">
            <w:pPr>
              <w:widowControl w:val="0"/>
              <w:ind w:left="317"/>
              <w:rPr>
                <w:sz w:val="16"/>
                <w:szCs w:val="16"/>
                <w:lang w:val="es-ES_tradnl"/>
              </w:rPr>
            </w:pPr>
            <w:r w:rsidRPr="009577DE">
              <w:rPr>
                <w:b/>
                <w:bCs/>
                <w:sz w:val="16"/>
                <w:szCs w:val="16"/>
                <w:lang w:val="es-ES_tradnl"/>
              </w:rPr>
              <w:t>Propósito/Descripción</w:t>
            </w:r>
          </w:p>
        </w:tc>
      </w:tr>
      <w:tr w:rsidR="00B070BF" w:rsidRPr="009577DE" w:rsidTr="00C33D4A">
        <w:tc>
          <w:tcPr>
            <w:tcW w:w="1844" w:type="dxa"/>
            <w:tcBorders>
              <w:bottom w:val="nil"/>
            </w:tcBorders>
          </w:tcPr>
          <w:p w:rsidR="00B070BF" w:rsidRPr="009577DE" w:rsidRDefault="00B070BF" w:rsidP="00C33D4A">
            <w:pPr>
              <w:widowControl w:val="0"/>
              <w:autoSpaceDE w:val="0"/>
              <w:autoSpaceDN w:val="0"/>
              <w:adjustRightInd w:val="0"/>
              <w:spacing w:before="120" w:after="120"/>
              <w:rPr>
                <w:rFonts w:eastAsia="MS Mincho"/>
                <w:sz w:val="16"/>
                <w:szCs w:val="16"/>
                <w:lang w:val="es-ES_tradnl" w:eastAsia="ja-JP" w:bidi="th-TH"/>
              </w:rPr>
            </w:pPr>
            <w:r w:rsidRPr="009577DE">
              <w:rPr>
                <w:sz w:val="16"/>
                <w:szCs w:val="16"/>
                <w:lang w:val="es-ES_tradnl"/>
              </w:rPr>
              <w:t>Preparación de una metodología para la medición de las repercusiones económicas, sociales y culturales del derecho de autor en las industrias creativas.</w:t>
            </w:r>
          </w:p>
        </w:tc>
        <w:tc>
          <w:tcPr>
            <w:tcW w:w="1137" w:type="dxa"/>
            <w:tcBorders>
              <w:bottom w:val="nil"/>
            </w:tcBorders>
          </w:tcPr>
          <w:p w:rsidR="00B070BF" w:rsidRPr="009577DE" w:rsidRDefault="00B070BF" w:rsidP="00C33D4A">
            <w:pPr>
              <w:widowControl w:val="0"/>
              <w:autoSpaceDE w:val="0"/>
              <w:autoSpaceDN w:val="0"/>
              <w:adjustRightInd w:val="0"/>
              <w:spacing w:before="120" w:after="120"/>
              <w:rPr>
                <w:rFonts w:eastAsia="MS Mincho"/>
                <w:sz w:val="16"/>
                <w:szCs w:val="16"/>
                <w:lang w:val="es-ES_tradnl" w:eastAsia="ja-JP" w:bidi="th-TH"/>
              </w:rPr>
            </w:pPr>
            <w:r w:rsidRPr="009577DE">
              <w:rPr>
                <w:sz w:val="16"/>
                <w:szCs w:val="16"/>
                <w:lang w:val="es-ES_tradnl"/>
              </w:rPr>
              <w:t>De enero a diciembre de 2012</w:t>
            </w:r>
          </w:p>
        </w:tc>
        <w:tc>
          <w:tcPr>
            <w:tcW w:w="2553" w:type="dxa"/>
            <w:tcBorders>
              <w:bottom w:val="nil"/>
            </w:tcBorders>
          </w:tcPr>
          <w:p w:rsidR="00B070BF" w:rsidRPr="009577DE" w:rsidRDefault="00B070BF" w:rsidP="00C33D4A">
            <w:pPr>
              <w:widowControl w:val="0"/>
              <w:autoSpaceDE w:val="0"/>
              <w:autoSpaceDN w:val="0"/>
              <w:adjustRightInd w:val="0"/>
              <w:spacing w:before="120" w:after="120"/>
              <w:rPr>
                <w:rFonts w:eastAsia="MS Mincho"/>
                <w:sz w:val="16"/>
                <w:szCs w:val="16"/>
                <w:lang w:val="es-ES_tradnl" w:eastAsia="ja-JP" w:bidi="th-TH"/>
              </w:rPr>
            </w:pPr>
            <w:r w:rsidRPr="009577DE">
              <w:rPr>
                <w:sz w:val="16"/>
                <w:szCs w:val="16"/>
                <w:lang w:val="es-ES_tradnl"/>
              </w:rPr>
              <w:t>Todos los usuarios</w:t>
            </w:r>
          </w:p>
        </w:tc>
        <w:tc>
          <w:tcPr>
            <w:tcW w:w="3546" w:type="dxa"/>
            <w:tcBorders>
              <w:bottom w:val="nil"/>
            </w:tcBorders>
          </w:tcPr>
          <w:p w:rsidR="00B070BF" w:rsidRPr="009577DE" w:rsidRDefault="00B070BF" w:rsidP="00C33D4A">
            <w:pPr>
              <w:widowControl w:val="0"/>
              <w:autoSpaceDE w:val="0"/>
              <w:autoSpaceDN w:val="0"/>
              <w:adjustRightInd w:val="0"/>
              <w:spacing w:before="120" w:after="120"/>
              <w:ind w:left="317"/>
              <w:rPr>
                <w:rFonts w:eastAsia="MS Mincho"/>
                <w:sz w:val="16"/>
                <w:szCs w:val="16"/>
                <w:lang w:val="es-ES_tradnl" w:eastAsia="ja-JP" w:bidi="th-TH"/>
              </w:rPr>
            </w:pPr>
            <w:r w:rsidRPr="009577DE">
              <w:rPr>
                <w:rFonts w:eastAsia="MS Mincho"/>
                <w:sz w:val="16"/>
                <w:szCs w:val="16"/>
                <w:lang w:val="es-ES_tradnl" w:eastAsia="ja-JP" w:bidi="th-TH"/>
              </w:rPr>
              <w:t>Crear una metodología sólida para medir las repercusiones del derecho de autor.</w:t>
            </w:r>
          </w:p>
        </w:tc>
      </w:tr>
      <w:tr w:rsidR="00B070BF" w:rsidRPr="009577DE" w:rsidTr="00C33D4A">
        <w:tc>
          <w:tcPr>
            <w:tcW w:w="1844" w:type="dxa"/>
            <w:tcBorders>
              <w:top w:val="nil"/>
              <w:bottom w:val="single" w:sz="4" w:space="0" w:color="000000"/>
            </w:tcBorders>
          </w:tcPr>
          <w:p w:rsidR="00B070BF" w:rsidRPr="009577DE" w:rsidRDefault="00B070BF" w:rsidP="00C33D4A">
            <w:pPr>
              <w:widowControl w:val="0"/>
              <w:autoSpaceDE w:val="0"/>
              <w:autoSpaceDN w:val="0"/>
              <w:adjustRightInd w:val="0"/>
              <w:spacing w:before="120" w:after="120"/>
              <w:rPr>
                <w:rFonts w:eastAsia="MS Mincho"/>
                <w:sz w:val="16"/>
                <w:szCs w:val="16"/>
                <w:lang w:val="es-ES_tradnl" w:eastAsia="ja-JP" w:bidi="th-TH"/>
              </w:rPr>
            </w:pPr>
            <w:r w:rsidRPr="009577DE">
              <w:rPr>
                <w:rFonts w:eastAsia="MS Mincho"/>
                <w:sz w:val="16"/>
                <w:szCs w:val="16"/>
                <w:lang w:val="es-ES_tradnl" w:eastAsia="ja-JP" w:bidi="th-TH"/>
              </w:rPr>
              <w:t>Contribución al Grupo de Alto Nivel sobre Industrias Creativas.</w:t>
            </w:r>
          </w:p>
        </w:tc>
        <w:tc>
          <w:tcPr>
            <w:tcW w:w="1137" w:type="dxa"/>
            <w:tcBorders>
              <w:top w:val="nil"/>
              <w:bottom w:val="single" w:sz="4" w:space="0" w:color="000000"/>
            </w:tcBorders>
          </w:tcPr>
          <w:p w:rsidR="00B070BF" w:rsidRPr="009577DE" w:rsidRDefault="00B070BF" w:rsidP="00C33D4A">
            <w:pPr>
              <w:widowControl w:val="0"/>
              <w:autoSpaceDE w:val="0"/>
              <w:autoSpaceDN w:val="0"/>
              <w:adjustRightInd w:val="0"/>
              <w:spacing w:before="120" w:after="120"/>
              <w:rPr>
                <w:rFonts w:eastAsia="MS Mincho"/>
                <w:sz w:val="16"/>
                <w:szCs w:val="16"/>
                <w:lang w:val="es-ES_tradnl" w:eastAsia="ja-JP" w:bidi="th-TH"/>
              </w:rPr>
            </w:pPr>
            <w:r w:rsidRPr="009577DE">
              <w:rPr>
                <w:rFonts w:eastAsia="MS Mincho"/>
                <w:sz w:val="16"/>
                <w:szCs w:val="16"/>
                <w:lang w:val="es-ES_tradnl" w:eastAsia="ja-JP" w:bidi="th-TH"/>
              </w:rPr>
              <w:t>20 a 23 de junio de 2012</w:t>
            </w:r>
          </w:p>
        </w:tc>
        <w:tc>
          <w:tcPr>
            <w:tcW w:w="2553" w:type="dxa"/>
            <w:tcBorders>
              <w:top w:val="nil"/>
              <w:bottom w:val="single" w:sz="4" w:space="0" w:color="000000"/>
            </w:tcBorders>
          </w:tcPr>
          <w:p w:rsidR="00B070BF" w:rsidRPr="009577DE" w:rsidRDefault="00B070BF" w:rsidP="00C33D4A">
            <w:pPr>
              <w:widowControl w:val="0"/>
              <w:autoSpaceDE w:val="0"/>
              <w:autoSpaceDN w:val="0"/>
              <w:adjustRightInd w:val="0"/>
              <w:spacing w:before="120" w:after="120"/>
              <w:rPr>
                <w:rFonts w:eastAsia="MS Mincho"/>
                <w:sz w:val="16"/>
                <w:szCs w:val="16"/>
                <w:lang w:val="es-ES_tradnl" w:eastAsia="ja-JP" w:bidi="th-TH"/>
              </w:rPr>
            </w:pPr>
            <w:r w:rsidRPr="009577DE">
              <w:rPr>
                <w:rFonts w:eastAsia="MS Mincho"/>
                <w:sz w:val="16"/>
                <w:szCs w:val="16"/>
                <w:lang w:val="es-ES_tradnl" w:eastAsia="ja-JP" w:bidi="th-TH"/>
              </w:rPr>
              <w:t>Japón</w:t>
            </w:r>
          </w:p>
        </w:tc>
        <w:tc>
          <w:tcPr>
            <w:tcW w:w="3546" w:type="dxa"/>
            <w:tcBorders>
              <w:top w:val="nil"/>
              <w:bottom w:val="single" w:sz="4" w:space="0" w:color="000000"/>
            </w:tcBorders>
          </w:tcPr>
          <w:p w:rsidR="00B070BF" w:rsidRPr="009577DE" w:rsidRDefault="00B070BF" w:rsidP="00C33D4A">
            <w:pPr>
              <w:widowControl w:val="0"/>
              <w:autoSpaceDE w:val="0"/>
              <w:autoSpaceDN w:val="0"/>
              <w:adjustRightInd w:val="0"/>
              <w:spacing w:before="120" w:after="120"/>
              <w:ind w:left="317"/>
              <w:rPr>
                <w:rFonts w:eastAsia="MS Mincho"/>
                <w:sz w:val="16"/>
                <w:szCs w:val="16"/>
                <w:lang w:val="es-ES_tradnl" w:eastAsia="ja-JP" w:bidi="th-TH"/>
              </w:rPr>
            </w:pPr>
            <w:r w:rsidRPr="009577DE">
              <w:rPr>
                <w:rFonts w:eastAsia="MS Mincho"/>
                <w:sz w:val="16"/>
                <w:szCs w:val="16"/>
                <w:lang w:val="es-ES_tradnl" w:eastAsia="ja-JP" w:bidi="th-TH"/>
              </w:rPr>
              <w:t xml:space="preserve">Ofrecer un panorama de las metodologías aplicadas por la OMPI para medir las repercusiones </w:t>
            </w:r>
            <w:r w:rsidRPr="009577DE">
              <w:rPr>
                <w:sz w:val="16"/>
                <w:szCs w:val="16"/>
                <w:lang w:val="es-ES_tradnl"/>
              </w:rPr>
              <w:t>económicas, sociales y culturales del derecho de autor.</w:t>
            </w:r>
          </w:p>
        </w:tc>
      </w:tr>
    </w:tbl>
    <w:p w:rsidR="00B070BF" w:rsidRPr="009577DE" w:rsidRDefault="00B070BF" w:rsidP="00B070BF">
      <w:pPr>
        <w:widowControl w:val="0"/>
        <w:rPr>
          <w:b/>
          <w:sz w:val="20"/>
          <w:lang w:val="es-ES_tradnl"/>
        </w:rPr>
      </w:pPr>
    </w:p>
    <w:p w:rsidR="00B070BF" w:rsidRPr="009577DE" w:rsidRDefault="00B070BF" w:rsidP="00B070BF">
      <w:pPr>
        <w:widowControl w:val="0"/>
        <w:rPr>
          <w:b/>
          <w:sz w:val="20"/>
          <w:lang w:val="es-ES_tradnl"/>
        </w:rPr>
      </w:pPr>
    </w:p>
    <w:p w:rsidR="00B070BF" w:rsidRPr="009577DE" w:rsidRDefault="00B070BF" w:rsidP="00B070BF">
      <w:pPr>
        <w:widowControl w:val="0"/>
        <w:rPr>
          <w:b/>
          <w:sz w:val="20"/>
          <w:lang w:val="es-ES_tradnl"/>
        </w:rPr>
      </w:pPr>
      <w:r w:rsidRPr="009577DE">
        <w:rPr>
          <w:b/>
          <w:sz w:val="20"/>
          <w:lang w:val="es-ES_tradnl"/>
        </w:rPr>
        <w:t xml:space="preserve">FINLANDIA – DERECHO DE AUTOR </w:t>
      </w:r>
      <w:r>
        <w:rPr>
          <w:b/>
          <w:sz w:val="20"/>
          <w:lang w:val="es-ES_tradnl"/>
        </w:rPr>
        <w:t xml:space="preserve">I, </w:t>
      </w:r>
      <w:r w:rsidRPr="009577DE">
        <w:rPr>
          <w:b/>
          <w:sz w:val="20"/>
          <w:lang w:val="es-ES_tradnl"/>
        </w:rPr>
        <w:t>II y III – Contribuciones de donantes y gastos en 2012</w:t>
      </w:r>
      <w:r w:rsidRPr="009577DE">
        <w:rPr>
          <w:b/>
          <w:sz w:val="20"/>
          <w:vertAlign w:val="superscript"/>
          <w:lang w:val="es-ES_tradnl"/>
        </w:rPr>
        <w:t>1</w:t>
      </w:r>
    </w:p>
    <w:p w:rsidR="00B070BF" w:rsidRPr="009577DE" w:rsidRDefault="00B070BF" w:rsidP="00B070BF">
      <w:pPr>
        <w:widowControl w:val="0"/>
        <w:autoSpaceDE w:val="0"/>
        <w:autoSpaceDN w:val="0"/>
        <w:adjustRightInd w:val="0"/>
        <w:rPr>
          <w:rFonts w:eastAsia="MS Mincho"/>
          <w:b/>
          <w:bCs/>
          <w:sz w:val="18"/>
          <w:szCs w:val="18"/>
          <w:lang w:val="es-ES_tradnl" w:eastAsia="ja-JP" w:bidi="th-TH"/>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3"/>
        <w:gridCol w:w="1701"/>
        <w:gridCol w:w="1843"/>
        <w:gridCol w:w="1701"/>
        <w:gridCol w:w="1984"/>
      </w:tblGrid>
      <w:tr w:rsidR="00B070BF" w:rsidRPr="009577DE" w:rsidTr="00C33D4A">
        <w:trPr>
          <w:trHeight w:val="567"/>
        </w:trPr>
        <w:tc>
          <w:tcPr>
            <w:tcW w:w="1843" w:type="dxa"/>
            <w:shd w:val="clear" w:color="auto" w:fill="CCFFFF"/>
            <w:vAlign w:val="center"/>
          </w:tcPr>
          <w:p w:rsidR="00B070BF" w:rsidRPr="009577DE" w:rsidRDefault="00B070BF" w:rsidP="00C33D4A">
            <w:pPr>
              <w:widowControl w:val="0"/>
              <w:spacing w:after="220"/>
              <w:jc w:val="center"/>
              <w:rPr>
                <w:b/>
                <w:sz w:val="16"/>
                <w:szCs w:val="16"/>
                <w:lang w:val="es-ES_tradnl"/>
              </w:rPr>
            </w:pPr>
            <w:r w:rsidRPr="009577DE">
              <w:rPr>
                <w:b/>
                <w:sz w:val="16"/>
                <w:szCs w:val="16"/>
                <w:lang w:val="es-ES_tradnl"/>
              </w:rPr>
              <w:t>Balance a 31 de diciembre de 2011</w:t>
            </w:r>
          </w:p>
        </w:tc>
        <w:tc>
          <w:tcPr>
            <w:tcW w:w="1701" w:type="dxa"/>
            <w:shd w:val="clear" w:color="auto" w:fill="CCFFFF"/>
            <w:vAlign w:val="center"/>
          </w:tcPr>
          <w:p w:rsidR="00B070BF" w:rsidRPr="009577DE" w:rsidRDefault="00B070BF" w:rsidP="00C33D4A">
            <w:pPr>
              <w:widowControl w:val="0"/>
              <w:spacing w:after="220"/>
              <w:jc w:val="center"/>
              <w:rPr>
                <w:b/>
                <w:sz w:val="16"/>
                <w:szCs w:val="16"/>
                <w:lang w:val="es-ES_tradnl"/>
              </w:rPr>
            </w:pPr>
            <w:r w:rsidRPr="009577DE">
              <w:rPr>
                <w:b/>
                <w:sz w:val="16"/>
                <w:szCs w:val="16"/>
                <w:lang w:val="es-ES_tradnl"/>
              </w:rPr>
              <w:t>Ingresos en 2012</w:t>
            </w:r>
          </w:p>
        </w:tc>
        <w:tc>
          <w:tcPr>
            <w:tcW w:w="1843" w:type="dxa"/>
            <w:shd w:val="clear" w:color="auto" w:fill="CCFFFF"/>
            <w:vAlign w:val="center"/>
          </w:tcPr>
          <w:p w:rsidR="00B070BF" w:rsidRPr="009577DE" w:rsidRDefault="00B070BF" w:rsidP="00C33D4A">
            <w:pPr>
              <w:widowControl w:val="0"/>
              <w:spacing w:after="220"/>
              <w:jc w:val="center"/>
              <w:rPr>
                <w:b/>
                <w:sz w:val="16"/>
                <w:szCs w:val="16"/>
                <w:lang w:val="es-ES_tradnl"/>
              </w:rPr>
            </w:pPr>
            <w:r w:rsidRPr="009577DE">
              <w:rPr>
                <w:b/>
                <w:sz w:val="16"/>
                <w:szCs w:val="16"/>
                <w:lang w:val="es-ES_tradnl"/>
              </w:rPr>
              <w:t>Gastos en 2012</w:t>
            </w:r>
          </w:p>
        </w:tc>
        <w:tc>
          <w:tcPr>
            <w:tcW w:w="1701" w:type="dxa"/>
            <w:shd w:val="clear" w:color="auto" w:fill="CCFFFF"/>
            <w:vAlign w:val="center"/>
          </w:tcPr>
          <w:p w:rsidR="00B070BF" w:rsidRPr="009577DE" w:rsidRDefault="00B070BF" w:rsidP="00C33D4A">
            <w:pPr>
              <w:widowControl w:val="0"/>
              <w:spacing w:after="220"/>
              <w:jc w:val="center"/>
              <w:rPr>
                <w:b/>
                <w:sz w:val="16"/>
                <w:szCs w:val="16"/>
                <w:lang w:val="es-ES_tradnl"/>
              </w:rPr>
            </w:pPr>
            <w:r w:rsidRPr="009577DE">
              <w:rPr>
                <w:b/>
                <w:sz w:val="16"/>
                <w:szCs w:val="16"/>
                <w:lang w:val="es-ES_tradnl"/>
              </w:rPr>
              <w:t>Reembolsos</w:t>
            </w:r>
          </w:p>
        </w:tc>
        <w:tc>
          <w:tcPr>
            <w:tcW w:w="1984" w:type="dxa"/>
            <w:shd w:val="clear" w:color="auto" w:fill="CCFFFF"/>
            <w:vAlign w:val="center"/>
          </w:tcPr>
          <w:p w:rsidR="00B070BF" w:rsidRPr="009577DE" w:rsidRDefault="00B070BF" w:rsidP="00C33D4A">
            <w:pPr>
              <w:widowControl w:val="0"/>
              <w:spacing w:after="220"/>
              <w:jc w:val="center"/>
              <w:rPr>
                <w:b/>
                <w:sz w:val="16"/>
                <w:szCs w:val="16"/>
                <w:lang w:val="es-ES_tradnl"/>
              </w:rPr>
            </w:pPr>
            <w:r w:rsidRPr="009577DE">
              <w:rPr>
                <w:b/>
                <w:sz w:val="16"/>
                <w:szCs w:val="16"/>
                <w:lang w:val="es-ES_tradnl"/>
              </w:rPr>
              <w:t>Balance a 31 de diciembre de 2012</w:t>
            </w:r>
          </w:p>
        </w:tc>
      </w:tr>
      <w:tr w:rsidR="00B070BF" w:rsidRPr="009577DE" w:rsidTr="00C33D4A">
        <w:trPr>
          <w:trHeight w:val="567"/>
        </w:trPr>
        <w:tc>
          <w:tcPr>
            <w:tcW w:w="1843" w:type="dxa"/>
            <w:shd w:val="clear" w:color="auto" w:fill="auto"/>
            <w:vAlign w:val="center"/>
          </w:tcPr>
          <w:p w:rsidR="00B070BF" w:rsidRPr="009577DE" w:rsidRDefault="00B070BF" w:rsidP="00C33D4A">
            <w:pPr>
              <w:widowControl w:val="0"/>
              <w:autoSpaceDE w:val="0"/>
              <w:autoSpaceDN w:val="0"/>
              <w:adjustRightInd w:val="0"/>
              <w:spacing w:after="220"/>
              <w:jc w:val="center"/>
              <w:rPr>
                <w:rFonts w:eastAsia="MS Mincho"/>
                <w:sz w:val="16"/>
                <w:szCs w:val="16"/>
                <w:lang w:val="es-ES_tradnl" w:eastAsia="ja-JP" w:bidi="th-TH"/>
              </w:rPr>
            </w:pPr>
            <w:r w:rsidRPr="009577DE">
              <w:rPr>
                <w:rFonts w:eastAsia="MS Mincho"/>
                <w:sz w:val="16"/>
                <w:szCs w:val="16"/>
                <w:lang w:val="es-ES_tradnl" w:eastAsia="ja-JP" w:bidi="th-TH"/>
              </w:rPr>
              <w:t>15.434</w:t>
            </w:r>
          </w:p>
        </w:tc>
        <w:tc>
          <w:tcPr>
            <w:tcW w:w="1701" w:type="dxa"/>
            <w:shd w:val="clear" w:color="auto" w:fill="auto"/>
            <w:vAlign w:val="center"/>
          </w:tcPr>
          <w:p w:rsidR="00B070BF" w:rsidRPr="009577DE" w:rsidRDefault="00B070BF" w:rsidP="00C33D4A">
            <w:pPr>
              <w:widowControl w:val="0"/>
              <w:autoSpaceDE w:val="0"/>
              <w:autoSpaceDN w:val="0"/>
              <w:adjustRightInd w:val="0"/>
              <w:spacing w:after="220"/>
              <w:jc w:val="center"/>
              <w:rPr>
                <w:rFonts w:eastAsia="MS Mincho"/>
                <w:sz w:val="16"/>
                <w:szCs w:val="16"/>
                <w:lang w:val="es-ES_tradnl" w:eastAsia="ja-JP" w:bidi="th-TH"/>
              </w:rPr>
            </w:pPr>
            <w:r w:rsidRPr="009577DE">
              <w:rPr>
                <w:rFonts w:eastAsia="MS Mincho"/>
                <w:sz w:val="16"/>
                <w:szCs w:val="16"/>
                <w:lang w:val="es-ES_tradnl" w:eastAsia="ja-JP" w:bidi="th-TH"/>
              </w:rPr>
              <w:t>–140</w:t>
            </w:r>
          </w:p>
        </w:tc>
        <w:tc>
          <w:tcPr>
            <w:tcW w:w="1843" w:type="dxa"/>
            <w:shd w:val="clear" w:color="auto" w:fill="auto"/>
            <w:vAlign w:val="center"/>
          </w:tcPr>
          <w:p w:rsidR="00B070BF" w:rsidRPr="009577DE" w:rsidRDefault="00B070BF" w:rsidP="00C33D4A">
            <w:pPr>
              <w:widowControl w:val="0"/>
              <w:autoSpaceDE w:val="0"/>
              <w:autoSpaceDN w:val="0"/>
              <w:adjustRightInd w:val="0"/>
              <w:spacing w:after="220"/>
              <w:jc w:val="center"/>
              <w:rPr>
                <w:rFonts w:eastAsia="MS Mincho"/>
                <w:sz w:val="16"/>
                <w:szCs w:val="16"/>
                <w:lang w:val="es-ES_tradnl" w:eastAsia="ja-JP" w:bidi="th-TH"/>
              </w:rPr>
            </w:pPr>
            <w:r w:rsidRPr="009577DE">
              <w:rPr>
                <w:rFonts w:eastAsia="MS Mincho"/>
                <w:sz w:val="16"/>
                <w:szCs w:val="16"/>
                <w:lang w:val="es-ES_tradnl" w:eastAsia="ja-JP" w:bidi="th-TH"/>
              </w:rPr>
              <w:t>92</w:t>
            </w:r>
          </w:p>
        </w:tc>
        <w:tc>
          <w:tcPr>
            <w:tcW w:w="1701" w:type="dxa"/>
            <w:shd w:val="clear" w:color="auto" w:fill="auto"/>
            <w:vAlign w:val="center"/>
          </w:tcPr>
          <w:p w:rsidR="00B070BF" w:rsidRPr="009577DE" w:rsidRDefault="00B070BF" w:rsidP="00C33D4A">
            <w:pPr>
              <w:widowControl w:val="0"/>
              <w:autoSpaceDE w:val="0"/>
              <w:autoSpaceDN w:val="0"/>
              <w:adjustRightInd w:val="0"/>
              <w:spacing w:after="220"/>
              <w:jc w:val="center"/>
              <w:rPr>
                <w:rFonts w:eastAsia="MS Mincho"/>
                <w:sz w:val="16"/>
                <w:szCs w:val="16"/>
                <w:lang w:val="es-ES_tradnl" w:eastAsia="ja-JP" w:bidi="th-TH"/>
              </w:rPr>
            </w:pPr>
            <w:r w:rsidRPr="009577DE">
              <w:rPr>
                <w:rFonts w:eastAsia="MS Mincho"/>
                <w:sz w:val="16"/>
                <w:szCs w:val="16"/>
                <w:lang w:val="es-ES_tradnl" w:eastAsia="ja-JP" w:bidi="th-TH"/>
              </w:rPr>
              <w:t>–</w:t>
            </w:r>
          </w:p>
        </w:tc>
        <w:tc>
          <w:tcPr>
            <w:tcW w:w="1984" w:type="dxa"/>
            <w:shd w:val="clear" w:color="auto" w:fill="auto"/>
            <w:vAlign w:val="center"/>
          </w:tcPr>
          <w:p w:rsidR="00B070BF" w:rsidRPr="009577DE" w:rsidRDefault="00B070BF" w:rsidP="00C33D4A">
            <w:pPr>
              <w:widowControl w:val="0"/>
              <w:autoSpaceDE w:val="0"/>
              <w:autoSpaceDN w:val="0"/>
              <w:adjustRightInd w:val="0"/>
              <w:spacing w:after="220"/>
              <w:jc w:val="center"/>
              <w:rPr>
                <w:rFonts w:eastAsia="MS Mincho"/>
                <w:sz w:val="16"/>
                <w:szCs w:val="16"/>
                <w:lang w:val="es-ES_tradnl" w:eastAsia="ja-JP" w:bidi="th-TH"/>
              </w:rPr>
            </w:pPr>
            <w:r w:rsidRPr="009577DE">
              <w:rPr>
                <w:rFonts w:eastAsia="MS Mincho"/>
                <w:sz w:val="16"/>
                <w:szCs w:val="16"/>
                <w:lang w:val="es-ES_tradnl" w:eastAsia="ja-JP" w:bidi="th-TH"/>
              </w:rPr>
              <w:t>15.20</w:t>
            </w:r>
            <w:r>
              <w:rPr>
                <w:rFonts w:eastAsia="MS Mincho"/>
                <w:sz w:val="16"/>
                <w:szCs w:val="16"/>
                <w:lang w:val="es-ES_tradnl" w:eastAsia="ja-JP" w:bidi="th-TH"/>
              </w:rPr>
              <w:t>1</w:t>
            </w:r>
          </w:p>
        </w:tc>
      </w:tr>
      <w:tr w:rsidR="00B070BF" w:rsidRPr="009577DE" w:rsidTr="00C33D4A">
        <w:trPr>
          <w:trHeight w:val="567"/>
        </w:trPr>
        <w:tc>
          <w:tcPr>
            <w:tcW w:w="1843" w:type="dxa"/>
            <w:shd w:val="clear" w:color="auto" w:fill="auto"/>
            <w:vAlign w:val="center"/>
          </w:tcPr>
          <w:p w:rsidR="00B070BF" w:rsidRPr="009577DE" w:rsidRDefault="00B070BF" w:rsidP="00C33D4A">
            <w:pPr>
              <w:widowControl w:val="0"/>
              <w:autoSpaceDE w:val="0"/>
              <w:autoSpaceDN w:val="0"/>
              <w:adjustRightInd w:val="0"/>
              <w:spacing w:after="220"/>
              <w:jc w:val="center"/>
              <w:rPr>
                <w:rFonts w:eastAsia="MS Mincho"/>
                <w:sz w:val="16"/>
                <w:szCs w:val="16"/>
                <w:lang w:val="es-ES_tradnl" w:eastAsia="ja-JP" w:bidi="th-TH"/>
              </w:rPr>
            </w:pPr>
            <w:r w:rsidRPr="009577DE">
              <w:rPr>
                <w:rFonts w:eastAsia="MS Mincho"/>
                <w:sz w:val="16"/>
                <w:szCs w:val="16"/>
                <w:lang w:val="es-ES_tradnl" w:eastAsia="ja-JP" w:bidi="th-TH"/>
              </w:rPr>
              <w:t>11.837</w:t>
            </w:r>
          </w:p>
        </w:tc>
        <w:tc>
          <w:tcPr>
            <w:tcW w:w="1701" w:type="dxa"/>
            <w:shd w:val="clear" w:color="auto" w:fill="auto"/>
            <w:vAlign w:val="center"/>
          </w:tcPr>
          <w:p w:rsidR="00B070BF" w:rsidRPr="009577DE" w:rsidRDefault="00B070BF" w:rsidP="00C33D4A">
            <w:pPr>
              <w:widowControl w:val="0"/>
              <w:autoSpaceDE w:val="0"/>
              <w:autoSpaceDN w:val="0"/>
              <w:adjustRightInd w:val="0"/>
              <w:spacing w:after="220"/>
              <w:jc w:val="center"/>
              <w:rPr>
                <w:rFonts w:eastAsia="MS Mincho"/>
                <w:sz w:val="16"/>
                <w:szCs w:val="16"/>
                <w:lang w:val="es-ES_tradnl" w:eastAsia="ja-JP" w:bidi="th-TH"/>
              </w:rPr>
            </w:pPr>
            <w:r w:rsidRPr="009577DE">
              <w:rPr>
                <w:rFonts w:eastAsia="MS Mincho"/>
                <w:sz w:val="16"/>
                <w:szCs w:val="16"/>
                <w:lang w:val="es-ES_tradnl" w:eastAsia="ja-JP" w:bidi="th-TH"/>
              </w:rPr>
              <w:t>–126</w:t>
            </w:r>
          </w:p>
        </w:tc>
        <w:tc>
          <w:tcPr>
            <w:tcW w:w="1843" w:type="dxa"/>
            <w:shd w:val="clear" w:color="auto" w:fill="auto"/>
            <w:vAlign w:val="center"/>
          </w:tcPr>
          <w:p w:rsidR="00B070BF" w:rsidRPr="009577DE" w:rsidRDefault="00B070BF" w:rsidP="00C33D4A">
            <w:pPr>
              <w:widowControl w:val="0"/>
              <w:autoSpaceDE w:val="0"/>
              <w:autoSpaceDN w:val="0"/>
              <w:adjustRightInd w:val="0"/>
              <w:spacing w:after="220"/>
              <w:jc w:val="center"/>
              <w:rPr>
                <w:rFonts w:eastAsia="MS Mincho"/>
                <w:sz w:val="16"/>
                <w:szCs w:val="16"/>
                <w:lang w:val="es-ES_tradnl" w:eastAsia="ja-JP" w:bidi="th-TH"/>
              </w:rPr>
            </w:pPr>
            <w:r w:rsidRPr="009577DE">
              <w:rPr>
                <w:rFonts w:eastAsia="MS Mincho"/>
                <w:sz w:val="16"/>
                <w:szCs w:val="16"/>
                <w:lang w:val="es-ES_tradnl" w:eastAsia="ja-JP" w:bidi="th-TH"/>
              </w:rPr>
              <w:t>3.084</w:t>
            </w:r>
          </w:p>
        </w:tc>
        <w:tc>
          <w:tcPr>
            <w:tcW w:w="1701" w:type="dxa"/>
            <w:shd w:val="clear" w:color="auto" w:fill="auto"/>
            <w:vAlign w:val="center"/>
          </w:tcPr>
          <w:p w:rsidR="00B070BF" w:rsidRPr="009577DE" w:rsidRDefault="00B070BF" w:rsidP="00C33D4A">
            <w:pPr>
              <w:widowControl w:val="0"/>
              <w:autoSpaceDE w:val="0"/>
              <w:autoSpaceDN w:val="0"/>
              <w:adjustRightInd w:val="0"/>
              <w:spacing w:after="220"/>
              <w:jc w:val="center"/>
              <w:rPr>
                <w:rFonts w:eastAsia="MS Mincho"/>
                <w:sz w:val="16"/>
                <w:szCs w:val="16"/>
                <w:lang w:val="es-ES_tradnl" w:eastAsia="ja-JP" w:bidi="th-TH"/>
              </w:rPr>
            </w:pPr>
            <w:r w:rsidRPr="009577DE">
              <w:rPr>
                <w:rFonts w:eastAsia="MS Mincho"/>
                <w:sz w:val="16"/>
                <w:szCs w:val="16"/>
                <w:lang w:val="es-ES_tradnl" w:eastAsia="ja-JP" w:bidi="th-TH"/>
              </w:rPr>
              <w:t>–</w:t>
            </w:r>
          </w:p>
        </w:tc>
        <w:tc>
          <w:tcPr>
            <w:tcW w:w="1984" w:type="dxa"/>
            <w:shd w:val="clear" w:color="auto" w:fill="auto"/>
            <w:vAlign w:val="center"/>
          </w:tcPr>
          <w:p w:rsidR="00B070BF" w:rsidRPr="009577DE" w:rsidRDefault="00B070BF" w:rsidP="00C33D4A">
            <w:pPr>
              <w:widowControl w:val="0"/>
              <w:autoSpaceDE w:val="0"/>
              <w:autoSpaceDN w:val="0"/>
              <w:adjustRightInd w:val="0"/>
              <w:spacing w:after="220"/>
              <w:jc w:val="center"/>
              <w:rPr>
                <w:rFonts w:eastAsia="MS Mincho"/>
                <w:sz w:val="16"/>
                <w:szCs w:val="16"/>
                <w:lang w:val="es-ES_tradnl" w:eastAsia="ja-JP" w:bidi="th-TH"/>
              </w:rPr>
            </w:pPr>
            <w:r w:rsidRPr="009577DE">
              <w:rPr>
                <w:rFonts w:eastAsia="MS Mincho"/>
                <w:sz w:val="16"/>
                <w:szCs w:val="16"/>
                <w:lang w:val="es-ES_tradnl" w:eastAsia="ja-JP" w:bidi="th-TH"/>
              </w:rPr>
              <w:t>8.62</w:t>
            </w:r>
            <w:r>
              <w:rPr>
                <w:rFonts w:eastAsia="MS Mincho"/>
                <w:sz w:val="16"/>
                <w:szCs w:val="16"/>
                <w:lang w:val="es-ES_tradnl" w:eastAsia="ja-JP" w:bidi="th-TH"/>
              </w:rPr>
              <w:t>6</w:t>
            </w:r>
          </w:p>
        </w:tc>
      </w:tr>
      <w:tr w:rsidR="00B070BF" w:rsidRPr="009577DE" w:rsidTr="00C33D4A">
        <w:trPr>
          <w:trHeight w:val="567"/>
        </w:trPr>
        <w:tc>
          <w:tcPr>
            <w:tcW w:w="1843" w:type="dxa"/>
            <w:shd w:val="clear" w:color="auto" w:fill="auto"/>
            <w:vAlign w:val="center"/>
          </w:tcPr>
          <w:p w:rsidR="00B070BF" w:rsidRPr="009577DE" w:rsidRDefault="00B070BF" w:rsidP="00C33D4A">
            <w:pPr>
              <w:widowControl w:val="0"/>
              <w:autoSpaceDE w:val="0"/>
              <w:autoSpaceDN w:val="0"/>
              <w:adjustRightInd w:val="0"/>
              <w:spacing w:after="220"/>
              <w:jc w:val="center"/>
              <w:rPr>
                <w:rFonts w:eastAsia="MS Mincho"/>
                <w:sz w:val="16"/>
                <w:szCs w:val="16"/>
                <w:lang w:val="es-ES_tradnl" w:eastAsia="ja-JP" w:bidi="th-TH"/>
              </w:rPr>
            </w:pPr>
            <w:r w:rsidRPr="009577DE">
              <w:rPr>
                <w:rFonts w:eastAsia="MS Mincho"/>
                <w:sz w:val="16"/>
                <w:szCs w:val="16"/>
                <w:lang w:val="es-ES_tradnl" w:eastAsia="ja-JP" w:bidi="th-TH"/>
              </w:rPr>
              <w:t>167.092</w:t>
            </w:r>
          </w:p>
        </w:tc>
        <w:tc>
          <w:tcPr>
            <w:tcW w:w="1701" w:type="dxa"/>
            <w:shd w:val="clear" w:color="auto" w:fill="auto"/>
            <w:vAlign w:val="center"/>
          </w:tcPr>
          <w:p w:rsidR="00B070BF" w:rsidRPr="009577DE" w:rsidRDefault="00B070BF" w:rsidP="00C33D4A">
            <w:pPr>
              <w:widowControl w:val="0"/>
              <w:autoSpaceDE w:val="0"/>
              <w:autoSpaceDN w:val="0"/>
              <w:adjustRightInd w:val="0"/>
              <w:spacing w:after="220"/>
              <w:jc w:val="center"/>
              <w:rPr>
                <w:rFonts w:eastAsia="MS Mincho"/>
                <w:sz w:val="16"/>
                <w:szCs w:val="16"/>
                <w:lang w:val="es-ES_tradnl" w:eastAsia="ja-JP" w:bidi="th-TH"/>
              </w:rPr>
            </w:pPr>
            <w:r w:rsidRPr="009577DE">
              <w:rPr>
                <w:rFonts w:eastAsia="MS Mincho"/>
                <w:sz w:val="16"/>
                <w:szCs w:val="16"/>
                <w:lang w:val="es-ES_tradnl" w:eastAsia="ja-JP" w:bidi="th-TH"/>
              </w:rPr>
              <w:t>40.494</w:t>
            </w:r>
          </w:p>
        </w:tc>
        <w:tc>
          <w:tcPr>
            <w:tcW w:w="1843" w:type="dxa"/>
            <w:shd w:val="clear" w:color="auto" w:fill="auto"/>
            <w:vAlign w:val="center"/>
          </w:tcPr>
          <w:p w:rsidR="00B070BF" w:rsidRPr="009577DE" w:rsidRDefault="00B070BF" w:rsidP="00C33D4A">
            <w:pPr>
              <w:widowControl w:val="0"/>
              <w:autoSpaceDE w:val="0"/>
              <w:autoSpaceDN w:val="0"/>
              <w:adjustRightInd w:val="0"/>
              <w:spacing w:after="220"/>
              <w:jc w:val="center"/>
              <w:rPr>
                <w:rFonts w:eastAsia="MS Mincho"/>
                <w:sz w:val="16"/>
                <w:szCs w:val="16"/>
                <w:lang w:val="es-ES_tradnl" w:eastAsia="ja-JP" w:bidi="th-TH"/>
              </w:rPr>
            </w:pPr>
            <w:r w:rsidRPr="009577DE">
              <w:rPr>
                <w:rFonts w:eastAsia="MS Mincho"/>
                <w:sz w:val="16"/>
                <w:szCs w:val="16"/>
                <w:lang w:val="es-ES_tradnl" w:eastAsia="ja-JP" w:bidi="th-TH"/>
              </w:rPr>
              <w:t>24.952</w:t>
            </w:r>
          </w:p>
        </w:tc>
        <w:tc>
          <w:tcPr>
            <w:tcW w:w="1701" w:type="dxa"/>
            <w:shd w:val="clear" w:color="auto" w:fill="auto"/>
            <w:vAlign w:val="center"/>
          </w:tcPr>
          <w:p w:rsidR="00B070BF" w:rsidRPr="009577DE" w:rsidRDefault="00B070BF" w:rsidP="00C33D4A">
            <w:pPr>
              <w:widowControl w:val="0"/>
              <w:autoSpaceDE w:val="0"/>
              <w:autoSpaceDN w:val="0"/>
              <w:adjustRightInd w:val="0"/>
              <w:spacing w:after="220"/>
              <w:jc w:val="center"/>
              <w:rPr>
                <w:rFonts w:eastAsia="MS Mincho"/>
                <w:sz w:val="16"/>
                <w:szCs w:val="16"/>
                <w:lang w:val="es-ES_tradnl" w:eastAsia="ja-JP" w:bidi="th-TH"/>
              </w:rPr>
            </w:pPr>
            <w:r w:rsidRPr="009577DE">
              <w:rPr>
                <w:rFonts w:eastAsia="MS Mincho"/>
                <w:sz w:val="16"/>
                <w:szCs w:val="16"/>
                <w:lang w:val="es-ES_tradnl" w:eastAsia="ja-JP" w:bidi="th-TH"/>
              </w:rPr>
              <w:t>–</w:t>
            </w:r>
          </w:p>
        </w:tc>
        <w:tc>
          <w:tcPr>
            <w:tcW w:w="1984" w:type="dxa"/>
            <w:shd w:val="clear" w:color="auto" w:fill="auto"/>
            <w:vAlign w:val="center"/>
          </w:tcPr>
          <w:p w:rsidR="00B070BF" w:rsidRPr="009577DE" w:rsidRDefault="00B070BF" w:rsidP="00C33D4A">
            <w:pPr>
              <w:widowControl w:val="0"/>
              <w:autoSpaceDE w:val="0"/>
              <w:autoSpaceDN w:val="0"/>
              <w:adjustRightInd w:val="0"/>
              <w:spacing w:after="220"/>
              <w:jc w:val="center"/>
              <w:rPr>
                <w:rFonts w:eastAsia="MS Mincho"/>
                <w:sz w:val="16"/>
                <w:szCs w:val="16"/>
                <w:lang w:val="es-ES_tradnl" w:eastAsia="ja-JP" w:bidi="th-TH"/>
              </w:rPr>
            </w:pPr>
            <w:r w:rsidRPr="009577DE">
              <w:rPr>
                <w:rFonts w:eastAsia="MS Mincho"/>
                <w:sz w:val="16"/>
                <w:szCs w:val="16"/>
                <w:lang w:val="es-ES_tradnl" w:eastAsia="ja-JP" w:bidi="th-TH"/>
              </w:rPr>
              <w:t>182.634</w:t>
            </w:r>
          </w:p>
        </w:tc>
      </w:tr>
    </w:tbl>
    <w:p w:rsidR="00B070BF" w:rsidRPr="009577DE" w:rsidRDefault="00B070BF" w:rsidP="00B070BF">
      <w:pPr>
        <w:widowControl w:val="0"/>
        <w:spacing w:before="120"/>
        <w:rPr>
          <w:szCs w:val="22"/>
          <w:lang w:val="es-ES_tradnl"/>
        </w:rPr>
      </w:pPr>
      <w:r w:rsidRPr="009577DE">
        <w:rPr>
          <w:i/>
          <w:iCs/>
          <w:sz w:val="16"/>
          <w:szCs w:val="16"/>
          <w:vertAlign w:val="superscript"/>
          <w:lang w:val="es-ES_tradnl"/>
        </w:rPr>
        <w:t xml:space="preserve">1 </w:t>
      </w:r>
      <w:r w:rsidRPr="009577DE">
        <w:rPr>
          <w:i/>
          <w:iCs/>
          <w:sz w:val="16"/>
          <w:szCs w:val="16"/>
          <w:lang w:val="es-ES_tradnl"/>
        </w:rPr>
        <w:t>Estados financieros de la OMPI de 2012 (Anexo III)</w:t>
      </w:r>
    </w:p>
    <w:p w:rsidR="00B070BF" w:rsidRPr="009577DE" w:rsidRDefault="00B070BF" w:rsidP="00B070BF">
      <w:pPr>
        <w:widowControl w:val="0"/>
        <w:autoSpaceDE w:val="0"/>
        <w:autoSpaceDN w:val="0"/>
        <w:adjustRightInd w:val="0"/>
        <w:rPr>
          <w:rFonts w:eastAsia="MS Mincho"/>
          <w:b/>
          <w:bCs/>
          <w:sz w:val="18"/>
          <w:szCs w:val="18"/>
          <w:lang w:val="es-ES_tradnl" w:eastAsia="ja-JP" w:bidi="th-TH"/>
        </w:rPr>
      </w:pPr>
    </w:p>
    <w:p w:rsidR="00B070BF" w:rsidRPr="009577DE" w:rsidRDefault="00B070BF" w:rsidP="00B070BF">
      <w:pPr>
        <w:widowControl w:val="0"/>
        <w:autoSpaceDE w:val="0"/>
        <w:autoSpaceDN w:val="0"/>
        <w:adjustRightInd w:val="0"/>
        <w:rPr>
          <w:rFonts w:eastAsia="MS Mincho"/>
          <w:b/>
          <w:bCs/>
          <w:sz w:val="18"/>
          <w:szCs w:val="18"/>
          <w:lang w:val="es-ES_tradnl" w:eastAsia="ja-JP" w:bidi="th-TH"/>
        </w:rPr>
      </w:pPr>
    </w:p>
    <w:p w:rsidR="00B070BF" w:rsidRPr="009577DE" w:rsidRDefault="00B070BF" w:rsidP="00B070BF">
      <w:pPr>
        <w:keepNext/>
        <w:widowControl w:val="0"/>
        <w:rPr>
          <w:b/>
          <w:sz w:val="20"/>
          <w:lang w:val="es-ES_tradnl"/>
        </w:rPr>
      </w:pPr>
      <w:r w:rsidRPr="009577DE">
        <w:rPr>
          <w:b/>
          <w:sz w:val="20"/>
          <w:lang w:val="es-ES_tradnl"/>
        </w:rPr>
        <w:lastRenderedPageBreak/>
        <w:t>FRANCIA – PROPIEDAD INDUSTRIAL</w:t>
      </w:r>
    </w:p>
    <w:p w:rsidR="00B070BF" w:rsidRPr="009577DE" w:rsidRDefault="00B070BF" w:rsidP="00B070BF">
      <w:pPr>
        <w:keepNext/>
        <w:widowControl w:val="0"/>
        <w:rPr>
          <w:b/>
          <w:sz w:val="16"/>
          <w:szCs w:val="16"/>
          <w:lang w:val="es-ES_tradnl"/>
        </w:rPr>
      </w:pPr>
    </w:p>
    <w:tbl>
      <w:tblPr>
        <w:tblW w:w="9072"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840"/>
        <w:gridCol w:w="1137"/>
        <w:gridCol w:w="2552"/>
        <w:gridCol w:w="3543"/>
      </w:tblGrid>
      <w:tr w:rsidR="00B070BF" w:rsidRPr="009577DE" w:rsidTr="00C33D4A">
        <w:tc>
          <w:tcPr>
            <w:tcW w:w="9072" w:type="dxa"/>
            <w:gridSpan w:val="4"/>
            <w:tcBorders>
              <w:top w:val="single" w:sz="4" w:space="0" w:color="auto"/>
              <w:bottom w:val="single" w:sz="4" w:space="0" w:color="auto"/>
            </w:tcBorders>
            <w:shd w:val="clear" w:color="auto" w:fill="CCFFFF"/>
            <w:vAlign w:val="center"/>
          </w:tcPr>
          <w:p w:rsidR="00B070BF" w:rsidRPr="009577DE" w:rsidRDefault="00B070BF" w:rsidP="00C33D4A">
            <w:pPr>
              <w:widowControl w:val="0"/>
              <w:tabs>
                <w:tab w:val="left" w:pos="1740"/>
              </w:tabs>
              <w:spacing w:before="120" w:after="60"/>
              <w:ind w:left="1741" w:hanging="1741"/>
              <w:rPr>
                <w:b/>
                <w:bCs/>
                <w:sz w:val="16"/>
                <w:szCs w:val="16"/>
                <w:lang w:val="es-ES_tradnl"/>
              </w:rPr>
            </w:pPr>
            <w:r w:rsidRPr="009577DE">
              <w:rPr>
                <w:b/>
                <w:bCs/>
                <w:sz w:val="16"/>
                <w:szCs w:val="16"/>
                <w:lang w:val="es-ES_tradnl"/>
              </w:rPr>
              <w:t>RESULTADO:</w:t>
            </w:r>
            <w:r w:rsidRPr="009577DE">
              <w:rPr>
                <w:b/>
                <w:bCs/>
                <w:sz w:val="16"/>
                <w:szCs w:val="16"/>
                <w:lang w:val="es-ES_tradnl"/>
              </w:rPr>
              <w:tab/>
            </w:r>
            <w:r w:rsidRPr="009577DE">
              <w:rPr>
                <w:bCs/>
                <w:sz w:val="16"/>
                <w:szCs w:val="16"/>
                <w:lang w:val="es-ES_tradnl"/>
              </w:rPr>
              <w:t>Perfeccionamiento de las capacidades institucionales de los altos funcionarios y profesionales de los PMA en P.I. y utilización de la P.I. para el desarrollo tecnológico, económico, social y cultural</w:t>
            </w:r>
          </w:p>
        </w:tc>
      </w:tr>
      <w:tr w:rsidR="00B070BF" w:rsidRPr="009577DE" w:rsidTr="00C33D4A">
        <w:tc>
          <w:tcPr>
            <w:tcW w:w="1840" w:type="dxa"/>
            <w:tcBorders>
              <w:top w:val="single" w:sz="4" w:space="0" w:color="auto"/>
            </w:tcBorders>
            <w:vAlign w:val="center"/>
          </w:tcPr>
          <w:p w:rsidR="00B070BF" w:rsidRPr="009577DE" w:rsidRDefault="00B070BF" w:rsidP="00C33D4A">
            <w:pPr>
              <w:widowControl w:val="0"/>
              <w:rPr>
                <w:b/>
                <w:bCs/>
                <w:sz w:val="16"/>
                <w:szCs w:val="16"/>
                <w:lang w:val="es-ES_tradnl"/>
              </w:rPr>
            </w:pPr>
            <w:r w:rsidRPr="009577DE">
              <w:rPr>
                <w:b/>
                <w:bCs/>
                <w:sz w:val="16"/>
                <w:szCs w:val="16"/>
                <w:lang w:val="es-ES_tradnl"/>
              </w:rPr>
              <w:t>Actividad</w:t>
            </w:r>
          </w:p>
        </w:tc>
        <w:tc>
          <w:tcPr>
            <w:tcW w:w="1137" w:type="dxa"/>
            <w:tcBorders>
              <w:top w:val="single" w:sz="4" w:space="0" w:color="auto"/>
            </w:tcBorders>
            <w:shd w:val="clear" w:color="auto" w:fill="auto"/>
            <w:tcMar>
              <w:top w:w="110" w:type="dxa"/>
            </w:tcMar>
            <w:vAlign w:val="center"/>
          </w:tcPr>
          <w:p w:rsidR="00B070BF" w:rsidRPr="009577DE" w:rsidRDefault="00B070BF" w:rsidP="00C33D4A">
            <w:pPr>
              <w:widowControl w:val="0"/>
              <w:rPr>
                <w:sz w:val="16"/>
                <w:szCs w:val="16"/>
                <w:lang w:val="es-ES_tradnl"/>
              </w:rPr>
            </w:pPr>
            <w:r w:rsidRPr="009577DE">
              <w:rPr>
                <w:b/>
                <w:bCs/>
                <w:sz w:val="16"/>
                <w:szCs w:val="16"/>
                <w:lang w:val="es-ES_tradnl"/>
              </w:rPr>
              <w:t>Fecha</w:t>
            </w:r>
          </w:p>
        </w:tc>
        <w:tc>
          <w:tcPr>
            <w:tcW w:w="2552" w:type="dxa"/>
            <w:tcBorders>
              <w:top w:val="single" w:sz="4" w:space="0" w:color="auto"/>
            </w:tcBorders>
            <w:shd w:val="clear" w:color="auto" w:fill="auto"/>
            <w:tcMar>
              <w:top w:w="110" w:type="dxa"/>
            </w:tcMar>
            <w:vAlign w:val="center"/>
          </w:tcPr>
          <w:p w:rsidR="00B070BF" w:rsidRPr="009577DE" w:rsidRDefault="00B070BF" w:rsidP="00C33D4A">
            <w:pPr>
              <w:widowControl w:val="0"/>
              <w:rPr>
                <w:sz w:val="16"/>
                <w:szCs w:val="16"/>
                <w:lang w:val="es-ES_tradnl"/>
              </w:rPr>
            </w:pPr>
            <w:r w:rsidRPr="009577DE">
              <w:rPr>
                <w:b/>
                <w:bCs/>
                <w:sz w:val="16"/>
                <w:szCs w:val="16"/>
                <w:lang w:val="es-ES_tradnl"/>
              </w:rPr>
              <w:t>País anfitrión/Beneficiarios</w:t>
            </w:r>
          </w:p>
        </w:tc>
        <w:tc>
          <w:tcPr>
            <w:tcW w:w="3543" w:type="dxa"/>
            <w:tcBorders>
              <w:top w:val="single" w:sz="4" w:space="0" w:color="auto"/>
            </w:tcBorders>
            <w:shd w:val="clear" w:color="auto" w:fill="FFFFFF"/>
            <w:tcMar>
              <w:top w:w="110" w:type="dxa"/>
            </w:tcMar>
            <w:vAlign w:val="center"/>
          </w:tcPr>
          <w:p w:rsidR="00B070BF" w:rsidRPr="009577DE" w:rsidRDefault="00B070BF" w:rsidP="00C33D4A">
            <w:pPr>
              <w:widowControl w:val="0"/>
              <w:ind w:left="317"/>
              <w:rPr>
                <w:sz w:val="16"/>
                <w:szCs w:val="16"/>
                <w:lang w:val="es-ES_tradnl"/>
              </w:rPr>
            </w:pPr>
            <w:r w:rsidRPr="009577DE">
              <w:rPr>
                <w:b/>
                <w:bCs/>
                <w:sz w:val="16"/>
                <w:szCs w:val="16"/>
                <w:lang w:val="es-ES_tradnl"/>
              </w:rPr>
              <w:t>Propósito/Descripción</w:t>
            </w:r>
          </w:p>
        </w:tc>
      </w:tr>
      <w:tr w:rsidR="00B070BF" w:rsidRPr="009577DE" w:rsidTr="00C33D4A">
        <w:tc>
          <w:tcPr>
            <w:tcW w:w="1840" w:type="dxa"/>
            <w:tcBorders>
              <w:bottom w:val="single" w:sz="4" w:space="0" w:color="auto"/>
            </w:tcBorders>
          </w:tcPr>
          <w:p w:rsidR="00B070BF" w:rsidRPr="009577DE" w:rsidRDefault="00B070BF" w:rsidP="00C33D4A">
            <w:pPr>
              <w:widowControl w:val="0"/>
              <w:autoSpaceDE w:val="0"/>
              <w:autoSpaceDN w:val="0"/>
              <w:adjustRightInd w:val="0"/>
              <w:spacing w:before="120" w:after="120"/>
              <w:rPr>
                <w:rFonts w:eastAsia="MS Mincho"/>
                <w:sz w:val="16"/>
                <w:szCs w:val="16"/>
                <w:lang w:val="es-ES_tradnl" w:eastAsia="ja-JP" w:bidi="th-TH"/>
              </w:rPr>
            </w:pPr>
            <w:r w:rsidRPr="009577DE">
              <w:rPr>
                <w:rFonts w:eastAsia="MS Mincho"/>
                <w:sz w:val="16"/>
                <w:szCs w:val="16"/>
                <w:lang w:val="es-ES_tradnl" w:eastAsia="ja-JP" w:bidi="th-TH"/>
              </w:rPr>
              <w:t>Reunión OMPI/Instituto Nacional de Propiedad Industrial.</w:t>
            </w:r>
          </w:p>
        </w:tc>
        <w:tc>
          <w:tcPr>
            <w:tcW w:w="1137" w:type="dxa"/>
            <w:tcBorders>
              <w:bottom w:val="single" w:sz="4" w:space="0" w:color="auto"/>
            </w:tcBorders>
          </w:tcPr>
          <w:p w:rsidR="00B070BF" w:rsidRPr="009577DE" w:rsidRDefault="00B070BF" w:rsidP="00C33D4A">
            <w:pPr>
              <w:widowControl w:val="0"/>
              <w:autoSpaceDE w:val="0"/>
              <w:autoSpaceDN w:val="0"/>
              <w:adjustRightInd w:val="0"/>
              <w:spacing w:before="120" w:after="120"/>
              <w:rPr>
                <w:rFonts w:eastAsia="MS Mincho"/>
                <w:sz w:val="16"/>
                <w:szCs w:val="16"/>
                <w:lang w:val="es-ES_tradnl" w:eastAsia="ja-JP" w:bidi="th-TH"/>
              </w:rPr>
            </w:pPr>
            <w:r w:rsidRPr="009577DE">
              <w:rPr>
                <w:rFonts w:eastAsia="MS Mincho"/>
                <w:sz w:val="16"/>
                <w:szCs w:val="16"/>
                <w:lang w:val="es-ES_tradnl" w:eastAsia="ja-JP" w:bidi="th-TH"/>
              </w:rPr>
              <w:t>12 de febrero de 2012</w:t>
            </w:r>
          </w:p>
        </w:tc>
        <w:tc>
          <w:tcPr>
            <w:tcW w:w="2552" w:type="dxa"/>
            <w:tcBorders>
              <w:bottom w:val="single" w:sz="4" w:space="0" w:color="auto"/>
            </w:tcBorders>
          </w:tcPr>
          <w:p w:rsidR="00B070BF" w:rsidRPr="009577DE" w:rsidRDefault="00B070BF" w:rsidP="00C33D4A">
            <w:pPr>
              <w:widowControl w:val="0"/>
              <w:autoSpaceDE w:val="0"/>
              <w:autoSpaceDN w:val="0"/>
              <w:adjustRightInd w:val="0"/>
              <w:spacing w:before="120" w:after="120"/>
              <w:rPr>
                <w:rFonts w:eastAsia="MS Mincho"/>
                <w:sz w:val="16"/>
                <w:szCs w:val="16"/>
                <w:lang w:val="es-ES_tradnl" w:eastAsia="ja-JP" w:bidi="th-TH"/>
              </w:rPr>
            </w:pPr>
            <w:r w:rsidRPr="009577DE">
              <w:rPr>
                <w:rFonts w:eastAsia="MS Mincho"/>
                <w:sz w:val="16"/>
                <w:szCs w:val="16"/>
                <w:lang w:val="es-ES_tradnl" w:eastAsia="ja-JP" w:bidi="th-TH"/>
              </w:rPr>
              <w:t>París (Francia)</w:t>
            </w:r>
          </w:p>
        </w:tc>
        <w:tc>
          <w:tcPr>
            <w:tcW w:w="3543" w:type="dxa"/>
            <w:tcBorders>
              <w:bottom w:val="single" w:sz="4" w:space="0" w:color="auto"/>
            </w:tcBorders>
          </w:tcPr>
          <w:p w:rsidR="00B070BF" w:rsidRPr="009577DE" w:rsidRDefault="00B070BF" w:rsidP="00C33D4A">
            <w:pPr>
              <w:widowControl w:val="0"/>
              <w:autoSpaceDE w:val="0"/>
              <w:autoSpaceDN w:val="0"/>
              <w:adjustRightInd w:val="0"/>
              <w:spacing w:before="120" w:after="120"/>
              <w:ind w:left="317"/>
              <w:rPr>
                <w:rFonts w:eastAsia="MS Mincho"/>
                <w:sz w:val="16"/>
                <w:szCs w:val="16"/>
                <w:lang w:val="es-ES_tradnl" w:eastAsia="ja-JP" w:bidi="th-TH"/>
              </w:rPr>
            </w:pPr>
            <w:r w:rsidRPr="009577DE">
              <w:rPr>
                <w:rFonts w:eastAsia="MS Mincho"/>
                <w:sz w:val="16"/>
                <w:szCs w:val="16"/>
                <w:lang w:val="es-ES_tradnl" w:eastAsia="ja-JP" w:bidi="th-TH"/>
              </w:rPr>
              <w:t>Examinar proyectos en los países africanos.</w:t>
            </w:r>
          </w:p>
        </w:tc>
      </w:tr>
      <w:tr w:rsidR="00B070BF" w:rsidRPr="009577DE" w:rsidTr="00C33D4A">
        <w:tc>
          <w:tcPr>
            <w:tcW w:w="9072" w:type="dxa"/>
            <w:gridSpan w:val="4"/>
            <w:tcBorders>
              <w:top w:val="single" w:sz="4" w:space="0" w:color="auto"/>
              <w:bottom w:val="single" w:sz="4" w:space="0" w:color="auto"/>
            </w:tcBorders>
            <w:shd w:val="clear" w:color="auto" w:fill="CCFFFF"/>
            <w:vAlign w:val="center"/>
          </w:tcPr>
          <w:p w:rsidR="00B070BF" w:rsidRPr="009577DE" w:rsidRDefault="00B070BF" w:rsidP="00C33D4A">
            <w:pPr>
              <w:widowControl w:val="0"/>
              <w:tabs>
                <w:tab w:val="left" w:pos="1740"/>
              </w:tabs>
              <w:spacing w:before="120" w:after="60"/>
              <w:ind w:left="1741" w:hanging="1741"/>
              <w:rPr>
                <w:b/>
                <w:bCs/>
                <w:sz w:val="16"/>
                <w:szCs w:val="16"/>
                <w:lang w:val="es-ES_tradnl"/>
              </w:rPr>
            </w:pPr>
            <w:r w:rsidRPr="009577DE">
              <w:rPr>
                <w:b/>
                <w:bCs/>
                <w:sz w:val="16"/>
                <w:szCs w:val="16"/>
                <w:lang w:val="es-ES_tradnl"/>
              </w:rPr>
              <w:t>RESULTADO:</w:t>
            </w:r>
            <w:r w:rsidRPr="009577DE">
              <w:rPr>
                <w:b/>
                <w:bCs/>
                <w:sz w:val="16"/>
                <w:szCs w:val="16"/>
                <w:lang w:val="es-ES_tradnl"/>
              </w:rPr>
              <w:tab/>
            </w:r>
            <w:r w:rsidRPr="009577DE">
              <w:rPr>
                <w:bCs/>
                <w:sz w:val="16"/>
                <w:szCs w:val="16"/>
                <w:lang w:val="es-ES_tradnl"/>
              </w:rPr>
              <w:t>Mejora de las capacidades en el ámbito de los recursos humanos para hacer frente al amplio espectro de exigencias que supone la utilización eficaz de la P.I. en aras del desarrollo en los países en desarrollo, PMA y países con economías en transición</w:t>
            </w:r>
          </w:p>
        </w:tc>
      </w:tr>
      <w:tr w:rsidR="00B070BF" w:rsidRPr="009577DE" w:rsidTr="00C33D4A">
        <w:tc>
          <w:tcPr>
            <w:tcW w:w="1840" w:type="dxa"/>
            <w:tcBorders>
              <w:top w:val="single" w:sz="4" w:space="0" w:color="auto"/>
            </w:tcBorders>
            <w:vAlign w:val="center"/>
          </w:tcPr>
          <w:p w:rsidR="00B070BF" w:rsidRPr="009577DE" w:rsidRDefault="00B070BF" w:rsidP="00C33D4A">
            <w:pPr>
              <w:widowControl w:val="0"/>
              <w:rPr>
                <w:b/>
                <w:bCs/>
                <w:sz w:val="16"/>
                <w:szCs w:val="16"/>
                <w:lang w:val="es-ES_tradnl"/>
              </w:rPr>
            </w:pPr>
            <w:r w:rsidRPr="009577DE">
              <w:rPr>
                <w:b/>
                <w:bCs/>
                <w:sz w:val="16"/>
                <w:szCs w:val="16"/>
                <w:lang w:val="es-ES_tradnl"/>
              </w:rPr>
              <w:t>Actividad</w:t>
            </w:r>
          </w:p>
        </w:tc>
        <w:tc>
          <w:tcPr>
            <w:tcW w:w="1137" w:type="dxa"/>
            <w:tcBorders>
              <w:top w:val="single" w:sz="4" w:space="0" w:color="auto"/>
            </w:tcBorders>
            <w:shd w:val="clear" w:color="auto" w:fill="auto"/>
            <w:tcMar>
              <w:top w:w="110" w:type="dxa"/>
            </w:tcMar>
            <w:vAlign w:val="center"/>
          </w:tcPr>
          <w:p w:rsidR="00B070BF" w:rsidRPr="009577DE" w:rsidRDefault="00B070BF" w:rsidP="00C33D4A">
            <w:pPr>
              <w:widowControl w:val="0"/>
              <w:rPr>
                <w:sz w:val="16"/>
                <w:szCs w:val="16"/>
                <w:lang w:val="es-ES_tradnl"/>
              </w:rPr>
            </w:pPr>
            <w:r w:rsidRPr="009577DE">
              <w:rPr>
                <w:b/>
                <w:bCs/>
                <w:sz w:val="16"/>
                <w:szCs w:val="16"/>
                <w:lang w:val="es-ES_tradnl"/>
              </w:rPr>
              <w:t>Fecha</w:t>
            </w:r>
          </w:p>
        </w:tc>
        <w:tc>
          <w:tcPr>
            <w:tcW w:w="2552" w:type="dxa"/>
            <w:tcBorders>
              <w:top w:val="single" w:sz="4" w:space="0" w:color="auto"/>
            </w:tcBorders>
            <w:shd w:val="clear" w:color="auto" w:fill="auto"/>
            <w:tcMar>
              <w:top w:w="110" w:type="dxa"/>
            </w:tcMar>
            <w:vAlign w:val="center"/>
          </w:tcPr>
          <w:p w:rsidR="00B070BF" w:rsidRPr="009577DE" w:rsidRDefault="00B070BF" w:rsidP="00C33D4A">
            <w:pPr>
              <w:widowControl w:val="0"/>
              <w:rPr>
                <w:sz w:val="16"/>
                <w:szCs w:val="16"/>
                <w:lang w:val="es-ES_tradnl"/>
              </w:rPr>
            </w:pPr>
            <w:r w:rsidRPr="009577DE">
              <w:rPr>
                <w:b/>
                <w:bCs/>
                <w:sz w:val="16"/>
                <w:szCs w:val="16"/>
                <w:lang w:val="es-ES_tradnl"/>
              </w:rPr>
              <w:t>País anfitrión/Beneficiarios</w:t>
            </w:r>
          </w:p>
        </w:tc>
        <w:tc>
          <w:tcPr>
            <w:tcW w:w="3543" w:type="dxa"/>
            <w:tcBorders>
              <w:top w:val="single" w:sz="4" w:space="0" w:color="auto"/>
            </w:tcBorders>
            <w:shd w:val="clear" w:color="auto" w:fill="FFFFFF"/>
            <w:tcMar>
              <w:top w:w="110" w:type="dxa"/>
            </w:tcMar>
            <w:vAlign w:val="center"/>
          </w:tcPr>
          <w:p w:rsidR="00B070BF" w:rsidRPr="009577DE" w:rsidRDefault="00B070BF" w:rsidP="00C33D4A">
            <w:pPr>
              <w:widowControl w:val="0"/>
              <w:ind w:left="317"/>
              <w:rPr>
                <w:sz w:val="16"/>
                <w:szCs w:val="16"/>
                <w:lang w:val="es-ES_tradnl"/>
              </w:rPr>
            </w:pPr>
            <w:r w:rsidRPr="009577DE">
              <w:rPr>
                <w:b/>
                <w:bCs/>
                <w:sz w:val="16"/>
                <w:szCs w:val="16"/>
                <w:lang w:val="es-ES_tradnl"/>
              </w:rPr>
              <w:t>Propósito/Descripción</w:t>
            </w:r>
          </w:p>
        </w:tc>
      </w:tr>
      <w:tr w:rsidR="00B070BF" w:rsidRPr="009577DE" w:rsidTr="00C33D4A">
        <w:tc>
          <w:tcPr>
            <w:tcW w:w="1840" w:type="dxa"/>
          </w:tcPr>
          <w:p w:rsidR="00B070BF" w:rsidRPr="009577DE" w:rsidRDefault="00B070BF" w:rsidP="00C33D4A">
            <w:pPr>
              <w:widowControl w:val="0"/>
              <w:autoSpaceDE w:val="0"/>
              <w:autoSpaceDN w:val="0"/>
              <w:adjustRightInd w:val="0"/>
              <w:spacing w:before="120" w:after="120"/>
              <w:rPr>
                <w:rFonts w:eastAsia="MS Mincho"/>
                <w:sz w:val="16"/>
                <w:szCs w:val="16"/>
                <w:lang w:val="es-ES_tradnl" w:eastAsia="ja-JP" w:bidi="th-TH"/>
              </w:rPr>
            </w:pPr>
            <w:r w:rsidRPr="009577DE">
              <w:rPr>
                <w:rFonts w:eastAsia="MS Mincho"/>
                <w:sz w:val="16"/>
                <w:szCs w:val="16"/>
                <w:lang w:val="es-ES_tradnl" w:eastAsia="ja-JP" w:bidi="th-TH"/>
              </w:rPr>
              <w:t>Seminario subregional para promover el respeto de la P.I. entre los jueces de los Estados miembros de la OMPI y otros países de habla francesa del África Subsahariana.</w:t>
            </w:r>
          </w:p>
        </w:tc>
        <w:tc>
          <w:tcPr>
            <w:tcW w:w="1137" w:type="dxa"/>
          </w:tcPr>
          <w:p w:rsidR="00B070BF" w:rsidRPr="009577DE" w:rsidRDefault="00B070BF" w:rsidP="00C33D4A">
            <w:pPr>
              <w:widowControl w:val="0"/>
              <w:autoSpaceDE w:val="0"/>
              <w:autoSpaceDN w:val="0"/>
              <w:adjustRightInd w:val="0"/>
              <w:spacing w:before="120" w:after="120"/>
              <w:rPr>
                <w:rFonts w:eastAsia="MS Mincho"/>
                <w:sz w:val="16"/>
                <w:szCs w:val="16"/>
                <w:lang w:val="es-ES_tradnl" w:eastAsia="ja-JP" w:bidi="th-TH"/>
              </w:rPr>
            </w:pPr>
            <w:r w:rsidRPr="009577DE">
              <w:rPr>
                <w:rFonts w:eastAsia="MS Mincho"/>
                <w:sz w:val="16"/>
                <w:szCs w:val="16"/>
                <w:lang w:val="es-ES_tradnl" w:eastAsia="ja-JP" w:bidi="th-TH"/>
              </w:rPr>
              <w:t>20 a 22 de octubre de 2012</w:t>
            </w:r>
          </w:p>
        </w:tc>
        <w:tc>
          <w:tcPr>
            <w:tcW w:w="2552" w:type="dxa"/>
          </w:tcPr>
          <w:p w:rsidR="00B070BF" w:rsidRPr="009577DE" w:rsidRDefault="00B070BF" w:rsidP="00C33D4A">
            <w:pPr>
              <w:widowControl w:val="0"/>
              <w:autoSpaceDE w:val="0"/>
              <w:autoSpaceDN w:val="0"/>
              <w:adjustRightInd w:val="0"/>
              <w:spacing w:after="60"/>
              <w:rPr>
                <w:rFonts w:eastAsia="MS Mincho"/>
                <w:sz w:val="16"/>
                <w:szCs w:val="16"/>
                <w:lang w:val="es-ES_tradnl" w:eastAsia="ja-JP" w:bidi="th-TH"/>
              </w:rPr>
            </w:pPr>
          </w:p>
          <w:p w:rsidR="00B070BF" w:rsidRPr="009577DE" w:rsidRDefault="00B070BF" w:rsidP="00C33D4A">
            <w:pPr>
              <w:widowControl w:val="0"/>
              <w:autoSpaceDE w:val="0"/>
              <w:autoSpaceDN w:val="0"/>
              <w:adjustRightInd w:val="0"/>
              <w:spacing w:after="60"/>
              <w:rPr>
                <w:rFonts w:eastAsia="MS Mincho"/>
                <w:sz w:val="16"/>
                <w:szCs w:val="16"/>
                <w:lang w:val="es-ES_tradnl" w:eastAsia="ja-JP" w:bidi="th-TH"/>
              </w:rPr>
            </w:pPr>
            <w:proofErr w:type="spellStart"/>
            <w:r w:rsidRPr="009577DE">
              <w:rPr>
                <w:rFonts w:eastAsia="MS Mincho"/>
                <w:sz w:val="16"/>
                <w:szCs w:val="16"/>
                <w:lang w:val="es-ES_tradnl" w:eastAsia="ja-JP" w:bidi="th-TH"/>
              </w:rPr>
              <w:t>Abidján</w:t>
            </w:r>
            <w:proofErr w:type="spellEnd"/>
            <w:r w:rsidRPr="009577DE">
              <w:rPr>
                <w:rFonts w:eastAsia="MS Mincho"/>
                <w:sz w:val="16"/>
                <w:szCs w:val="16"/>
                <w:lang w:val="es-ES_tradnl" w:eastAsia="ja-JP" w:bidi="th-TH"/>
              </w:rPr>
              <w:t xml:space="preserve"> (</w:t>
            </w:r>
            <w:proofErr w:type="spellStart"/>
            <w:r w:rsidRPr="009577DE">
              <w:rPr>
                <w:rFonts w:eastAsia="MS Mincho"/>
                <w:sz w:val="16"/>
                <w:szCs w:val="16"/>
                <w:lang w:val="es-ES_tradnl" w:eastAsia="ja-JP" w:bidi="th-TH"/>
              </w:rPr>
              <w:t>Côte</w:t>
            </w:r>
            <w:proofErr w:type="spellEnd"/>
            <w:r w:rsidRPr="009577DE">
              <w:rPr>
                <w:rFonts w:eastAsia="MS Mincho"/>
                <w:sz w:val="16"/>
                <w:szCs w:val="16"/>
                <w:lang w:val="es-ES_tradnl" w:eastAsia="ja-JP" w:bidi="th-TH"/>
              </w:rPr>
              <w:t xml:space="preserve"> </w:t>
            </w:r>
            <w:proofErr w:type="spellStart"/>
            <w:r w:rsidRPr="009577DE">
              <w:rPr>
                <w:rFonts w:eastAsia="MS Mincho"/>
                <w:sz w:val="16"/>
                <w:szCs w:val="16"/>
                <w:lang w:val="es-ES_tradnl" w:eastAsia="ja-JP" w:bidi="th-TH"/>
              </w:rPr>
              <w:t>d’Ivoire</w:t>
            </w:r>
            <w:proofErr w:type="spellEnd"/>
            <w:r w:rsidRPr="009577DE">
              <w:rPr>
                <w:rFonts w:eastAsia="MS Mincho"/>
                <w:sz w:val="16"/>
                <w:szCs w:val="16"/>
                <w:lang w:val="es-ES_tradnl" w:eastAsia="ja-JP" w:bidi="th-TH"/>
              </w:rPr>
              <w:t>)</w:t>
            </w:r>
          </w:p>
        </w:tc>
        <w:tc>
          <w:tcPr>
            <w:tcW w:w="3543" w:type="dxa"/>
          </w:tcPr>
          <w:p w:rsidR="00B070BF" w:rsidRPr="009577DE" w:rsidRDefault="00B070BF" w:rsidP="00C33D4A">
            <w:pPr>
              <w:widowControl w:val="0"/>
              <w:autoSpaceDE w:val="0"/>
              <w:autoSpaceDN w:val="0"/>
              <w:adjustRightInd w:val="0"/>
              <w:spacing w:before="120" w:after="120"/>
              <w:ind w:left="317"/>
              <w:rPr>
                <w:rFonts w:eastAsia="MS Mincho"/>
                <w:sz w:val="16"/>
                <w:szCs w:val="16"/>
                <w:lang w:val="es-ES_tradnl" w:eastAsia="ja-JP" w:bidi="th-TH"/>
              </w:rPr>
            </w:pPr>
            <w:r w:rsidRPr="009577DE">
              <w:rPr>
                <w:rFonts w:eastAsia="MS Mincho"/>
                <w:sz w:val="16"/>
                <w:szCs w:val="16"/>
                <w:lang w:val="es-ES_tradnl" w:eastAsia="ja-JP" w:bidi="th-TH"/>
              </w:rPr>
              <w:t>Los objetivos del seminario fueron los siguientes:  i) mejorar las capacidades de los jueces y funcionarios en el manejo de las cuestiones relativas a los litigios sobre P.I.;  y ii) dar a los jueces de los países de la OAPI la oportunidad de encontrarse e intercambiar información sobre los derechos de P.I. en sus países y en otros países africanos de habla francesa.</w:t>
            </w:r>
          </w:p>
        </w:tc>
      </w:tr>
    </w:tbl>
    <w:p w:rsidR="00B070BF" w:rsidRPr="009577DE" w:rsidRDefault="00B070BF" w:rsidP="00B070BF">
      <w:pPr>
        <w:widowControl w:val="0"/>
        <w:rPr>
          <w:b/>
          <w:sz w:val="16"/>
          <w:szCs w:val="16"/>
          <w:lang w:val="es-ES_tradnl"/>
        </w:rPr>
      </w:pPr>
    </w:p>
    <w:p w:rsidR="00B070BF" w:rsidRPr="009577DE" w:rsidRDefault="00B070BF" w:rsidP="00B070BF">
      <w:pPr>
        <w:widowControl w:val="0"/>
        <w:rPr>
          <w:b/>
          <w:sz w:val="16"/>
          <w:szCs w:val="16"/>
          <w:lang w:val="es-ES_tradnl"/>
        </w:rPr>
      </w:pPr>
    </w:p>
    <w:p w:rsidR="00B070BF" w:rsidRPr="009577DE" w:rsidRDefault="00B070BF" w:rsidP="00B070BF">
      <w:pPr>
        <w:widowControl w:val="0"/>
        <w:rPr>
          <w:b/>
          <w:sz w:val="20"/>
          <w:lang w:val="es-ES_tradnl"/>
        </w:rPr>
      </w:pPr>
      <w:r w:rsidRPr="009577DE">
        <w:rPr>
          <w:b/>
          <w:sz w:val="20"/>
          <w:lang w:val="es-ES_tradnl"/>
        </w:rPr>
        <w:t>FRANCIA – PROPIEDAD INDUSTRIAL – Contribuciones de donantes y gastos en 2012</w:t>
      </w:r>
      <w:r w:rsidRPr="009577DE">
        <w:rPr>
          <w:b/>
          <w:sz w:val="20"/>
          <w:vertAlign w:val="superscript"/>
          <w:lang w:val="es-ES_tradnl"/>
        </w:rPr>
        <w:t>1</w:t>
      </w:r>
    </w:p>
    <w:p w:rsidR="00B070BF" w:rsidRPr="009577DE" w:rsidRDefault="00B070BF" w:rsidP="00B070BF">
      <w:pPr>
        <w:widowControl w:val="0"/>
        <w:rPr>
          <w:sz w:val="20"/>
          <w:lang w:val="es-ES_tradn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3"/>
        <w:gridCol w:w="1701"/>
        <w:gridCol w:w="1843"/>
        <w:gridCol w:w="1701"/>
        <w:gridCol w:w="1984"/>
      </w:tblGrid>
      <w:tr w:rsidR="00B070BF" w:rsidRPr="009577DE" w:rsidTr="00C33D4A">
        <w:trPr>
          <w:trHeight w:val="567"/>
        </w:trPr>
        <w:tc>
          <w:tcPr>
            <w:tcW w:w="1843" w:type="dxa"/>
            <w:shd w:val="clear" w:color="auto" w:fill="CCFFFF"/>
            <w:vAlign w:val="center"/>
          </w:tcPr>
          <w:p w:rsidR="00B070BF" w:rsidRPr="009577DE" w:rsidRDefault="00B070BF" w:rsidP="00C33D4A">
            <w:pPr>
              <w:widowControl w:val="0"/>
              <w:spacing w:after="220"/>
              <w:jc w:val="center"/>
              <w:rPr>
                <w:b/>
                <w:sz w:val="16"/>
                <w:szCs w:val="16"/>
                <w:lang w:val="es-ES_tradnl"/>
              </w:rPr>
            </w:pPr>
            <w:r w:rsidRPr="009577DE">
              <w:rPr>
                <w:b/>
                <w:sz w:val="16"/>
                <w:szCs w:val="16"/>
                <w:lang w:val="es-ES_tradnl"/>
              </w:rPr>
              <w:t>Balance a 31 de diciembre de 2011</w:t>
            </w:r>
          </w:p>
        </w:tc>
        <w:tc>
          <w:tcPr>
            <w:tcW w:w="1701" w:type="dxa"/>
            <w:shd w:val="clear" w:color="auto" w:fill="CCFFFF"/>
            <w:vAlign w:val="center"/>
          </w:tcPr>
          <w:p w:rsidR="00B070BF" w:rsidRPr="009577DE" w:rsidRDefault="00B070BF" w:rsidP="00C33D4A">
            <w:pPr>
              <w:widowControl w:val="0"/>
              <w:spacing w:after="220"/>
              <w:jc w:val="center"/>
              <w:rPr>
                <w:b/>
                <w:sz w:val="16"/>
                <w:szCs w:val="16"/>
                <w:lang w:val="es-ES_tradnl"/>
              </w:rPr>
            </w:pPr>
            <w:r w:rsidRPr="009577DE">
              <w:rPr>
                <w:b/>
                <w:sz w:val="16"/>
                <w:szCs w:val="16"/>
                <w:lang w:val="es-ES_tradnl"/>
              </w:rPr>
              <w:t>Ingresos en 2012</w:t>
            </w:r>
          </w:p>
        </w:tc>
        <w:tc>
          <w:tcPr>
            <w:tcW w:w="1843" w:type="dxa"/>
            <w:shd w:val="clear" w:color="auto" w:fill="CCFFFF"/>
            <w:vAlign w:val="center"/>
          </w:tcPr>
          <w:p w:rsidR="00B070BF" w:rsidRPr="009577DE" w:rsidRDefault="00B070BF" w:rsidP="00C33D4A">
            <w:pPr>
              <w:widowControl w:val="0"/>
              <w:spacing w:after="220"/>
              <w:jc w:val="center"/>
              <w:rPr>
                <w:b/>
                <w:sz w:val="16"/>
                <w:szCs w:val="16"/>
                <w:lang w:val="es-ES_tradnl"/>
              </w:rPr>
            </w:pPr>
            <w:r w:rsidRPr="009577DE">
              <w:rPr>
                <w:b/>
                <w:sz w:val="16"/>
                <w:szCs w:val="16"/>
                <w:lang w:val="es-ES_tradnl"/>
              </w:rPr>
              <w:t>Gastos en 2012</w:t>
            </w:r>
          </w:p>
        </w:tc>
        <w:tc>
          <w:tcPr>
            <w:tcW w:w="1701" w:type="dxa"/>
            <w:shd w:val="clear" w:color="auto" w:fill="CCFFFF"/>
            <w:vAlign w:val="center"/>
          </w:tcPr>
          <w:p w:rsidR="00B070BF" w:rsidRPr="009577DE" w:rsidRDefault="00B070BF" w:rsidP="00C33D4A">
            <w:pPr>
              <w:widowControl w:val="0"/>
              <w:spacing w:after="220"/>
              <w:jc w:val="center"/>
              <w:rPr>
                <w:b/>
                <w:sz w:val="16"/>
                <w:szCs w:val="16"/>
                <w:lang w:val="es-ES_tradnl"/>
              </w:rPr>
            </w:pPr>
            <w:r w:rsidRPr="009577DE">
              <w:rPr>
                <w:b/>
                <w:sz w:val="16"/>
                <w:szCs w:val="16"/>
                <w:lang w:val="es-ES_tradnl"/>
              </w:rPr>
              <w:t>Reembolsos</w:t>
            </w:r>
          </w:p>
        </w:tc>
        <w:tc>
          <w:tcPr>
            <w:tcW w:w="1984" w:type="dxa"/>
            <w:shd w:val="clear" w:color="auto" w:fill="CCFFFF"/>
            <w:vAlign w:val="center"/>
          </w:tcPr>
          <w:p w:rsidR="00B070BF" w:rsidRPr="009577DE" w:rsidRDefault="00B070BF" w:rsidP="00C33D4A">
            <w:pPr>
              <w:widowControl w:val="0"/>
              <w:spacing w:after="220"/>
              <w:jc w:val="center"/>
              <w:rPr>
                <w:b/>
                <w:sz w:val="16"/>
                <w:szCs w:val="16"/>
                <w:lang w:val="es-ES_tradnl"/>
              </w:rPr>
            </w:pPr>
            <w:r w:rsidRPr="009577DE">
              <w:rPr>
                <w:b/>
                <w:sz w:val="16"/>
                <w:szCs w:val="16"/>
                <w:lang w:val="es-ES_tradnl"/>
              </w:rPr>
              <w:t>Balance a 31 de diciembre de 2012</w:t>
            </w:r>
          </w:p>
        </w:tc>
      </w:tr>
      <w:tr w:rsidR="00B070BF" w:rsidRPr="009577DE" w:rsidTr="00C33D4A">
        <w:trPr>
          <w:trHeight w:val="567"/>
        </w:trPr>
        <w:tc>
          <w:tcPr>
            <w:tcW w:w="1843" w:type="dxa"/>
            <w:shd w:val="clear" w:color="auto" w:fill="auto"/>
            <w:vAlign w:val="center"/>
          </w:tcPr>
          <w:p w:rsidR="00B070BF" w:rsidRPr="009577DE" w:rsidRDefault="00B070BF" w:rsidP="00C33D4A">
            <w:pPr>
              <w:widowControl w:val="0"/>
              <w:autoSpaceDE w:val="0"/>
              <w:autoSpaceDN w:val="0"/>
              <w:adjustRightInd w:val="0"/>
              <w:spacing w:after="220"/>
              <w:jc w:val="center"/>
              <w:rPr>
                <w:rFonts w:eastAsia="MS Mincho"/>
                <w:sz w:val="16"/>
                <w:szCs w:val="16"/>
                <w:lang w:val="es-ES_tradnl" w:eastAsia="ja-JP" w:bidi="th-TH"/>
              </w:rPr>
            </w:pPr>
            <w:r w:rsidRPr="009577DE">
              <w:rPr>
                <w:rFonts w:eastAsia="MS Mincho"/>
                <w:sz w:val="16"/>
                <w:szCs w:val="16"/>
                <w:lang w:val="es-ES_tradnl" w:eastAsia="ja-JP" w:bidi="th-TH"/>
              </w:rPr>
              <w:t>287.845</w:t>
            </w:r>
          </w:p>
        </w:tc>
        <w:tc>
          <w:tcPr>
            <w:tcW w:w="1701" w:type="dxa"/>
            <w:shd w:val="clear" w:color="auto" w:fill="auto"/>
            <w:vAlign w:val="center"/>
          </w:tcPr>
          <w:p w:rsidR="00B070BF" w:rsidRPr="009577DE" w:rsidRDefault="00B070BF" w:rsidP="00C33D4A">
            <w:pPr>
              <w:widowControl w:val="0"/>
              <w:autoSpaceDE w:val="0"/>
              <w:autoSpaceDN w:val="0"/>
              <w:adjustRightInd w:val="0"/>
              <w:spacing w:after="220"/>
              <w:jc w:val="center"/>
              <w:rPr>
                <w:rFonts w:eastAsia="MS Mincho"/>
                <w:sz w:val="16"/>
                <w:szCs w:val="16"/>
                <w:lang w:val="es-ES_tradnl" w:eastAsia="ja-JP" w:bidi="th-TH"/>
              </w:rPr>
            </w:pPr>
            <w:r w:rsidRPr="009577DE">
              <w:rPr>
                <w:rFonts w:eastAsia="MS Mincho"/>
                <w:sz w:val="16"/>
                <w:szCs w:val="16"/>
                <w:lang w:val="es-ES_tradnl" w:eastAsia="ja-JP" w:bidi="th-TH"/>
              </w:rPr>
              <w:t>300.609</w:t>
            </w:r>
          </w:p>
        </w:tc>
        <w:tc>
          <w:tcPr>
            <w:tcW w:w="1843" w:type="dxa"/>
            <w:shd w:val="clear" w:color="auto" w:fill="auto"/>
            <w:vAlign w:val="center"/>
          </w:tcPr>
          <w:p w:rsidR="00B070BF" w:rsidRPr="009577DE" w:rsidRDefault="00B070BF" w:rsidP="00C33D4A">
            <w:pPr>
              <w:widowControl w:val="0"/>
              <w:autoSpaceDE w:val="0"/>
              <w:autoSpaceDN w:val="0"/>
              <w:adjustRightInd w:val="0"/>
              <w:spacing w:after="220"/>
              <w:jc w:val="center"/>
              <w:rPr>
                <w:rFonts w:eastAsia="MS Mincho"/>
                <w:sz w:val="16"/>
                <w:szCs w:val="16"/>
                <w:lang w:val="es-ES_tradnl" w:eastAsia="ja-JP" w:bidi="th-TH"/>
              </w:rPr>
            </w:pPr>
            <w:r w:rsidRPr="009577DE">
              <w:rPr>
                <w:rFonts w:eastAsia="MS Mincho"/>
                <w:sz w:val="16"/>
                <w:szCs w:val="16"/>
                <w:lang w:val="es-ES_tradnl" w:eastAsia="ja-JP" w:bidi="th-TH"/>
              </w:rPr>
              <w:t>41.167</w:t>
            </w:r>
          </w:p>
        </w:tc>
        <w:tc>
          <w:tcPr>
            <w:tcW w:w="1701" w:type="dxa"/>
            <w:shd w:val="clear" w:color="auto" w:fill="auto"/>
            <w:vAlign w:val="center"/>
          </w:tcPr>
          <w:p w:rsidR="00B070BF" w:rsidRPr="009577DE" w:rsidRDefault="00B070BF" w:rsidP="00C33D4A">
            <w:pPr>
              <w:widowControl w:val="0"/>
              <w:autoSpaceDE w:val="0"/>
              <w:autoSpaceDN w:val="0"/>
              <w:adjustRightInd w:val="0"/>
              <w:spacing w:after="220"/>
              <w:jc w:val="center"/>
              <w:rPr>
                <w:rFonts w:eastAsia="MS Mincho"/>
                <w:sz w:val="16"/>
                <w:szCs w:val="16"/>
                <w:lang w:val="es-ES_tradnl" w:eastAsia="ja-JP" w:bidi="th-TH"/>
              </w:rPr>
            </w:pPr>
            <w:r w:rsidRPr="009577DE">
              <w:rPr>
                <w:rFonts w:eastAsia="MS Mincho"/>
                <w:sz w:val="16"/>
                <w:szCs w:val="16"/>
                <w:lang w:val="es-ES_tradnl" w:eastAsia="ja-JP" w:bidi="th-TH"/>
              </w:rPr>
              <w:t>–</w:t>
            </w:r>
          </w:p>
        </w:tc>
        <w:tc>
          <w:tcPr>
            <w:tcW w:w="1984" w:type="dxa"/>
            <w:shd w:val="clear" w:color="auto" w:fill="auto"/>
            <w:vAlign w:val="center"/>
          </w:tcPr>
          <w:p w:rsidR="00B070BF" w:rsidRPr="009577DE" w:rsidRDefault="00B070BF" w:rsidP="00C33D4A">
            <w:pPr>
              <w:widowControl w:val="0"/>
              <w:autoSpaceDE w:val="0"/>
              <w:autoSpaceDN w:val="0"/>
              <w:adjustRightInd w:val="0"/>
              <w:spacing w:after="220"/>
              <w:jc w:val="center"/>
              <w:rPr>
                <w:rFonts w:eastAsia="MS Mincho"/>
                <w:sz w:val="16"/>
                <w:szCs w:val="16"/>
                <w:lang w:val="es-ES_tradnl" w:eastAsia="ja-JP" w:bidi="th-TH"/>
              </w:rPr>
            </w:pPr>
            <w:r w:rsidRPr="009577DE">
              <w:rPr>
                <w:rFonts w:eastAsia="MS Mincho"/>
                <w:sz w:val="16"/>
                <w:szCs w:val="16"/>
                <w:lang w:val="es-ES_tradnl" w:eastAsia="ja-JP" w:bidi="th-TH"/>
              </w:rPr>
              <w:t>547.287</w:t>
            </w:r>
          </w:p>
        </w:tc>
      </w:tr>
    </w:tbl>
    <w:p w:rsidR="00B070BF" w:rsidRPr="009577DE" w:rsidRDefault="00B070BF" w:rsidP="00B070BF">
      <w:pPr>
        <w:widowControl w:val="0"/>
        <w:spacing w:before="120"/>
        <w:rPr>
          <w:szCs w:val="22"/>
          <w:lang w:val="es-ES_tradnl"/>
        </w:rPr>
      </w:pPr>
      <w:r w:rsidRPr="009577DE">
        <w:rPr>
          <w:i/>
          <w:iCs/>
          <w:sz w:val="16"/>
          <w:szCs w:val="16"/>
          <w:vertAlign w:val="superscript"/>
          <w:lang w:val="es-ES_tradnl"/>
        </w:rPr>
        <w:t xml:space="preserve">1 </w:t>
      </w:r>
      <w:r w:rsidRPr="009577DE">
        <w:rPr>
          <w:i/>
          <w:iCs/>
          <w:sz w:val="16"/>
          <w:szCs w:val="16"/>
          <w:lang w:val="es-ES_tradnl"/>
        </w:rPr>
        <w:t>Estados financieros de la OMPI de 2012 (Anexo III)</w:t>
      </w:r>
    </w:p>
    <w:p w:rsidR="00B070BF" w:rsidRPr="009577DE" w:rsidRDefault="00B070BF" w:rsidP="00B070BF">
      <w:pPr>
        <w:widowControl w:val="0"/>
        <w:rPr>
          <w:b/>
          <w:sz w:val="16"/>
          <w:szCs w:val="16"/>
          <w:u w:val="single"/>
          <w:lang w:val="es-ES_tradnl"/>
        </w:rPr>
      </w:pPr>
    </w:p>
    <w:p w:rsidR="00B070BF" w:rsidRPr="009577DE" w:rsidRDefault="00B070BF" w:rsidP="00B070BF">
      <w:pPr>
        <w:widowControl w:val="0"/>
        <w:rPr>
          <w:b/>
          <w:sz w:val="16"/>
          <w:szCs w:val="16"/>
          <w:u w:val="single"/>
          <w:lang w:val="es-ES_tradnl"/>
        </w:rPr>
      </w:pPr>
    </w:p>
    <w:p w:rsidR="00B070BF" w:rsidRPr="009577DE" w:rsidRDefault="00B070BF" w:rsidP="00B070BF">
      <w:pPr>
        <w:widowControl w:val="0"/>
        <w:rPr>
          <w:b/>
          <w:sz w:val="18"/>
          <w:lang w:val="es-ES_tradnl"/>
        </w:rPr>
      </w:pPr>
      <w:r w:rsidRPr="009577DE">
        <w:rPr>
          <w:b/>
          <w:sz w:val="20"/>
          <w:lang w:val="es-ES_tradnl"/>
        </w:rPr>
        <w:t>PROGRAMA IBEROAMERICANO DE PROPIEDAD INDUSTRIAL</w:t>
      </w:r>
      <w:r w:rsidRPr="009577DE">
        <w:rPr>
          <w:b/>
          <w:sz w:val="18"/>
          <w:vertAlign w:val="superscript"/>
          <w:lang w:val="es-ES_tradnl"/>
        </w:rPr>
        <w:footnoteReference w:id="18"/>
      </w:r>
    </w:p>
    <w:p w:rsidR="00B070BF" w:rsidRPr="009577DE" w:rsidRDefault="00B070BF" w:rsidP="00B070BF">
      <w:pPr>
        <w:widowControl w:val="0"/>
        <w:rPr>
          <w:b/>
          <w:sz w:val="18"/>
          <w:u w:val="single"/>
          <w:lang w:val="es-ES_tradnl"/>
        </w:rPr>
      </w:pPr>
    </w:p>
    <w:p w:rsidR="00B070BF" w:rsidRPr="009577DE" w:rsidRDefault="00B070BF" w:rsidP="00B070BF">
      <w:pPr>
        <w:widowControl w:val="0"/>
        <w:rPr>
          <w:b/>
          <w:sz w:val="16"/>
          <w:szCs w:val="16"/>
          <w:lang w:val="es-ES_tradnl"/>
        </w:rPr>
      </w:pPr>
    </w:p>
    <w:tbl>
      <w:tblPr>
        <w:tblW w:w="9072" w:type="dxa"/>
        <w:tblInd w:w="108"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1843"/>
        <w:gridCol w:w="1134"/>
        <w:gridCol w:w="2693"/>
        <w:gridCol w:w="142"/>
        <w:gridCol w:w="3260"/>
      </w:tblGrid>
      <w:tr w:rsidR="00B070BF" w:rsidRPr="009577DE" w:rsidTr="00C33D4A">
        <w:tc>
          <w:tcPr>
            <w:tcW w:w="9072" w:type="dxa"/>
            <w:gridSpan w:val="5"/>
            <w:tcBorders>
              <w:top w:val="single" w:sz="4" w:space="0" w:color="000000"/>
              <w:bottom w:val="single" w:sz="4" w:space="0" w:color="000000"/>
            </w:tcBorders>
            <w:shd w:val="clear" w:color="auto" w:fill="CCFFFF"/>
            <w:vAlign w:val="center"/>
          </w:tcPr>
          <w:p w:rsidR="00B070BF" w:rsidRPr="009577DE" w:rsidRDefault="00B070BF" w:rsidP="00C33D4A">
            <w:pPr>
              <w:widowControl w:val="0"/>
              <w:tabs>
                <w:tab w:val="left" w:pos="1740"/>
              </w:tabs>
              <w:spacing w:before="120" w:after="120"/>
              <w:ind w:left="1740" w:hanging="1740"/>
              <w:rPr>
                <w:b/>
                <w:bCs/>
                <w:sz w:val="16"/>
                <w:szCs w:val="16"/>
                <w:lang w:val="es-ES_tradnl"/>
              </w:rPr>
            </w:pPr>
            <w:r w:rsidRPr="009577DE">
              <w:rPr>
                <w:b/>
                <w:bCs/>
                <w:sz w:val="16"/>
                <w:szCs w:val="16"/>
                <w:lang w:val="es-ES_tradnl"/>
              </w:rPr>
              <w:t>RESULTADO:</w:t>
            </w:r>
            <w:r w:rsidRPr="009577DE">
              <w:rPr>
                <w:bCs/>
                <w:sz w:val="16"/>
                <w:szCs w:val="16"/>
                <w:lang w:val="es-ES_tradnl"/>
              </w:rPr>
              <w:tab/>
              <w:t>Fomento de las capacidades de gestión de P.I. para las empresas.</w:t>
            </w:r>
          </w:p>
        </w:tc>
      </w:tr>
      <w:tr w:rsidR="00B070BF" w:rsidRPr="009577DE" w:rsidTr="00C33D4A">
        <w:tc>
          <w:tcPr>
            <w:tcW w:w="1843" w:type="dxa"/>
            <w:tcBorders>
              <w:top w:val="single" w:sz="4" w:space="0" w:color="000000"/>
            </w:tcBorders>
            <w:vAlign w:val="center"/>
          </w:tcPr>
          <w:p w:rsidR="00B070BF" w:rsidRPr="009577DE" w:rsidRDefault="00B070BF" w:rsidP="00C33D4A">
            <w:pPr>
              <w:widowControl w:val="0"/>
              <w:rPr>
                <w:b/>
                <w:bCs/>
                <w:sz w:val="16"/>
                <w:szCs w:val="16"/>
                <w:lang w:val="es-ES_tradnl"/>
              </w:rPr>
            </w:pPr>
            <w:r w:rsidRPr="009577DE">
              <w:rPr>
                <w:b/>
                <w:bCs/>
                <w:sz w:val="16"/>
                <w:szCs w:val="16"/>
                <w:lang w:val="es-ES_tradnl"/>
              </w:rPr>
              <w:t>Actividad</w:t>
            </w:r>
          </w:p>
        </w:tc>
        <w:tc>
          <w:tcPr>
            <w:tcW w:w="1134" w:type="dxa"/>
            <w:tcBorders>
              <w:top w:val="single" w:sz="4" w:space="0" w:color="000000"/>
            </w:tcBorders>
            <w:shd w:val="clear" w:color="auto" w:fill="auto"/>
            <w:tcMar>
              <w:top w:w="110" w:type="dxa"/>
            </w:tcMar>
            <w:vAlign w:val="center"/>
          </w:tcPr>
          <w:p w:rsidR="00B070BF" w:rsidRPr="009577DE" w:rsidRDefault="00B070BF" w:rsidP="00C33D4A">
            <w:pPr>
              <w:widowControl w:val="0"/>
              <w:rPr>
                <w:sz w:val="16"/>
                <w:szCs w:val="16"/>
                <w:lang w:val="es-ES_tradnl"/>
              </w:rPr>
            </w:pPr>
            <w:r w:rsidRPr="009577DE">
              <w:rPr>
                <w:b/>
                <w:bCs/>
                <w:sz w:val="16"/>
                <w:szCs w:val="16"/>
                <w:lang w:val="es-ES_tradnl"/>
              </w:rPr>
              <w:t>Fecha</w:t>
            </w:r>
          </w:p>
        </w:tc>
        <w:tc>
          <w:tcPr>
            <w:tcW w:w="2693" w:type="dxa"/>
            <w:tcBorders>
              <w:top w:val="single" w:sz="4" w:space="0" w:color="000000"/>
            </w:tcBorders>
            <w:shd w:val="clear" w:color="auto" w:fill="auto"/>
            <w:tcMar>
              <w:top w:w="110" w:type="dxa"/>
            </w:tcMar>
            <w:vAlign w:val="center"/>
          </w:tcPr>
          <w:p w:rsidR="00B070BF" w:rsidRPr="009577DE" w:rsidRDefault="00B070BF" w:rsidP="00C33D4A">
            <w:pPr>
              <w:widowControl w:val="0"/>
              <w:rPr>
                <w:sz w:val="16"/>
                <w:szCs w:val="16"/>
                <w:lang w:val="es-ES_tradnl"/>
              </w:rPr>
            </w:pPr>
            <w:r w:rsidRPr="009577DE">
              <w:rPr>
                <w:b/>
                <w:bCs/>
                <w:sz w:val="16"/>
                <w:szCs w:val="16"/>
                <w:lang w:val="es-ES_tradnl"/>
              </w:rPr>
              <w:t>País anfitrión/Beneficiarios</w:t>
            </w:r>
          </w:p>
        </w:tc>
        <w:tc>
          <w:tcPr>
            <w:tcW w:w="3402" w:type="dxa"/>
            <w:gridSpan w:val="2"/>
            <w:tcBorders>
              <w:top w:val="single" w:sz="4" w:space="0" w:color="000000"/>
            </w:tcBorders>
            <w:shd w:val="clear" w:color="auto" w:fill="FFFFFF"/>
            <w:tcMar>
              <w:top w:w="110" w:type="dxa"/>
            </w:tcMar>
            <w:vAlign w:val="center"/>
          </w:tcPr>
          <w:p w:rsidR="00B070BF" w:rsidRPr="009577DE" w:rsidRDefault="00B070BF" w:rsidP="00C33D4A">
            <w:pPr>
              <w:widowControl w:val="0"/>
              <w:ind w:left="34"/>
              <w:rPr>
                <w:sz w:val="16"/>
                <w:szCs w:val="16"/>
                <w:lang w:val="es-ES_tradnl"/>
              </w:rPr>
            </w:pPr>
            <w:r w:rsidRPr="009577DE">
              <w:rPr>
                <w:b/>
                <w:bCs/>
                <w:sz w:val="16"/>
                <w:szCs w:val="16"/>
                <w:lang w:val="es-ES_tradnl"/>
              </w:rPr>
              <w:t>Propósito/Descripción</w:t>
            </w:r>
          </w:p>
        </w:tc>
      </w:tr>
      <w:tr w:rsidR="00B070BF" w:rsidRPr="009577DE" w:rsidTr="00C33D4A">
        <w:trPr>
          <w:trHeight w:val="520"/>
        </w:trPr>
        <w:tc>
          <w:tcPr>
            <w:tcW w:w="1843" w:type="dxa"/>
          </w:tcPr>
          <w:p w:rsidR="00B070BF" w:rsidRPr="009577DE" w:rsidDel="009E0498" w:rsidRDefault="00B070BF" w:rsidP="00C33D4A">
            <w:pPr>
              <w:widowControl w:val="0"/>
              <w:autoSpaceDE w:val="0"/>
              <w:autoSpaceDN w:val="0"/>
              <w:adjustRightInd w:val="0"/>
              <w:spacing w:before="120" w:after="120"/>
              <w:rPr>
                <w:sz w:val="16"/>
                <w:szCs w:val="16"/>
                <w:lang w:val="es-ES_tradnl"/>
              </w:rPr>
            </w:pPr>
            <w:r w:rsidRPr="009577DE">
              <w:rPr>
                <w:sz w:val="16"/>
                <w:szCs w:val="16"/>
                <w:lang w:val="es-ES_tradnl"/>
              </w:rPr>
              <w:t>La Oficina Española de Patentes y Marcas (OEPM) ha avanzado en la contratación de una empresa que desarrolle la plataforma en español sobre servicios y contenidos de propiedad industrial, adaptada a las necesidades del sector empresarial de América Latina, centrándose en las pymes (CIBEPYME).</w:t>
            </w:r>
          </w:p>
        </w:tc>
        <w:tc>
          <w:tcPr>
            <w:tcW w:w="1134" w:type="dxa"/>
          </w:tcPr>
          <w:p w:rsidR="00B070BF" w:rsidRPr="009577DE" w:rsidRDefault="00B070BF" w:rsidP="00C33D4A">
            <w:pPr>
              <w:widowControl w:val="0"/>
              <w:autoSpaceDE w:val="0"/>
              <w:autoSpaceDN w:val="0"/>
              <w:adjustRightInd w:val="0"/>
              <w:spacing w:before="120" w:after="120"/>
              <w:rPr>
                <w:sz w:val="16"/>
                <w:szCs w:val="16"/>
                <w:lang w:val="es-ES_tradnl"/>
              </w:rPr>
            </w:pPr>
            <w:r w:rsidRPr="009577DE">
              <w:rPr>
                <w:sz w:val="16"/>
                <w:szCs w:val="16"/>
                <w:lang w:val="es-ES_tradnl"/>
              </w:rPr>
              <w:t>Desde octubre de 2012</w:t>
            </w:r>
          </w:p>
        </w:tc>
        <w:tc>
          <w:tcPr>
            <w:tcW w:w="2693" w:type="dxa"/>
          </w:tcPr>
          <w:p w:rsidR="00B070BF" w:rsidRPr="009577DE" w:rsidRDefault="00B070BF" w:rsidP="00C33D4A">
            <w:pPr>
              <w:widowControl w:val="0"/>
              <w:autoSpaceDE w:val="0"/>
              <w:autoSpaceDN w:val="0"/>
              <w:adjustRightInd w:val="0"/>
              <w:spacing w:before="120" w:after="120"/>
              <w:rPr>
                <w:sz w:val="16"/>
                <w:szCs w:val="16"/>
                <w:lang w:val="es-ES_tradnl"/>
              </w:rPr>
            </w:pPr>
            <w:r w:rsidRPr="009577DE">
              <w:rPr>
                <w:sz w:val="16"/>
                <w:szCs w:val="16"/>
                <w:lang w:val="es-ES_tradnl"/>
              </w:rPr>
              <w:t>Todos los países de América Latina</w:t>
            </w:r>
          </w:p>
        </w:tc>
        <w:tc>
          <w:tcPr>
            <w:tcW w:w="3402" w:type="dxa"/>
            <w:gridSpan w:val="2"/>
          </w:tcPr>
          <w:p w:rsidR="00B070BF" w:rsidRPr="009577DE" w:rsidDel="00152E3E" w:rsidRDefault="00B070BF" w:rsidP="00C33D4A">
            <w:pPr>
              <w:widowControl w:val="0"/>
              <w:autoSpaceDE w:val="0"/>
              <w:autoSpaceDN w:val="0"/>
              <w:adjustRightInd w:val="0"/>
              <w:spacing w:before="120" w:after="120"/>
              <w:ind w:left="34"/>
              <w:rPr>
                <w:sz w:val="16"/>
                <w:szCs w:val="16"/>
                <w:lang w:val="es-ES_tradnl"/>
              </w:rPr>
            </w:pPr>
            <w:r w:rsidRPr="009577DE">
              <w:rPr>
                <w:sz w:val="16"/>
                <w:szCs w:val="16"/>
                <w:lang w:val="es-ES_tradnl"/>
              </w:rPr>
              <w:t xml:space="preserve">Proyecto de </w:t>
            </w:r>
            <w:r w:rsidRPr="009577DE">
              <w:rPr>
                <w:rFonts w:eastAsia="MS Mincho"/>
                <w:sz w:val="16"/>
                <w:szCs w:val="16"/>
                <w:lang w:val="es-ES_tradnl" w:eastAsia="ja-JP" w:bidi="th-TH"/>
              </w:rPr>
              <w:t>una</w:t>
            </w:r>
            <w:r w:rsidRPr="009577DE">
              <w:rPr>
                <w:sz w:val="16"/>
                <w:szCs w:val="16"/>
                <w:lang w:val="es-ES_tradnl"/>
              </w:rPr>
              <w:t xml:space="preserve"> plataforma en español sobre servicios y contenidos de propiedad industrial adaptada a las necesidades del sector empresarial de América Latina, centrándose en las pymes (CIBEPYME).</w:t>
            </w:r>
          </w:p>
        </w:tc>
      </w:tr>
      <w:tr w:rsidR="00B070BF" w:rsidRPr="009577DE" w:rsidTr="00C33D4A">
        <w:trPr>
          <w:trHeight w:val="614"/>
        </w:trPr>
        <w:tc>
          <w:tcPr>
            <w:tcW w:w="1843" w:type="dxa"/>
          </w:tcPr>
          <w:p w:rsidR="00B070BF" w:rsidRPr="009577DE" w:rsidDel="009E0498" w:rsidRDefault="00B070BF" w:rsidP="00C33D4A">
            <w:pPr>
              <w:widowControl w:val="0"/>
              <w:autoSpaceDE w:val="0"/>
              <w:autoSpaceDN w:val="0"/>
              <w:adjustRightInd w:val="0"/>
              <w:spacing w:before="120" w:after="120"/>
              <w:rPr>
                <w:sz w:val="16"/>
                <w:szCs w:val="16"/>
                <w:lang w:val="es-ES_tradnl"/>
              </w:rPr>
            </w:pPr>
            <w:r w:rsidRPr="009577DE">
              <w:rPr>
                <w:sz w:val="16"/>
                <w:szCs w:val="16"/>
                <w:lang w:val="es-ES_tradnl"/>
              </w:rPr>
              <w:t>La OEPM acoge un servidor para la plataforma.</w:t>
            </w:r>
          </w:p>
        </w:tc>
        <w:tc>
          <w:tcPr>
            <w:tcW w:w="1134" w:type="dxa"/>
          </w:tcPr>
          <w:p w:rsidR="00B070BF" w:rsidRPr="009577DE" w:rsidRDefault="00B070BF" w:rsidP="00C33D4A">
            <w:pPr>
              <w:widowControl w:val="0"/>
              <w:autoSpaceDE w:val="0"/>
              <w:autoSpaceDN w:val="0"/>
              <w:adjustRightInd w:val="0"/>
              <w:spacing w:before="120" w:after="120"/>
              <w:rPr>
                <w:sz w:val="16"/>
                <w:szCs w:val="16"/>
                <w:lang w:val="es-ES_tradnl"/>
              </w:rPr>
            </w:pPr>
            <w:r w:rsidRPr="009577DE">
              <w:rPr>
                <w:sz w:val="16"/>
                <w:szCs w:val="16"/>
                <w:lang w:val="es-ES_tradnl"/>
              </w:rPr>
              <w:t>Desde octubre de 2012</w:t>
            </w:r>
          </w:p>
        </w:tc>
        <w:tc>
          <w:tcPr>
            <w:tcW w:w="2693" w:type="dxa"/>
          </w:tcPr>
          <w:p w:rsidR="00B070BF" w:rsidRPr="009577DE" w:rsidRDefault="00B070BF" w:rsidP="00C33D4A">
            <w:pPr>
              <w:widowControl w:val="0"/>
              <w:autoSpaceDE w:val="0"/>
              <w:autoSpaceDN w:val="0"/>
              <w:adjustRightInd w:val="0"/>
              <w:spacing w:before="120" w:after="120"/>
              <w:rPr>
                <w:sz w:val="16"/>
                <w:szCs w:val="16"/>
                <w:lang w:val="es-ES_tradnl"/>
              </w:rPr>
            </w:pPr>
            <w:r w:rsidRPr="009577DE">
              <w:rPr>
                <w:sz w:val="16"/>
                <w:szCs w:val="16"/>
                <w:lang w:val="es-ES_tradnl"/>
              </w:rPr>
              <w:t>Todos los países de América Latina</w:t>
            </w:r>
          </w:p>
        </w:tc>
        <w:tc>
          <w:tcPr>
            <w:tcW w:w="3402" w:type="dxa"/>
            <w:gridSpan w:val="2"/>
          </w:tcPr>
          <w:p w:rsidR="00B070BF" w:rsidRPr="009577DE" w:rsidDel="00152E3E" w:rsidRDefault="00B070BF" w:rsidP="00C33D4A">
            <w:pPr>
              <w:widowControl w:val="0"/>
              <w:autoSpaceDE w:val="0"/>
              <w:autoSpaceDN w:val="0"/>
              <w:adjustRightInd w:val="0"/>
              <w:spacing w:before="120" w:after="120"/>
              <w:ind w:left="34"/>
              <w:rPr>
                <w:sz w:val="16"/>
                <w:szCs w:val="16"/>
                <w:lang w:val="es-ES_tradnl"/>
              </w:rPr>
            </w:pPr>
            <w:r w:rsidRPr="009577DE">
              <w:rPr>
                <w:sz w:val="16"/>
                <w:szCs w:val="16"/>
                <w:lang w:val="es-ES_tradnl"/>
              </w:rPr>
              <w:t xml:space="preserve">Facilitar el acceso a la plataforma CIBEPYME </w:t>
            </w:r>
          </w:p>
        </w:tc>
      </w:tr>
      <w:tr w:rsidR="00B070BF" w:rsidRPr="009577DE" w:rsidTr="00C33D4A">
        <w:trPr>
          <w:trHeight w:val="520"/>
        </w:trPr>
        <w:tc>
          <w:tcPr>
            <w:tcW w:w="1843" w:type="dxa"/>
          </w:tcPr>
          <w:p w:rsidR="00B070BF" w:rsidRPr="009577DE" w:rsidDel="009E0498" w:rsidRDefault="00B070BF" w:rsidP="00C33D4A">
            <w:pPr>
              <w:widowControl w:val="0"/>
              <w:autoSpaceDE w:val="0"/>
              <w:autoSpaceDN w:val="0"/>
              <w:adjustRightInd w:val="0"/>
              <w:spacing w:before="120" w:after="120"/>
              <w:rPr>
                <w:sz w:val="16"/>
                <w:szCs w:val="16"/>
                <w:lang w:val="es-ES_tradnl"/>
              </w:rPr>
            </w:pPr>
            <w:r w:rsidRPr="009577DE">
              <w:rPr>
                <w:sz w:val="16"/>
                <w:szCs w:val="16"/>
                <w:lang w:val="es-ES_tradnl"/>
              </w:rPr>
              <w:lastRenderedPageBreak/>
              <w:t>La OMPI contrató un experto para el desarrollo de los servicios y contenidos de la plataforma y para coordinar la información aportada por América Latina.</w:t>
            </w:r>
          </w:p>
        </w:tc>
        <w:tc>
          <w:tcPr>
            <w:tcW w:w="1134" w:type="dxa"/>
          </w:tcPr>
          <w:p w:rsidR="00B070BF" w:rsidRPr="009577DE" w:rsidRDefault="00B070BF" w:rsidP="00C33D4A">
            <w:pPr>
              <w:widowControl w:val="0"/>
              <w:autoSpaceDE w:val="0"/>
              <w:autoSpaceDN w:val="0"/>
              <w:adjustRightInd w:val="0"/>
              <w:spacing w:before="120" w:after="120"/>
              <w:rPr>
                <w:sz w:val="16"/>
                <w:szCs w:val="16"/>
                <w:lang w:val="es-ES_tradnl"/>
              </w:rPr>
            </w:pPr>
            <w:r w:rsidRPr="009577DE">
              <w:rPr>
                <w:sz w:val="16"/>
                <w:szCs w:val="16"/>
                <w:lang w:val="es-ES_tradnl"/>
              </w:rPr>
              <w:t>Desde octubre de 2012</w:t>
            </w:r>
          </w:p>
        </w:tc>
        <w:tc>
          <w:tcPr>
            <w:tcW w:w="2835" w:type="dxa"/>
            <w:gridSpan w:val="2"/>
          </w:tcPr>
          <w:p w:rsidR="00B070BF" w:rsidRPr="009577DE" w:rsidRDefault="00B070BF" w:rsidP="00C33D4A">
            <w:pPr>
              <w:widowControl w:val="0"/>
              <w:autoSpaceDE w:val="0"/>
              <w:autoSpaceDN w:val="0"/>
              <w:adjustRightInd w:val="0"/>
              <w:spacing w:before="120" w:after="120"/>
              <w:rPr>
                <w:sz w:val="16"/>
                <w:szCs w:val="16"/>
                <w:lang w:val="es-ES_tradnl"/>
              </w:rPr>
            </w:pPr>
            <w:r w:rsidRPr="009577DE">
              <w:rPr>
                <w:sz w:val="16"/>
                <w:szCs w:val="16"/>
                <w:lang w:val="es-ES_tradnl"/>
              </w:rPr>
              <w:t>Todos los países de América Latina</w:t>
            </w:r>
          </w:p>
        </w:tc>
        <w:tc>
          <w:tcPr>
            <w:tcW w:w="3260" w:type="dxa"/>
          </w:tcPr>
          <w:p w:rsidR="00B070BF" w:rsidRPr="009577DE" w:rsidDel="00152E3E" w:rsidRDefault="00B070BF" w:rsidP="00C33D4A">
            <w:pPr>
              <w:widowControl w:val="0"/>
              <w:autoSpaceDE w:val="0"/>
              <w:autoSpaceDN w:val="0"/>
              <w:adjustRightInd w:val="0"/>
              <w:spacing w:before="120" w:after="120"/>
              <w:ind w:left="-108"/>
              <w:rPr>
                <w:sz w:val="16"/>
                <w:szCs w:val="16"/>
                <w:lang w:val="es-ES_tradnl"/>
              </w:rPr>
            </w:pPr>
            <w:r w:rsidRPr="009577DE">
              <w:rPr>
                <w:sz w:val="16"/>
                <w:szCs w:val="16"/>
                <w:lang w:val="es-ES_tradnl"/>
              </w:rPr>
              <w:t>Crear y coordinar CIBEPYME</w:t>
            </w:r>
          </w:p>
        </w:tc>
      </w:tr>
      <w:tr w:rsidR="00B070BF" w:rsidRPr="009577DE" w:rsidTr="00C33D4A">
        <w:trPr>
          <w:trHeight w:val="1155"/>
        </w:trPr>
        <w:tc>
          <w:tcPr>
            <w:tcW w:w="1843" w:type="dxa"/>
            <w:tcBorders>
              <w:bottom w:val="single" w:sz="4" w:space="0" w:color="000000"/>
            </w:tcBorders>
          </w:tcPr>
          <w:p w:rsidR="00B070BF" w:rsidRPr="009577DE" w:rsidDel="009E0498" w:rsidRDefault="00B070BF" w:rsidP="00C33D4A">
            <w:pPr>
              <w:widowControl w:val="0"/>
              <w:autoSpaceDE w:val="0"/>
              <w:autoSpaceDN w:val="0"/>
              <w:adjustRightInd w:val="0"/>
              <w:spacing w:before="120" w:after="120"/>
              <w:rPr>
                <w:sz w:val="16"/>
                <w:szCs w:val="16"/>
                <w:lang w:val="es-ES_tradnl"/>
              </w:rPr>
            </w:pPr>
            <w:r w:rsidRPr="009577DE">
              <w:rPr>
                <w:sz w:val="16"/>
                <w:szCs w:val="16"/>
                <w:lang w:val="es-ES_tradnl"/>
              </w:rPr>
              <w:t xml:space="preserve">La OMPI contrató un experto para que realice un análisis de situación y formule una propuesta de plan de acción. </w:t>
            </w:r>
          </w:p>
        </w:tc>
        <w:tc>
          <w:tcPr>
            <w:tcW w:w="1134" w:type="dxa"/>
            <w:tcBorders>
              <w:bottom w:val="single" w:sz="4" w:space="0" w:color="000000"/>
            </w:tcBorders>
          </w:tcPr>
          <w:p w:rsidR="00B070BF" w:rsidRPr="009577DE" w:rsidRDefault="00B070BF" w:rsidP="00C33D4A">
            <w:pPr>
              <w:widowControl w:val="0"/>
              <w:autoSpaceDE w:val="0"/>
              <w:autoSpaceDN w:val="0"/>
              <w:adjustRightInd w:val="0"/>
              <w:spacing w:before="120" w:after="120"/>
              <w:rPr>
                <w:sz w:val="16"/>
                <w:szCs w:val="16"/>
                <w:lang w:val="es-ES_tradnl"/>
              </w:rPr>
            </w:pPr>
            <w:r w:rsidRPr="009577DE">
              <w:rPr>
                <w:sz w:val="16"/>
                <w:szCs w:val="16"/>
                <w:lang w:val="es-ES_tradnl"/>
              </w:rPr>
              <w:t>Desde octubre de 2012</w:t>
            </w:r>
          </w:p>
        </w:tc>
        <w:tc>
          <w:tcPr>
            <w:tcW w:w="2835" w:type="dxa"/>
            <w:gridSpan w:val="2"/>
            <w:tcBorders>
              <w:bottom w:val="single" w:sz="4" w:space="0" w:color="000000"/>
            </w:tcBorders>
          </w:tcPr>
          <w:p w:rsidR="00B070BF" w:rsidRPr="009577DE" w:rsidRDefault="00B070BF" w:rsidP="00C33D4A">
            <w:pPr>
              <w:widowControl w:val="0"/>
              <w:autoSpaceDE w:val="0"/>
              <w:autoSpaceDN w:val="0"/>
              <w:adjustRightInd w:val="0"/>
              <w:spacing w:before="120" w:after="120"/>
              <w:rPr>
                <w:sz w:val="16"/>
                <w:szCs w:val="16"/>
                <w:lang w:val="es-ES_tradnl"/>
              </w:rPr>
            </w:pPr>
            <w:r w:rsidRPr="009577DE">
              <w:rPr>
                <w:sz w:val="16"/>
                <w:szCs w:val="16"/>
                <w:lang w:val="es-ES_tradnl"/>
              </w:rPr>
              <w:t>Todos los países de América Latina</w:t>
            </w:r>
          </w:p>
        </w:tc>
        <w:tc>
          <w:tcPr>
            <w:tcW w:w="3260" w:type="dxa"/>
            <w:tcBorders>
              <w:bottom w:val="single" w:sz="4" w:space="0" w:color="000000"/>
            </w:tcBorders>
          </w:tcPr>
          <w:p w:rsidR="00B070BF" w:rsidRPr="009577DE" w:rsidDel="00152E3E" w:rsidRDefault="00B070BF" w:rsidP="00C33D4A">
            <w:pPr>
              <w:widowControl w:val="0"/>
              <w:autoSpaceDE w:val="0"/>
              <w:autoSpaceDN w:val="0"/>
              <w:adjustRightInd w:val="0"/>
              <w:spacing w:before="120" w:after="120"/>
              <w:rPr>
                <w:sz w:val="16"/>
                <w:szCs w:val="16"/>
                <w:lang w:val="es-ES_tradnl"/>
              </w:rPr>
            </w:pPr>
            <w:r w:rsidRPr="009577DE">
              <w:rPr>
                <w:sz w:val="16"/>
                <w:szCs w:val="16"/>
                <w:lang w:val="es-ES_tradnl"/>
              </w:rPr>
              <w:t>i) Detectar asimetrías entre las oficinas de P.I. en lo que atañe a la gestión de la calidad y las tecnologías de la información;  ii) concebir un programa de acción destinado a eliminarlas mediante actividades de formación;  y iii) coordinar la ejecución de este proyecto.</w:t>
            </w:r>
          </w:p>
        </w:tc>
      </w:tr>
      <w:tr w:rsidR="00B070BF" w:rsidRPr="009577DE" w:rsidTr="00C33D4A">
        <w:trPr>
          <w:trHeight w:val="482"/>
        </w:trPr>
        <w:tc>
          <w:tcPr>
            <w:tcW w:w="9072" w:type="dxa"/>
            <w:gridSpan w:val="5"/>
            <w:tcBorders>
              <w:top w:val="single" w:sz="4" w:space="0" w:color="000000"/>
              <w:bottom w:val="single" w:sz="4" w:space="0" w:color="000000"/>
            </w:tcBorders>
            <w:shd w:val="clear" w:color="auto" w:fill="CCFFFF"/>
          </w:tcPr>
          <w:p w:rsidR="00B070BF" w:rsidRPr="009577DE" w:rsidDel="00152E3E" w:rsidRDefault="00B070BF" w:rsidP="00C33D4A">
            <w:pPr>
              <w:widowControl w:val="0"/>
              <w:tabs>
                <w:tab w:val="left" w:pos="1740"/>
              </w:tabs>
              <w:spacing w:before="120" w:after="120"/>
              <w:ind w:left="1740" w:hanging="1740"/>
              <w:rPr>
                <w:sz w:val="16"/>
                <w:szCs w:val="16"/>
                <w:lang w:val="es-ES_tradnl"/>
              </w:rPr>
            </w:pPr>
            <w:r w:rsidRPr="009577DE">
              <w:rPr>
                <w:lang w:val="es-ES_tradnl"/>
              </w:rPr>
              <w:br w:type="page"/>
            </w:r>
            <w:r w:rsidRPr="009577DE">
              <w:rPr>
                <w:b/>
                <w:bCs/>
                <w:sz w:val="16"/>
                <w:szCs w:val="16"/>
                <w:lang w:val="es-ES_tradnl"/>
              </w:rPr>
              <w:t>RESULTADO:</w:t>
            </w:r>
            <w:r w:rsidRPr="009577DE">
              <w:rPr>
                <w:b/>
                <w:bCs/>
                <w:sz w:val="16"/>
                <w:szCs w:val="16"/>
                <w:lang w:val="es-ES_tradnl"/>
              </w:rPr>
              <w:tab/>
            </w:r>
            <w:r w:rsidRPr="009577DE">
              <w:rPr>
                <w:bCs/>
                <w:sz w:val="16"/>
                <w:szCs w:val="16"/>
                <w:lang w:val="es-ES_tradnl"/>
              </w:rPr>
              <w:t>Mejora en la infraestructura técnica y de conocimientos de las oficinas y demás instituciones de P.I. que les permite prestar mejores servicios (más económicos, más rápidos y de mejor calidad) a sus usuarios</w:t>
            </w:r>
          </w:p>
        </w:tc>
      </w:tr>
      <w:tr w:rsidR="00B070BF" w:rsidRPr="009577DE" w:rsidTr="00C33D4A">
        <w:trPr>
          <w:trHeight w:val="520"/>
        </w:trPr>
        <w:tc>
          <w:tcPr>
            <w:tcW w:w="1843" w:type="dxa"/>
            <w:tcBorders>
              <w:top w:val="single" w:sz="4" w:space="0" w:color="000000"/>
            </w:tcBorders>
            <w:vAlign w:val="center"/>
          </w:tcPr>
          <w:p w:rsidR="00B070BF" w:rsidRPr="009577DE" w:rsidRDefault="00B070BF" w:rsidP="00C33D4A">
            <w:pPr>
              <w:widowControl w:val="0"/>
              <w:autoSpaceDE w:val="0"/>
              <w:autoSpaceDN w:val="0"/>
              <w:adjustRightInd w:val="0"/>
              <w:spacing w:before="120" w:after="120"/>
              <w:rPr>
                <w:sz w:val="16"/>
                <w:szCs w:val="16"/>
                <w:lang w:val="es-ES_tradnl"/>
              </w:rPr>
            </w:pPr>
            <w:r w:rsidRPr="009577DE">
              <w:rPr>
                <w:b/>
                <w:bCs/>
                <w:sz w:val="16"/>
                <w:szCs w:val="16"/>
                <w:lang w:val="es-ES_tradnl"/>
              </w:rPr>
              <w:t>Actividad</w:t>
            </w:r>
          </w:p>
        </w:tc>
        <w:tc>
          <w:tcPr>
            <w:tcW w:w="1134" w:type="dxa"/>
            <w:tcBorders>
              <w:top w:val="single" w:sz="4" w:space="0" w:color="000000"/>
            </w:tcBorders>
            <w:vAlign w:val="center"/>
          </w:tcPr>
          <w:p w:rsidR="00B070BF" w:rsidRPr="009577DE" w:rsidRDefault="00B070BF" w:rsidP="00C33D4A">
            <w:pPr>
              <w:widowControl w:val="0"/>
              <w:autoSpaceDE w:val="0"/>
              <w:autoSpaceDN w:val="0"/>
              <w:adjustRightInd w:val="0"/>
              <w:spacing w:before="120" w:after="120"/>
              <w:rPr>
                <w:sz w:val="16"/>
                <w:szCs w:val="16"/>
                <w:lang w:val="es-ES_tradnl"/>
              </w:rPr>
            </w:pPr>
            <w:r w:rsidRPr="009577DE">
              <w:rPr>
                <w:b/>
                <w:bCs/>
                <w:sz w:val="16"/>
                <w:szCs w:val="16"/>
                <w:lang w:val="es-ES_tradnl"/>
              </w:rPr>
              <w:t>Fecha</w:t>
            </w:r>
          </w:p>
        </w:tc>
        <w:tc>
          <w:tcPr>
            <w:tcW w:w="2835" w:type="dxa"/>
            <w:gridSpan w:val="2"/>
            <w:tcBorders>
              <w:top w:val="single" w:sz="4" w:space="0" w:color="000000"/>
            </w:tcBorders>
            <w:vAlign w:val="center"/>
          </w:tcPr>
          <w:p w:rsidR="00B070BF" w:rsidRPr="009577DE" w:rsidRDefault="00B070BF" w:rsidP="00C33D4A">
            <w:pPr>
              <w:widowControl w:val="0"/>
              <w:autoSpaceDE w:val="0"/>
              <w:autoSpaceDN w:val="0"/>
              <w:adjustRightInd w:val="0"/>
              <w:spacing w:before="120" w:after="120"/>
              <w:rPr>
                <w:sz w:val="16"/>
                <w:szCs w:val="16"/>
                <w:lang w:val="es-ES_tradnl"/>
              </w:rPr>
            </w:pPr>
            <w:r w:rsidRPr="009577DE">
              <w:rPr>
                <w:b/>
                <w:bCs/>
                <w:sz w:val="16"/>
                <w:szCs w:val="16"/>
                <w:lang w:val="es-ES_tradnl"/>
              </w:rPr>
              <w:t>País anfitrión/Beneficiarios</w:t>
            </w:r>
          </w:p>
        </w:tc>
        <w:tc>
          <w:tcPr>
            <w:tcW w:w="3260" w:type="dxa"/>
            <w:tcBorders>
              <w:top w:val="single" w:sz="4" w:space="0" w:color="000000"/>
            </w:tcBorders>
            <w:vAlign w:val="center"/>
          </w:tcPr>
          <w:p w:rsidR="00B070BF" w:rsidRPr="009577DE" w:rsidRDefault="00B070BF" w:rsidP="00C33D4A">
            <w:pPr>
              <w:widowControl w:val="0"/>
              <w:autoSpaceDE w:val="0"/>
              <w:autoSpaceDN w:val="0"/>
              <w:adjustRightInd w:val="0"/>
              <w:spacing w:before="120" w:after="120"/>
              <w:rPr>
                <w:sz w:val="16"/>
                <w:szCs w:val="16"/>
                <w:lang w:val="es-ES_tradnl"/>
              </w:rPr>
            </w:pPr>
            <w:r w:rsidRPr="009577DE">
              <w:rPr>
                <w:b/>
                <w:bCs/>
                <w:sz w:val="16"/>
                <w:szCs w:val="16"/>
                <w:lang w:val="es-ES_tradnl"/>
              </w:rPr>
              <w:t>Propósito/Descripción</w:t>
            </w:r>
          </w:p>
        </w:tc>
      </w:tr>
      <w:tr w:rsidR="00B070BF" w:rsidRPr="009577DE" w:rsidTr="00C33D4A">
        <w:trPr>
          <w:trHeight w:val="1689"/>
        </w:trPr>
        <w:tc>
          <w:tcPr>
            <w:tcW w:w="1843" w:type="dxa"/>
            <w:tcBorders>
              <w:left w:val="single" w:sz="4" w:space="0" w:color="000000"/>
              <w:bottom w:val="single" w:sz="4" w:space="0" w:color="000000"/>
            </w:tcBorders>
          </w:tcPr>
          <w:p w:rsidR="00B070BF" w:rsidRPr="009577DE" w:rsidRDefault="00B070BF" w:rsidP="00C33D4A">
            <w:pPr>
              <w:widowControl w:val="0"/>
              <w:autoSpaceDE w:val="0"/>
              <w:autoSpaceDN w:val="0"/>
              <w:adjustRightInd w:val="0"/>
              <w:spacing w:before="120" w:after="120"/>
              <w:rPr>
                <w:sz w:val="16"/>
                <w:szCs w:val="16"/>
                <w:lang w:val="es-ES_tradnl"/>
              </w:rPr>
            </w:pPr>
            <w:r w:rsidRPr="009577DE">
              <w:rPr>
                <w:sz w:val="16"/>
                <w:szCs w:val="16"/>
                <w:lang w:val="es-ES_tradnl"/>
              </w:rPr>
              <w:t>Diseño y desarrollo de una plataforma interna entre los países miembros para facilitar el intercambio de experiencias y prácticas óptimas entre las oficinas.</w:t>
            </w:r>
          </w:p>
        </w:tc>
        <w:tc>
          <w:tcPr>
            <w:tcW w:w="1134" w:type="dxa"/>
            <w:tcBorders>
              <w:bottom w:val="single" w:sz="4" w:space="0" w:color="000000"/>
            </w:tcBorders>
          </w:tcPr>
          <w:p w:rsidR="00B070BF" w:rsidRPr="009577DE" w:rsidRDefault="00B070BF" w:rsidP="00C33D4A">
            <w:pPr>
              <w:widowControl w:val="0"/>
              <w:autoSpaceDE w:val="0"/>
              <w:autoSpaceDN w:val="0"/>
              <w:adjustRightInd w:val="0"/>
              <w:spacing w:before="120" w:after="120"/>
              <w:rPr>
                <w:sz w:val="16"/>
                <w:szCs w:val="16"/>
                <w:lang w:val="es-ES_tradnl"/>
              </w:rPr>
            </w:pPr>
            <w:r w:rsidRPr="009577DE">
              <w:rPr>
                <w:sz w:val="16"/>
                <w:szCs w:val="16"/>
                <w:lang w:val="es-ES_tradnl"/>
              </w:rPr>
              <w:t>Desde octubre de 2012</w:t>
            </w:r>
          </w:p>
        </w:tc>
        <w:tc>
          <w:tcPr>
            <w:tcW w:w="2835" w:type="dxa"/>
            <w:gridSpan w:val="2"/>
            <w:tcBorders>
              <w:bottom w:val="single" w:sz="4" w:space="0" w:color="000000"/>
            </w:tcBorders>
          </w:tcPr>
          <w:p w:rsidR="00B070BF" w:rsidRPr="009577DE" w:rsidRDefault="00B070BF" w:rsidP="00C33D4A">
            <w:pPr>
              <w:widowControl w:val="0"/>
              <w:autoSpaceDE w:val="0"/>
              <w:autoSpaceDN w:val="0"/>
              <w:adjustRightInd w:val="0"/>
              <w:spacing w:before="120" w:after="120"/>
              <w:rPr>
                <w:sz w:val="16"/>
                <w:szCs w:val="16"/>
                <w:lang w:val="es-ES_tradnl"/>
              </w:rPr>
            </w:pPr>
            <w:r w:rsidRPr="009577DE">
              <w:rPr>
                <w:sz w:val="16"/>
                <w:szCs w:val="16"/>
                <w:lang w:val="es-ES_tradnl"/>
              </w:rPr>
              <w:t>Todos los países de América Latina</w:t>
            </w:r>
          </w:p>
          <w:p w:rsidR="00B070BF" w:rsidRPr="009577DE" w:rsidRDefault="00B070BF" w:rsidP="00C33D4A">
            <w:pPr>
              <w:widowControl w:val="0"/>
              <w:autoSpaceDE w:val="0"/>
              <w:autoSpaceDN w:val="0"/>
              <w:adjustRightInd w:val="0"/>
              <w:spacing w:before="120" w:after="120"/>
              <w:rPr>
                <w:sz w:val="16"/>
                <w:szCs w:val="16"/>
                <w:lang w:val="es-ES_tradnl"/>
              </w:rPr>
            </w:pPr>
          </w:p>
        </w:tc>
        <w:tc>
          <w:tcPr>
            <w:tcW w:w="3260" w:type="dxa"/>
            <w:tcBorders>
              <w:bottom w:val="single" w:sz="4" w:space="0" w:color="000000"/>
              <w:right w:val="single" w:sz="4" w:space="0" w:color="000000"/>
            </w:tcBorders>
          </w:tcPr>
          <w:p w:rsidR="00B070BF" w:rsidRPr="009577DE" w:rsidRDefault="00B070BF" w:rsidP="00C33D4A">
            <w:pPr>
              <w:widowControl w:val="0"/>
              <w:autoSpaceDE w:val="0"/>
              <w:autoSpaceDN w:val="0"/>
              <w:adjustRightInd w:val="0"/>
              <w:spacing w:before="120" w:after="120"/>
              <w:rPr>
                <w:sz w:val="16"/>
                <w:szCs w:val="16"/>
                <w:lang w:val="es-ES_tradnl"/>
              </w:rPr>
            </w:pPr>
            <w:r w:rsidRPr="009577DE">
              <w:rPr>
                <w:sz w:val="16"/>
                <w:szCs w:val="16"/>
                <w:lang w:val="es-ES_tradnl"/>
              </w:rPr>
              <w:t>Fomentar la cooperación entre las oficinas de P.I. de América Latina para lograr prácticas adecuadas de gestión y propiciar la interacción en el proceso de formulación de propuestas y proyectos.</w:t>
            </w:r>
          </w:p>
        </w:tc>
      </w:tr>
    </w:tbl>
    <w:p w:rsidR="00B070BF" w:rsidRPr="009577DE" w:rsidRDefault="00B070BF" w:rsidP="00B070BF">
      <w:pPr>
        <w:widowControl w:val="0"/>
        <w:rPr>
          <w:sz w:val="20"/>
          <w:lang w:val="es-ES_tradnl"/>
        </w:rPr>
      </w:pPr>
    </w:p>
    <w:p w:rsidR="00B070BF" w:rsidRPr="009577DE" w:rsidRDefault="00B070BF" w:rsidP="00B070BF">
      <w:pPr>
        <w:rPr>
          <w:b/>
          <w:sz w:val="18"/>
          <w:szCs w:val="18"/>
          <w:lang w:val="es-ES_tradnl"/>
        </w:rPr>
      </w:pPr>
    </w:p>
    <w:p w:rsidR="00B070BF" w:rsidRPr="009577DE" w:rsidRDefault="00B070BF" w:rsidP="00B070BF">
      <w:pPr>
        <w:widowControl w:val="0"/>
        <w:rPr>
          <w:b/>
          <w:sz w:val="20"/>
          <w:lang w:val="es-ES_tradnl"/>
        </w:rPr>
      </w:pPr>
      <w:r w:rsidRPr="009577DE">
        <w:rPr>
          <w:b/>
          <w:sz w:val="20"/>
          <w:lang w:val="es-ES_tradnl"/>
        </w:rPr>
        <w:t>PROGRAMA IBEROAMERICANO DE PROPIEDAD INDUSTRIAL – Contribuciones de donantes y gastos en 2</w:t>
      </w:r>
      <w:r w:rsidRPr="009577DE">
        <w:rPr>
          <w:b/>
          <w:bCs/>
          <w:sz w:val="20"/>
          <w:lang w:val="es-ES_tradnl"/>
        </w:rPr>
        <w:t>012</w:t>
      </w:r>
      <w:r w:rsidRPr="009577DE">
        <w:rPr>
          <w:b/>
          <w:bCs/>
          <w:sz w:val="20"/>
          <w:vertAlign w:val="superscript"/>
          <w:lang w:val="es-ES_tradnl"/>
        </w:rPr>
        <w:t>1</w:t>
      </w:r>
    </w:p>
    <w:p w:rsidR="00B070BF" w:rsidRPr="009577DE" w:rsidRDefault="00B070BF" w:rsidP="00B070BF">
      <w:pPr>
        <w:widowControl w:val="0"/>
        <w:rPr>
          <w:b/>
          <w:sz w:val="20"/>
          <w:lang w:val="es-ES_tradn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3"/>
        <w:gridCol w:w="1701"/>
        <w:gridCol w:w="1843"/>
        <w:gridCol w:w="1701"/>
        <w:gridCol w:w="1984"/>
      </w:tblGrid>
      <w:tr w:rsidR="00B070BF" w:rsidRPr="009577DE" w:rsidTr="00C33D4A">
        <w:trPr>
          <w:trHeight w:val="567"/>
        </w:trPr>
        <w:tc>
          <w:tcPr>
            <w:tcW w:w="1843" w:type="dxa"/>
            <w:shd w:val="clear" w:color="auto" w:fill="CCFFFF"/>
            <w:vAlign w:val="center"/>
          </w:tcPr>
          <w:p w:rsidR="00B070BF" w:rsidRPr="009577DE" w:rsidRDefault="00B070BF" w:rsidP="00C33D4A">
            <w:pPr>
              <w:widowControl w:val="0"/>
              <w:spacing w:after="220"/>
              <w:jc w:val="center"/>
              <w:rPr>
                <w:b/>
                <w:sz w:val="16"/>
                <w:szCs w:val="16"/>
                <w:lang w:val="es-ES_tradnl"/>
              </w:rPr>
            </w:pPr>
            <w:r w:rsidRPr="009577DE">
              <w:rPr>
                <w:b/>
                <w:sz w:val="16"/>
                <w:szCs w:val="16"/>
                <w:lang w:val="es-ES_tradnl"/>
              </w:rPr>
              <w:t>Balance a 31 de diciembre de 2011</w:t>
            </w:r>
          </w:p>
        </w:tc>
        <w:tc>
          <w:tcPr>
            <w:tcW w:w="1701" w:type="dxa"/>
            <w:shd w:val="clear" w:color="auto" w:fill="CCFFFF"/>
            <w:vAlign w:val="center"/>
          </w:tcPr>
          <w:p w:rsidR="00B070BF" w:rsidRPr="009577DE" w:rsidRDefault="00B070BF" w:rsidP="00C33D4A">
            <w:pPr>
              <w:widowControl w:val="0"/>
              <w:spacing w:after="220"/>
              <w:jc w:val="center"/>
              <w:rPr>
                <w:b/>
                <w:sz w:val="16"/>
                <w:szCs w:val="16"/>
                <w:lang w:val="es-ES_tradnl"/>
              </w:rPr>
            </w:pPr>
            <w:r w:rsidRPr="009577DE">
              <w:rPr>
                <w:b/>
                <w:sz w:val="16"/>
                <w:szCs w:val="16"/>
                <w:lang w:val="es-ES_tradnl"/>
              </w:rPr>
              <w:t>Ingresos en 2012</w:t>
            </w:r>
          </w:p>
        </w:tc>
        <w:tc>
          <w:tcPr>
            <w:tcW w:w="1843" w:type="dxa"/>
            <w:shd w:val="clear" w:color="auto" w:fill="CCFFFF"/>
            <w:vAlign w:val="center"/>
          </w:tcPr>
          <w:p w:rsidR="00B070BF" w:rsidRPr="009577DE" w:rsidRDefault="00B070BF" w:rsidP="00C33D4A">
            <w:pPr>
              <w:widowControl w:val="0"/>
              <w:spacing w:after="220"/>
              <w:jc w:val="center"/>
              <w:rPr>
                <w:b/>
                <w:sz w:val="16"/>
                <w:szCs w:val="16"/>
                <w:lang w:val="es-ES_tradnl"/>
              </w:rPr>
            </w:pPr>
            <w:r w:rsidRPr="009577DE">
              <w:rPr>
                <w:b/>
                <w:sz w:val="16"/>
                <w:szCs w:val="16"/>
                <w:lang w:val="es-ES_tradnl"/>
              </w:rPr>
              <w:t>Gastos en 2012</w:t>
            </w:r>
          </w:p>
        </w:tc>
        <w:tc>
          <w:tcPr>
            <w:tcW w:w="1701" w:type="dxa"/>
            <w:shd w:val="clear" w:color="auto" w:fill="CCFFFF"/>
            <w:vAlign w:val="center"/>
          </w:tcPr>
          <w:p w:rsidR="00B070BF" w:rsidRPr="009577DE" w:rsidRDefault="00B070BF" w:rsidP="00C33D4A">
            <w:pPr>
              <w:widowControl w:val="0"/>
              <w:spacing w:after="220"/>
              <w:jc w:val="center"/>
              <w:rPr>
                <w:b/>
                <w:sz w:val="16"/>
                <w:szCs w:val="16"/>
                <w:lang w:val="es-ES_tradnl"/>
              </w:rPr>
            </w:pPr>
            <w:r w:rsidRPr="009577DE">
              <w:rPr>
                <w:b/>
                <w:sz w:val="16"/>
                <w:szCs w:val="16"/>
                <w:lang w:val="es-ES_tradnl"/>
              </w:rPr>
              <w:t>Reembolsos</w:t>
            </w:r>
          </w:p>
        </w:tc>
        <w:tc>
          <w:tcPr>
            <w:tcW w:w="1984" w:type="dxa"/>
            <w:shd w:val="clear" w:color="auto" w:fill="CCFFFF"/>
            <w:vAlign w:val="center"/>
          </w:tcPr>
          <w:p w:rsidR="00B070BF" w:rsidRPr="009577DE" w:rsidRDefault="00B070BF" w:rsidP="00C33D4A">
            <w:pPr>
              <w:widowControl w:val="0"/>
              <w:spacing w:after="220"/>
              <w:jc w:val="center"/>
              <w:rPr>
                <w:b/>
                <w:sz w:val="16"/>
                <w:szCs w:val="16"/>
                <w:lang w:val="es-ES_tradnl"/>
              </w:rPr>
            </w:pPr>
            <w:r w:rsidRPr="009577DE">
              <w:rPr>
                <w:b/>
                <w:sz w:val="16"/>
                <w:szCs w:val="16"/>
                <w:lang w:val="es-ES_tradnl"/>
              </w:rPr>
              <w:t>Balance a 31 de diciembre de 2012</w:t>
            </w:r>
          </w:p>
        </w:tc>
      </w:tr>
      <w:tr w:rsidR="00B070BF" w:rsidRPr="009577DE" w:rsidTr="00C33D4A">
        <w:trPr>
          <w:trHeight w:val="567"/>
        </w:trPr>
        <w:tc>
          <w:tcPr>
            <w:tcW w:w="1843" w:type="dxa"/>
            <w:shd w:val="clear" w:color="auto" w:fill="auto"/>
            <w:vAlign w:val="center"/>
          </w:tcPr>
          <w:p w:rsidR="00B070BF" w:rsidRPr="009577DE" w:rsidRDefault="00B070BF" w:rsidP="00C33D4A">
            <w:pPr>
              <w:widowControl w:val="0"/>
              <w:autoSpaceDE w:val="0"/>
              <w:autoSpaceDN w:val="0"/>
              <w:adjustRightInd w:val="0"/>
              <w:spacing w:after="220"/>
              <w:jc w:val="center"/>
              <w:rPr>
                <w:rFonts w:eastAsia="MS Mincho"/>
                <w:sz w:val="16"/>
                <w:szCs w:val="16"/>
                <w:lang w:val="es-ES_tradnl" w:eastAsia="ja-JP" w:bidi="th-TH"/>
              </w:rPr>
            </w:pPr>
            <w:r w:rsidRPr="009577DE">
              <w:rPr>
                <w:rFonts w:eastAsia="MS Mincho"/>
                <w:sz w:val="16"/>
                <w:szCs w:val="16"/>
                <w:lang w:val="es-ES_tradnl" w:eastAsia="ja-JP" w:bidi="th-TH"/>
              </w:rPr>
              <w:t>–</w:t>
            </w:r>
          </w:p>
        </w:tc>
        <w:tc>
          <w:tcPr>
            <w:tcW w:w="1701" w:type="dxa"/>
            <w:shd w:val="clear" w:color="auto" w:fill="auto"/>
            <w:vAlign w:val="center"/>
          </w:tcPr>
          <w:p w:rsidR="00B070BF" w:rsidRPr="009577DE" w:rsidRDefault="00B070BF" w:rsidP="00C33D4A">
            <w:pPr>
              <w:widowControl w:val="0"/>
              <w:autoSpaceDE w:val="0"/>
              <w:autoSpaceDN w:val="0"/>
              <w:adjustRightInd w:val="0"/>
              <w:spacing w:after="220"/>
              <w:jc w:val="center"/>
              <w:rPr>
                <w:rFonts w:eastAsia="MS Mincho"/>
                <w:sz w:val="16"/>
                <w:szCs w:val="16"/>
                <w:lang w:val="es-ES_tradnl" w:eastAsia="ja-JP" w:bidi="th-TH"/>
              </w:rPr>
            </w:pPr>
            <w:r w:rsidRPr="009577DE">
              <w:rPr>
                <w:rFonts w:eastAsia="MS Mincho"/>
                <w:sz w:val="16"/>
                <w:szCs w:val="16"/>
                <w:lang w:val="es-ES_tradnl" w:eastAsia="ja-JP" w:bidi="th-TH"/>
              </w:rPr>
              <w:t>44.622</w:t>
            </w:r>
          </w:p>
        </w:tc>
        <w:tc>
          <w:tcPr>
            <w:tcW w:w="1843" w:type="dxa"/>
            <w:shd w:val="clear" w:color="auto" w:fill="auto"/>
            <w:vAlign w:val="center"/>
          </w:tcPr>
          <w:p w:rsidR="00B070BF" w:rsidRPr="009577DE" w:rsidRDefault="00B070BF" w:rsidP="00C33D4A">
            <w:pPr>
              <w:widowControl w:val="0"/>
              <w:autoSpaceDE w:val="0"/>
              <w:autoSpaceDN w:val="0"/>
              <w:adjustRightInd w:val="0"/>
              <w:spacing w:after="220"/>
              <w:jc w:val="center"/>
              <w:rPr>
                <w:rFonts w:eastAsia="MS Mincho"/>
                <w:sz w:val="16"/>
                <w:szCs w:val="16"/>
                <w:lang w:val="es-ES_tradnl" w:eastAsia="ja-JP" w:bidi="th-TH"/>
              </w:rPr>
            </w:pPr>
            <w:r w:rsidRPr="009577DE">
              <w:rPr>
                <w:rFonts w:eastAsia="MS Mincho"/>
                <w:sz w:val="16"/>
                <w:szCs w:val="16"/>
                <w:lang w:val="es-ES_tradnl" w:eastAsia="ja-JP" w:bidi="th-TH"/>
              </w:rPr>
              <w:t>22</w:t>
            </w:r>
          </w:p>
        </w:tc>
        <w:tc>
          <w:tcPr>
            <w:tcW w:w="1701" w:type="dxa"/>
            <w:shd w:val="clear" w:color="auto" w:fill="auto"/>
            <w:vAlign w:val="center"/>
          </w:tcPr>
          <w:p w:rsidR="00B070BF" w:rsidRPr="009577DE" w:rsidRDefault="00B070BF" w:rsidP="00C33D4A">
            <w:pPr>
              <w:widowControl w:val="0"/>
              <w:autoSpaceDE w:val="0"/>
              <w:autoSpaceDN w:val="0"/>
              <w:adjustRightInd w:val="0"/>
              <w:spacing w:after="220"/>
              <w:jc w:val="center"/>
              <w:rPr>
                <w:rFonts w:eastAsia="MS Mincho"/>
                <w:sz w:val="16"/>
                <w:szCs w:val="16"/>
                <w:lang w:val="es-ES_tradnl" w:eastAsia="ja-JP" w:bidi="th-TH"/>
              </w:rPr>
            </w:pPr>
            <w:r w:rsidRPr="009577DE">
              <w:rPr>
                <w:rFonts w:eastAsia="MS Mincho"/>
                <w:sz w:val="16"/>
                <w:szCs w:val="16"/>
                <w:lang w:val="es-ES_tradnl" w:eastAsia="ja-JP" w:bidi="th-TH"/>
              </w:rPr>
              <w:t>–</w:t>
            </w:r>
          </w:p>
        </w:tc>
        <w:tc>
          <w:tcPr>
            <w:tcW w:w="1984" w:type="dxa"/>
            <w:shd w:val="clear" w:color="auto" w:fill="auto"/>
            <w:vAlign w:val="center"/>
          </w:tcPr>
          <w:p w:rsidR="00B070BF" w:rsidRPr="009577DE" w:rsidRDefault="00B070BF" w:rsidP="00C33D4A">
            <w:pPr>
              <w:widowControl w:val="0"/>
              <w:autoSpaceDE w:val="0"/>
              <w:autoSpaceDN w:val="0"/>
              <w:adjustRightInd w:val="0"/>
              <w:spacing w:after="220"/>
              <w:jc w:val="center"/>
              <w:rPr>
                <w:rFonts w:eastAsia="MS Mincho"/>
                <w:sz w:val="16"/>
                <w:szCs w:val="16"/>
                <w:lang w:val="es-ES_tradnl" w:eastAsia="ja-JP" w:bidi="th-TH"/>
              </w:rPr>
            </w:pPr>
            <w:r w:rsidRPr="009577DE">
              <w:rPr>
                <w:rFonts w:eastAsia="MS Mincho"/>
                <w:sz w:val="16"/>
                <w:szCs w:val="16"/>
                <w:lang w:val="es-ES_tradnl" w:eastAsia="ja-JP" w:bidi="th-TH"/>
              </w:rPr>
              <w:t>44.600</w:t>
            </w:r>
          </w:p>
        </w:tc>
      </w:tr>
    </w:tbl>
    <w:p w:rsidR="00B070BF" w:rsidRPr="009577DE" w:rsidRDefault="00B070BF" w:rsidP="00B070BF">
      <w:pPr>
        <w:widowControl w:val="0"/>
        <w:spacing w:before="120"/>
        <w:rPr>
          <w:szCs w:val="22"/>
          <w:lang w:val="es-ES_tradnl"/>
        </w:rPr>
      </w:pPr>
      <w:r w:rsidRPr="009577DE">
        <w:rPr>
          <w:i/>
          <w:iCs/>
          <w:sz w:val="16"/>
          <w:szCs w:val="16"/>
          <w:vertAlign w:val="superscript"/>
          <w:lang w:val="es-ES_tradnl"/>
        </w:rPr>
        <w:t xml:space="preserve">1 </w:t>
      </w:r>
      <w:r w:rsidRPr="009577DE">
        <w:rPr>
          <w:i/>
          <w:iCs/>
          <w:sz w:val="16"/>
          <w:szCs w:val="16"/>
          <w:lang w:val="es-ES_tradnl"/>
        </w:rPr>
        <w:t>Estados financieros de la OMPI de 2012 (Anexo III)</w:t>
      </w:r>
    </w:p>
    <w:p w:rsidR="00B070BF" w:rsidRPr="009577DE" w:rsidRDefault="00B070BF" w:rsidP="00B070BF">
      <w:pPr>
        <w:widowControl w:val="0"/>
        <w:rPr>
          <w:b/>
          <w:sz w:val="20"/>
          <w:lang w:val="es-ES_tradnl"/>
        </w:rPr>
      </w:pPr>
    </w:p>
    <w:p w:rsidR="00B070BF" w:rsidRPr="009577DE" w:rsidRDefault="00B070BF" w:rsidP="00B070BF">
      <w:pPr>
        <w:widowControl w:val="0"/>
        <w:rPr>
          <w:b/>
          <w:sz w:val="20"/>
          <w:lang w:val="es-ES_tradnl"/>
        </w:rPr>
      </w:pPr>
    </w:p>
    <w:p w:rsidR="00B070BF" w:rsidRPr="009577DE" w:rsidRDefault="00B070BF" w:rsidP="00B070BF">
      <w:pPr>
        <w:widowControl w:val="0"/>
        <w:rPr>
          <w:b/>
          <w:sz w:val="20"/>
          <w:lang w:val="es-ES_tradnl"/>
        </w:rPr>
      </w:pPr>
      <w:r w:rsidRPr="009577DE">
        <w:rPr>
          <w:b/>
          <w:sz w:val="20"/>
          <w:lang w:val="es-ES_tradnl"/>
        </w:rPr>
        <w:t>ITALIA</w:t>
      </w:r>
    </w:p>
    <w:p w:rsidR="00B070BF" w:rsidRPr="009577DE" w:rsidRDefault="00B070BF" w:rsidP="00B070BF">
      <w:pPr>
        <w:widowControl w:val="0"/>
        <w:rPr>
          <w:b/>
          <w:sz w:val="20"/>
          <w:lang w:val="es-ES_tradnl"/>
        </w:rPr>
      </w:pPr>
    </w:p>
    <w:tbl>
      <w:tblPr>
        <w:tblW w:w="9102" w:type="dxa"/>
        <w:tblInd w:w="78"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1873"/>
        <w:gridCol w:w="1276"/>
        <w:gridCol w:w="2835"/>
        <w:gridCol w:w="3118"/>
      </w:tblGrid>
      <w:tr w:rsidR="00B070BF" w:rsidRPr="009577DE" w:rsidTr="00C33D4A">
        <w:trPr>
          <w:cantSplit/>
        </w:trPr>
        <w:tc>
          <w:tcPr>
            <w:tcW w:w="9102" w:type="dxa"/>
            <w:gridSpan w:val="4"/>
            <w:tcBorders>
              <w:top w:val="single" w:sz="4" w:space="0" w:color="000000"/>
              <w:bottom w:val="single" w:sz="4" w:space="0" w:color="000000"/>
            </w:tcBorders>
            <w:shd w:val="clear" w:color="auto" w:fill="CCFFFF"/>
            <w:vAlign w:val="center"/>
          </w:tcPr>
          <w:p w:rsidR="00B070BF" w:rsidRPr="009577DE" w:rsidRDefault="00B070BF" w:rsidP="00C33D4A">
            <w:pPr>
              <w:widowControl w:val="0"/>
              <w:tabs>
                <w:tab w:val="left" w:pos="1740"/>
              </w:tabs>
              <w:spacing w:before="120" w:after="120"/>
              <w:ind w:left="1740" w:hanging="1740"/>
              <w:rPr>
                <w:b/>
                <w:bCs/>
                <w:sz w:val="16"/>
                <w:szCs w:val="16"/>
                <w:lang w:val="es-ES_tradnl"/>
              </w:rPr>
            </w:pPr>
            <w:r w:rsidRPr="009577DE">
              <w:rPr>
                <w:b/>
                <w:bCs/>
                <w:sz w:val="16"/>
                <w:szCs w:val="16"/>
                <w:lang w:val="es-ES_tradnl"/>
              </w:rPr>
              <w:t>RESULTADO:</w:t>
            </w:r>
            <w:r w:rsidRPr="009577DE">
              <w:rPr>
                <w:bCs/>
                <w:sz w:val="16"/>
                <w:szCs w:val="16"/>
                <w:lang w:val="es-ES_tradnl"/>
              </w:rPr>
              <w:tab/>
              <w:t>Mayor facilidad de acceso a la formación en P.I.</w:t>
            </w:r>
          </w:p>
        </w:tc>
      </w:tr>
      <w:tr w:rsidR="00B070BF" w:rsidRPr="009577DE" w:rsidTr="00C33D4A">
        <w:trPr>
          <w:cantSplit/>
        </w:trPr>
        <w:tc>
          <w:tcPr>
            <w:tcW w:w="1873" w:type="dxa"/>
            <w:tcBorders>
              <w:top w:val="single" w:sz="4" w:space="0" w:color="000000"/>
            </w:tcBorders>
            <w:vAlign w:val="center"/>
          </w:tcPr>
          <w:p w:rsidR="00B070BF" w:rsidRPr="009577DE" w:rsidRDefault="00B070BF" w:rsidP="00C33D4A">
            <w:pPr>
              <w:widowControl w:val="0"/>
              <w:rPr>
                <w:b/>
                <w:bCs/>
                <w:sz w:val="16"/>
                <w:szCs w:val="16"/>
                <w:lang w:val="es-ES_tradnl"/>
              </w:rPr>
            </w:pPr>
            <w:r w:rsidRPr="009577DE">
              <w:rPr>
                <w:b/>
                <w:bCs/>
                <w:sz w:val="16"/>
                <w:szCs w:val="16"/>
                <w:lang w:val="es-ES_tradnl"/>
              </w:rPr>
              <w:t>Actividad</w:t>
            </w:r>
          </w:p>
        </w:tc>
        <w:tc>
          <w:tcPr>
            <w:tcW w:w="1276" w:type="dxa"/>
            <w:tcBorders>
              <w:top w:val="single" w:sz="4" w:space="0" w:color="000000"/>
            </w:tcBorders>
            <w:tcMar>
              <w:top w:w="110" w:type="dxa"/>
            </w:tcMar>
            <w:vAlign w:val="center"/>
          </w:tcPr>
          <w:p w:rsidR="00B070BF" w:rsidRPr="009577DE" w:rsidRDefault="00B070BF" w:rsidP="00C33D4A">
            <w:pPr>
              <w:widowControl w:val="0"/>
              <w:rPr>
                <w:sz w:val="16"/>
                <w:szCs w:val="16"/>
                <w:lang w:val="es-ES_tradnl"/>
              </w:rPr>
            </w:pPr>
            <w:r w:rsidRPr="009577DE">
              <w:rPr>
                <w:b/>
                <w:bCs/>
                <w:sz w:val="16"/>
                <w:szCs w:val="16"/>
                <w:lang w:val="es-ES_tradnl"/>
              </w:rPr>
              <w:t>Fecha</w:t>
            </w:r>
          </w:p>
        </w:tc>
        <w:tc>
          <w:tcPr>
            <w:tcW w:w="2835" w:type="dxa"/>
            <w:tcBorders>
              <w:top w:val="single" w:sz="4" w:space="0" w:color="000000"/>
            </w:tcBorders>
            <w:tcMar>
              <w:top w:w="110" w:type="dxa"/>
            </w:tcMar>
            <w:vAlign w:val="center"/>
          </w:tcPr>
          <w:p w:rsidR="00B070BF" w:rsidRPr="009577DE" w:rsidRDefault="00B070BF" w:rsidP="00C33D4A">
            <w:pPr>
              <w:widowControl w:val="0"/>
              <w:rPr>
                <w:sz w:val="16"/>
                <w:szCs w:val="16"/>
                <w:lang w:val="es-ES_tradnl"/>
              </w:rPr>
            </w:pPr>
            <w:r w:rsidRPr="009577DE">
              <w:rPr>
                <w:b/>
                <w:bCs/>
                <w:sz w:val="16"/>
                <w:szCs w:val="16"/>
                <w:lang w:val="es-ES_tradnl"/>
              </w:rPr>
              <w:t>País anfitrión/Beneficiarios</w:t>
            </w:r>
          </w:p>
        </w:tc>
        <w:tc>
          <w:tcPr>
            <w:tcW w:w="3118" w:type="dxa"/>
            <w:tcBorders>
              <w:top w:val="single" w:sz="4" w:space="0" w:color="000000"/>
            </w:tcBorders>
            <w:shd w:val="clear" w:color="auto" w:fill="FFFFFF"/>
            <w:tcMar>
              <w:top w:w="110" w:type="dxa"/>
            </w:tcMar>
            <w:vAlign w:val="center"/>
          </w:tcPr>
          <w:p w:rsidR="00B070BF" w:rsidRPr="009577DE" w:rsidRDefault="00B070BF" w:rsidP="00C33D4A">
            <w:pPr>
              <w:widowControl w:val="0"/>
              <w:rPr>
                <w:sz w:val="16"/>
                <w:szCs w:val="16"/>
                <w:lang w:val="es-ES_tradnl"/>
              </w:rPr>
            </w:pPr>
            <w:r w:rsidRPr="009577DE">
              <w:rPr>
                <w:b/>
                <w:bCs/>
                <w:sz w:val="16"/>
                <w:szCs w:val="16"/>
                <w:lang w:val="es-ES_tradnl"/>
              </w:rPr>
              <w:t>Propósito/Descripción</w:t>
            </w:r>
          </w:p>
        </w:tc>
      </w:tr>
      <w:tr w:rsidR="00B070BF" w:rsidRPr="009577DE" w:rsidTr="00C33D4A">
        <w:trPr>
          <w:cantSplit/>
        </w:trPr>
        <w:tc>
          <w:tcPr>
            <w:tcW w:w="1873" w:type="dxa"/>
            <w:tcBorders>
              <w:bottom w:val="single" w:sz="4" w:space="0" w:color="000000"/>
            </w:tcBorders>
          </w:tcPr>
          <w:p w:rsidR="00B070BF" w:rsidRPr="009577DE" w:rsidRDefault="00B070BF" w:rsidP="00C33D4A">
            <w:pPr>
              <w:widowControl w:val="0"/>
              <w:autoSpaceDE w:val="0"/>
              <w:autoSpaceDN w:val="0"/>
              <w:adjustRightInd w:val="0"/>
              <w:spacing w:before="120" w:after="120"/>
              <w:rPr>
                <w:sz w:val="16"/>
                <w:szCs w:val="16"/>
                <w:lang w:val="es-ES_tradnl"/>
              </w:rPr>
            </w:pPr>
            <w:r w:rsidRPr="009577DE">
              <w:rPr>
                <w:sz w:val="16"/>
                <w:szCs w:val="16"/>
                <w:lang w:val="es-ES_tradnl"/>
              </w:rPr>
              <w:t>Adaptación, traducción al Italiano y publicación de una Guía de la OMPI para la “Creación y la gestión de oficinas de transferencia de tecnología en universidades” (idioma original:  español).</w:t>
            </w:r>
          </w:p>
        </w:tc>
        <w:tc>
          <w:tcPr>
            <w:tcW w:w="1276" w:type="dxa"/>
            <w:tcBorders>
              <w:bottom w:val="single" w:sz="4" w:space="0" w:color="000000"/>
            </w:tcBorders>
          </w:tcPr>
          <w:p w:rsidR="00B070BF" w:rsidRPr="009577DE" w:rsidRDefault="00B070BF" w:rsidP="00C33D4A">
            <w:pPr>
              <w:widowControl w:val="0"/>
              <w:autoSpaceDE w:val="0"/>
              <w:autoSpaceDN w:val="0"/>
              <w:adjustRightInd w:val="0"/>
              <w:spacing w:before="120" w:after="120"/>
              <w:rPr>
                <w:sz w:val="16"/>
                <w:szCs w:val="16"/>
                <w:lang w:val="es-ES_tradnl"/>
              </w:rPr>
            </w:pPr>
            <w:r w:rsidRPr="009577DE">
              <w:rPr>
                <w:sz w:val="16"/>
                <w:szCs w:val="16"/>
                <w:lang w:val="es-ES_tradnl"/>
              </w:rPr>
              <w:t>Mayo a septiembre de 2012</w:t>
            </w:r>
          </w:p>
        </w:tc>
        <w:tc>
          <w:tcPr>
            <w:tcW w:w="2835" w:type="dxa"/>
            <w:tcBorders>
              <w:bottom w:val="single" w:sz="4" w:space="0" w:color="000000"/>
            </w:tcBorders>
          </w:tcPr>
          <w:p w:rsidR="00B070BF" w:rsidRPr="009577DE" w:rsidRDefault="00B070BF" w:rsidP="00C33D4A">
            <w:pPr>
              <w:widowControl w:val="0"/>
              <w:autoSpaceDE w:val="0"/>
              <w:autoSpaceDN w:val="0"/>
              <w:adjustRightInd w:val="0"/>
              <w:spacing w:before="120" w:after="120"/>
              <w:rPr>
                <w:sz w:val="16"/>
                <w:szCs w:val="16"/>
                <w:lang w:val="es-ES_tradnl"/>
              </w:rPr>
            </w:pPr>
            <w:r w:rsidRPr="009577DE">
              <w:rPr>
                <w:sz w:val="16"/>
                <w:szCs w:val="16"/>
                <w:lang w:val="es-ES_tradnl"/>
              </w:rPr>
              <w:t xml:space="preserve">Italia </w:t>
            </w:r>
          </w:p>
        </w:tc>
        <w:tc>
          <w:tcPr>
            <w:tcW w:w="3118" w:type="dxa"/>
            <w:tcBorders>
              <w:bottom w:val="single" w:sz="4" w:space="0" w:color="000000"/>
            </w:tcBorders>
          </w:tcPr>
          <w:p w:rsidR="00B070BF" w:rsidRPr="009577DE" w:rsidRDefault="00B070BF" w:rsidP="00C33D4A">
            <w:pPr>
              <w:widowControl w:val="0"/>
              <w:autoSpaceDE w:val="0"/>
              <w:autoSpaceDN w:val="0"/>
              <w:adjustRightInd w:val="0"/>
              <w:spacing w:before="120" w:after="120"/>
              <w:rPr>
                <w:sz w:val="16"/>
                <w:szCs w:val="16"/>
                <w:lang w:val="es-ES_tradnl"/>
              </w:rPr>
            </w:pPr>
            <w:r w:rsidRPr="009577DE">
              <w:rPr>
                <w:sz w:val="16"/>
                <w:szCs w:val="16"/>
                <w:lang w:val="es-ES_tradnl"/>
              </w:rPr>
              <w:t>Elaborar y difundir instrumentos eficaces para respaldar la creación y la gestión de las oficinas de transferencia de P.I. y tecnología en las universidades italianas, con el objetivo de facilitar las relaciones entre los sectores universitario y empresarial.</w:t>
            </w:r>
          </w:p>
        </w:tc>
      </w:tr>
    </w:tbl>
    <w:p w:rsidR="00B070BF" w:rsidRPr="009577DE" w:rsidRDefault="00B070BF" w:rsidP="00B070BF">
      <w:pPr>
        <w:widowControl w:val="0"/>
        <w:rPr>
          <w:sz w:val="20"/>
          <w:lang w:val="es-ES_tradnl"/>
        </w:rPr>
      </w:pPr>
    </w:p>
    <w:p w:rsidR="00B070BF" w:rsidRPr="009577DE" w:rsidRDefault="00B070BF" w:rsidP="00B070BF">
      <w:pPr>
        <w:widowControl w:val="0"/>
        <w:rPr>
          <w:b/>
          <w:sz w:val="20"/>
          <w:lang w:val="es-ES_tradnl"/>
        </w:rPr>
      </w:pPr>
    </w:p>
    <w:p w:rsidR="00B070BF" w:rsidRPr="009577DE" w:rsidRDefault="00B070BF" w:rsidP="00B070BF">
      <w:pPr>
        <w:keepNext/>
        <w:widowControl w:val="0"/>
        <w:rPr>
          <w:b/>
          <w:sz w:val="18"/>
          <w:szCs w:val="18"/>
          <w:lang w:val="es-ES_tradnl"/>
        </w:rPr>
      </w:pPr>
      <w:r w:rsidRPr="009577DE">
        <w:rPr>
          <w:b/>
          <w:sz w:val="20"/>
          <w:lang w:val="es-ES_tradnl"/>
        </w:rPr>
        <w:lastRenderedPageBreak/>
        <w:t>ITALIA Contribuciones de donantes y gastos en </w:t>
      </w:r>
      <w:r w:rsidRPr="009577DE">
        <w:rPr>
          <w:b/>
          <w:bCs/>
          <w:sz w:val="20"/>
          <w:lang w:val="es-ES_tradnl"/>
        </w:rPr>
        <w:t>2012</w:t>
      </w:r>
      <w:r w:rsidRPr="009577DE">
        <w:rPr>
          <w:b/>
          <w:bCs/>
          <w:sz w:val="18"/>
          <w:szCs w:val="18"/>
          <w:vertAlign w:val="superscript"/>
          <w:lang w:val="es-ES_tradnl"/>
        </w:rPr>
        <w:t>1</w:t>
      </w:r>
    </w:p>
    <w:p w:rsidR="00B070BF" w:rsidRPr="009577DE" w:rsidRDefault="00B070BF" w:rsidP="00B070BF">
      <w:pPr>
        <w:keepNext/>
        <w:widowControl w:val="0"/>
        <w:rPr>
          <w:lang w:val="es-ES_tradn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3"/>
        <w:gridCol w:w="1701"/>
        <w:gridCol w:w="1843"/>
        <w:gridCol w:w="1701"/>
        <w:gridCol w:w="1984"/>
      </w:tblGrid>
      <w:tr w:rsidR="00B070BF" w:rsidRPr="009577DE" w:rsidTr="00C33D4A">
        <w:trPr>
          <w:trHeight w:val="567"/>
        </w:trPr>
        <w:tc>
          <w:tcPr>
            <w:tcW w:w="1843" w:type="dxa"/>
            <w:shd w:val="clear" w:color="auto" w:fill="CCFFFF"/>
            <w:vAlign w:val="center"/>
          </w:tcPr>
          <w:p w:rsidR="00B070BF" w:rsidRPr="009577DE" w:rsidRDefault="00B070BF" w:rsidP="00C33D4A">
            <w:pPr>
              <w:keepNext/>
              <w:widowControl w:val="0"/>
              <w:spacing w:after="220"/>
              <w:jc w:val="center"/>
              <w:rPr>
                <w:b/>
                <w:sz w:val="16"/>
                <w:szCs w:val="16"/>
                <w:lang w:val="es-ES_tradnl"/>
              </w:rPr>
            </w:pPr>
            <w:r w:rsidRPr="009577DE">
              <w:rPr>
                <w:b/>
                <w:sz w:val="16"/>
                <w:szCs w:val="16"/>
                <w:lang w:val="es-ES_tradnl"/>
              </w:rPr>
              <w:t>Balance a 31 de diciembre de 2011</w:t>
            </w:r>
          </w:p>
        </w:tc>
        <w:tc>
          <w:tcPr>
            <w:tcW w:w="1701" w:type="dxa"/>
            <w:shd w:val="clear" w:color="auto" w:fill="CCFFFF"/>
            <w:vAlign w:val="center"/>
          </w:tcPr>
          <w:p w:rsidR="00B070BF" w:rsidRPr="009577DE" w:rsidRDefault="00B070BF" w:rsidP="00C33D4A">
            <w:pPr>
              <w:keepNext/>
              <w:widowControl w:val="0"/>
              <w:spacing w:after="220"/>
              <w:jc w:val="center"/>
              <w:rPr>
                <w:b/>
                <w:sz w:val="16"/>
                <w:szCs w:val="16"/>
                <w:lang w:val="es-ES_tradnl"/>
              </w:rPr>
            </w:pPr>
            <w:r w:rsidRPr="009577DE">
              <w:rPr>
                <w:b/>
                <w:sz w:val="16"/>
                <w:szCs w:val="16"/>
                <w:lang w:val="es-ES_tradnl"/>
              </w:rPr>
              <w:t>Ingresos en 2012</w:t>
            </w:r>
          </w:p>
        </w:tc>
        <w:tc>
          <w:tcPr>
            <w:tcW w:w="1843" w:type="dxa"/>
            <w:shd w:val="clear" w:color="auto" w:fill="CCFFFF"/>
            <w:vAlign w:val="center"/>
          </w:tcPr>
          <w:p w:rsidR="00B070BF" w:rsidRPr="009577DE" w:rsidRDefault="00B070BF" w:rsidP="00C33D4A">
            <w:pPr>
              <w:keepNext/>
              <w:widowControl w:val="0"/>
              <w:spacing w:after="220"/>
              <w:jc w:val="center"/>
              <w:rPr>
                <w:b/>
                <w:sz w:val="16"/>
                <w:szCs w:val="16"/>
                <w:lang w:val="es-ES_tradnl"/>
              </w:rPr>
            </w:pPr>
            <w:r w:rsidRPr="009577DE">
              <w:rPr>
                <w:b/>
                <w:sz w:val="16"/>
                <w:szCs w:val="16"/>
                <w:lang w:val="es-ES_tradnl"/>
              </w:rPr>
              <w:t>Gastos en 2012</w:t>
            </w:r>
          </w:p>
        </w:tc>
        <w:tc>
          <w:tcPr>
            <w:tcW w:w="1701" w:type="dxa"/>
            <w:shd w:val="clear" w:color="auto" w:fill="CCFFFF"/>
            <w:vAlign w:val="center"/>
          </w:tcPr>
          <w:p w:rsidR="00B070BF" w:rsidRPr="009577DE" w:rsidRDefault="00B070BF" w:rsidP="00C33D4A">
            <w:pPr>
              <w:keepNext/>
              <w:widowControl w:val="0"/>
              <w:spacing w:after="220"/>
              <w:jc w:val="center"/>
              <w:rPr>
                <w:b/>
                <w:sz w:val="16"/>
                <w:szCs w:val="16"/>
                <w:lang w:val="es-ES_tradnl"/>
              </w:rPr>
            </w:pPr>
            <w:r w:rsidRPr="009577DE">
              <w:rPr>
                <w:b/>
                <w:sz w:val="16"/>
                <w:szCs w:val="16"/>
                <w:lang w:val="es-ES_tradnl"/>
              </w:rPr>
              <w:t>Reembolsos</w:t>
            </w:r>
          </w:p>
        </w:tc>
        <w:tc>
          <w:tcPr>
            <w:tcW w:w="1984" w:type="dxa"/>
            <w:shd w:val="clear" w:color="auto" w:fill="CCFFFF"/>
            <w:vAlign w:val="center"/>
          </w:tcPr>
          <w:p w:rsidR="00B070BF" w:rsidRPr="009577DE" w:rsidRDefault="00B070BF" w:rsidP="00C33D4A">
            <w:pPr>
              <w:keepNext/>
              <w:widowControl w:val="0"/>
              <w:spacing w:after="220"/>
              <w:jc w:val="center"/>
              <w:rPr>
                <w:b/>
                <w:sz w:val="16"/>
                <w:szCs w:val="16"/>
                <w:lang w:val="es-ES_tradnl"/>
              </w:rPr>
            </w:pPr>
            <w:r w:rsidRPr="009577DE">
              <w:rPr>
                <w:b/>
                <w:sz w:val="16"/>
                <w:szCs w:val="16"/>
                <w:lang w:val="es-ES_tradnl"/>
              </w:rPr>
              <w:t>Balance a 31 de diciembre de 2012</w:t>
            </w:r>
          </w:p>
        </w:tc>
      </w:tr>
      <w:tr w:rsidR="00B070BF" w:rsidRPr="009577DE" w:rsidTr="00C33D4A">
        <w:trPr>
          <w:trHeight w:val="567"/>
        </w:trPr>
        <w:tc>
          <w:tcPr>
            <w:tcW w:w="1843" w:type="dxa"/>
            <w:shd w:val="clear" w:color="auto" w:fill="auto"/>
            <w:vAlign w:val="center"/>
          </w:tcPr>
          <w:p w:rsidR="00B070BF" w:rsidRPr="009577DE" w:rsidRDefault="00B070BF" w:rsidP="00C33D4A">
            <w:pPr>
              <w:widowControl w:val="0"/>
              <w:autoSpaceDE w:val="0"/>
              <w:autoSpaceDN w:val="0"/>
              <w:adjustRightInd w:val="0"/>
              <w:spacing w:after="220"/>
              <w:jc w:val="center"/>
              <w:rPr>
                <w:rFonts w:eastAsia="MS Mincho"/>
                <w:sz w:val="16"/>
                <w:szCs w:val="16"/>
                <w:lang w:val="es-ES_tradnl" w:eastAsia="ja-JP" w:bidi="th-TH"/>
              </w:rPr>
            </w:pPr>
            <w:r w:rsidRPr="009577DE">
              <w:rPr>
                <w:rFonts w:eastAsia="MS Mincho"/>
                <w:sz w:val="16"/>
                <w:szCs w:val="16"/>
                <w:lang w:val="es-ES_tradnl" w:eastAsia="ja-JP" w:bidi="th-TH"/>
              </w:rPr>
              <w:t>141.817</w:t>
            </w:r>
          </w:p>
        </w:tc>
        <w:tc>
          <w:tcPr>
            <w:tcW w:w="1701" w:type="dxa"/>
            <w:shd w:val="clear" w:color="auto" w:fill="auto"/>
            <w:vAlign w:val="center"/>
          </w:tcPr>
          <w:p w:rsidR="00B070BF" w:rsidRPr="009577DE" w:rsidRDefault="00B070BF" w:rsidP="00C33D4A">
            <w:pPr>
              <w:widowControl w:val="0"/>
              <w:autoSpaceDE w:val="0"/>
              <w:autoSpaceDN w:val="0"/>
              <w:adjustRightInd w:val="0"/>
              <w:spacing w:after="220"/>
              <w:jc w:val="center"/>
              <w:rPr>
                <w:rFonts w:eastAsia="MS Mincho"/>
                <w:sz w:val="16"/>
                <w:szCs w:val="16"/>
                <w:lang w:val="es-ES_tradnl" w:eastAsia="ja-JP" w:bidi="th-TH"/>
              </w:rPr>
            </w:pPr>
            <w:r w:rsidRPr="009577DE">
              <w:rPr>
                <w:rFonts w:eastAsia="MS Mincho"/>
                <w:sz w:val="16"/>
                <w:szCs w:val="16"/>
                <w:lang w:val="es-ES_tradnl" w:eastAsia="ja-JP" w:bidi="th-TH"/>
              </w:rPr>
              <w:t>600.780</w:t>
            </w:r>
          </w:p>
        </w:tc>
        <w:tc>
          <w:tcPr>
            <w:tcW w:w="1843" w:type="dxa"/>
            <w:shd w:val="clear" w:color="auto" w:fill="auto"/>
            <w:vAlign w:val="center"/>
          </w:tcPr>
          <w:p w:rsidR="00B070BF" w:rsidRPr="009577DE" w:rsidRDefault="00B070BF" w:rsidP="00C33D4A">
            <w:pPr>
              <w:widowControl w:val="0"/>
              <w:autoSpaceDE w:val="0"/>
              <w:autoSpaceDN w:val="0"/>
              <w:adjustRightInd w:val="0"/>
              <w:spacing w:after="220"/>
              <w:jc w:val="center"/>
              <w:rPr>
                <w:rFonts w:eastAsia="MS Mincho"/>
                <w:sz w:val="16"/>
                <w:szCs w:val="16"/>
                <w:lang w:val="es-ES_tradnl" w:eastAsia="ja-JP" w:bidi="th-TH"/>
              </w:rPr>
            </w:pPr>
            <w:r w:rsidRPr="009577DE">
              <w:rPr>
                <w:rFonts w:eastAsia="MS Mincho"/>
                <w:sz w:val="16"/>
                <w:szCs w:val="16"/>
                <w:lang w:val="es-ES_tradnl" w:eastAsia="ja-JP" w:bidi="th-TH"/>
              </w:rPr>
              <w:t>5.558</w:t>
            </w:r>
          </w:p>
        </w:tc>
        <w:tc>
          <w:tcPr>
            <w:tcW w:w="1701" w:type="dxa"/>
            <w:shd w:val="clear" w:color="auto" w:fill="auto"/>
            <w:vAlign w:val="center"/>
          </w:tcPr>
          <w:p w:rsidR="00B070BF" w:rsidRPr="009577DE" w:rsidRDefault="00B070BF" w:rsidP="00C33D4A">
            <w:pPr>
              <w:widowControl w:val="0"/>
              <w:autoSpaceDE w:val="0"/>
              <w:autoSpaceDN w:val="0"/>
              <w:adjustRightInd w:val="0"/>
              <w:spacing w:after="220"/>
              <w:jc w:val="center"/>
              <w:rPr>
                <w:rFonts w:eastAsia="MS Mincho"/>
                <w:sz w:val="16"/>
                <w:szCs w:val="16"/>
                <w:lang w:val="es-ES_tradnl" w:eastAsia="ja-JP" w:bidi="th-TH"/>
              </w:rPr>
            </w:pPr>
            <w:r w:rsidRPr="009577DE">
              <w:rPr>
                <w:rFonts w:eastAsia="MS Mincho"/>
                <w:sz w:val="16"/>
                <w:szCs w:val="16"/>
                <w:lang w:val="es-ES_tradnl" w:eastAsia="ja-JP" w:bidi="th-TH"/>
              </w:rPr>
              <w:t>–</w:t>
            </w:r>
          </w:p>
        </w:tc>
        <w:tc>
          <w:tcPr>
            <w:tcW w:w="1984" w:type="dxa"/>
            <w:shd w:val="clear" w:color="auto" w:fill="auto"/>
            <w:vAlign w:val="center"/>
          </w:tcPr>
          <w:p w:rsidR="00B070BF" w:rsidRPr="009577DE" w:rsidRDefault="00B070BF" w:rsidP="00C33D4A">
            <w:pPr>
              <w:widowControl w:val="0"/>
              <w:autoSpaceDE w:val="0"/>
              <w:autoSpaceDN w:val="0"/>
              <w:adjustRightInd w:val="0"/>
              <w:spacing w:after="220"/>
              <w:jc w:val="center"/>
              <w:rPr>
                <w:rFonts w:eastAsia="MS Mincho"/>
                <w:sz w:val="16"/>
                <w:szCs w:val="16"/>
                <w:lang w:val="es-ES_tradnl" w:eastAsia="ja-JP" w:bidi="th-TH"/>
              </w:rPr>
            </w:pPr>
            <w:r w:rsidRPr="009577DE">
              <w:rPr>
                <w:rFonts w:eastAsia="MS Mincho"/>
                <w:sz w:val="16"/>
                <w:szCs w:val="16"/>
                <w:lang w:val="es-ES_tradnl" w:eastAsia="ja-JP" w:bidi="th-TH"/>
              </w:rPr>
              <w:t>737.039</w:t>
            </w:r>
          </w:p>
        </w:tc>
      </w:tr>
    </w:tbl>
    <w:p w:rsidR="00B070BF" w:rsidRPr="009577DE" w:rsidRDefault="00B070BF" w:rsidP="00B070BF">
      <w:pPr>
        <w:widowControl w:val="0"/>
        <w:spacing w:before="120"/>
        <w:rPr>
          <w:szCs w:val="22"/>
          <w:lang w:val="es-ES_tradnl"/>
        </w:rPr>
      </w:pPr>
      <w:r w:rsidRPr="009577DE">
        <w:rPr>
          <w:i/>
          <w:iCs/>
          <w:sz w:val="16"/>
          <w:szCs w:val="16"/>
          <w:vertAlign w:val="superscript"/>
          <w:lang w:val="es-ES_tradnl"/>
        </w:rPr>
        <w:t xml:space="preserve">1 </w:t>
      </w:r>
      <w:r w:rsidRPr="009577DE">
        <w:rPr>
          <w:i/>
          <w:iCs/>
          <w:sz w:val="16"/>
          <w:szCs w:val="16"/>
          <w:lang w:val="es-ES_tradnl"/>
        </w:rPr>
        <w:t>Estados financieros de la OMPI de 2012 (Anexo III)</w:t>
      </w:r>
    </w:p>
    <w:p w:rsidR="00B070BF" w:rsidRPr="009577DE" w:rsidRDefault="00B070BF" w:rsidP="00B070BF">
      <w:pPr>
        <w:widowControl w:val="0"/>
        <w:rPr>
          <w:lang w:val="es-ES_tradnl"/>
        </w:rPr>
      </w:pPr>
    </w:p>
    <w:p w:rsidR="00B070BF" w:rsidRPr="009577DE" w:rsidRDefault="00B070BF" w:rsidP="00B070BF">
      <w:pPr>
        <w:widowControl w:val="0"/>
        <w:rPr>
          <w:b/>
          <w:sz w:val="18"/>
          <w:szCs w:val="18"/>
          <w:lang w:val="es-ES_tradnl"/>
        </w:rPr>
      </w:pPr>
    </w:p>
    <w:p w:rsidR="00B070BF" w:rsidRPr="009577DE" w:rsidRDefault="00B070BF" w:rsidP="00B070BF">
      <w:pPr>
        <w:widowControl w:val="0"/>
        <w:rPr>
          <w:b/>
          <w:sz w:val="20"/>
          <w:lang w:val="es-ES_tradnl"/>
        </w:rPr>
      </w:pPr>
      <w:r w:rsidRPr="009577DE">
        <w:rPr>
          <w:b/>
          <w:sz w:val="20"/>
          <w:lang w:val="es-ES_tradnl"/>
        </w:rPr>
        <w:t>JAPÓN – DERECHO DE AUTOR</w:t>
      </w:r>
    </w:p>
    <w:p w:rsidR="00B070BF" w:rsidRPr="009577DE" w:rsidRDefault="00B070BF" w:rsidP="00B070BF">
      <w:pPr>
        <w:widowControl w:val="0"/>
        <w:rPr>
          <w:b/>
          <w:sz w:val="20"/>
          <w:lang w:val="es-ES_tradnl"/>
        </w:rPr>
      </w:pPr>
    </w:p>
    <w:tbl>
      <w:tblPr>
        <w:tblW w:w="9072" w:type="dxa"/>
        <w:tblInd w:w="108"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1985"/>
        <w:gridCol w:w="1134"/>
        <w:gridCol w:w="1702"/>
        <w:gridCol w:w="19"/>
        <w:gridCol w:w="972"/>
        <w:gridCol w:w="3260"/>
      </w:tblGrid>
      <w:tr w:rsidR="00B070BF" w:rsidRPr="009577DE" w:rsidTr="00C33D4A">
        <w:tc>
          <w:tcPr>
            <w:tcW w:w="9072" w:type="dxa"/>
            <w:gridSpan w:val="6"/>
            <w:tcBorders>
              <w:top w:val="single" w:sz="4" w:space="0" w:color="000000"/>
              <w:bottom w:val="single" w:sz="4" w:space="0" w:color="000000"/>
            </w:tcBorders>
            <w:shd w:val="clear" w:color="auto" w:fill="CCFFFF"/>
            <w:vAlign w:val="center"/>
          </w:tcPr>
          <w:p w:rsidR="00B070BF" w:rsidRPr="009577DE" w:rsidRDefault="00B070BF" w:rsidP="00C33D4A">
            <w:pPr>
              <w:widowControl w:val="0"/>
              <w:tabs>
                <w:tab w:val="left" w:pos="1740"/>
              </w:tabs>
              <w:spacing w:before="120" w:after="120"/>
              <w:ind w:left="1740" w:hanging="1740"/>
              <w:rPr>
                <w:b/>
                <w:bCs/>
                <w:sz w:val="16"/>
                <w:szCs w:val="16"/>
                <w:lang w:val="es-ES_tradnl"/>
              </w:rPr>
            </w:pPr>
            <w:r w:rsidRPr="009577DE">
              <w:rPr>
                <w:rFonts w:eastAsia="MS Mincho"/>
                <w:b/>
                <w:bCs/>
                <w:sz w:val="16"/>
                <w:szCs w:val="16"/>
                <w:lang w:val="es-ES_tradnl" w:eastAsia="ja-JP" w:bidi="th-TH"/>
              </w:rPr>
              <w:t>RESULTADO:</w:t>
            </w:r>
            <w:r w:rsidRPr="009577DE">
              <w:rPr>
                <w:rFonts w:eastAsia="MS Mincho"/>
                <w:b/>
                <w:bCs/>
                <w:sz w:val="16"/>
                <w:szCs w:val="16"/>
                <w:lang w:val="es-ES_tradnl" w:eastAsia="ja-JP" w:bidi="th-TH"/>
              </w:rPr>
              <w:tab/>
            </w:r>
            <w:r w:rsidRPr="009577DE">
              <w:rPr>
                <w:rFonts w:eastAsia="MS Mincho"/>
                <w:bCs/>
                <w:sz w:val="16"/>
                <w:szCs w:val="16"/>
                <w:lang w:val="es-ES_tradnl" w:eastAsia="ja-JP" w:bidi="th-TH"/>
              </w:rPr>
              <w:t>Mayor sensibilización y capacidad de los Estados miembros en materia de derecho de autor y derechos conexos.</w:t>
            </w:r>
          </w:p>
        </w:tc>
      </w:tr>
      <w:tr w:rsidR="00B070BF" w:rsidRPr="009577DE" w:rsidTr="00C33D4A">
        <w:tc>
          <w:tcPr>
            <w:tcW w:w="1985" w:type="dxa"/>
            <w:tcBorders>
              <w:top w:val="single" w:sz="4" w:space="0" w:color="000000"/>
            </w:tcBorders>
            <w:vAlign w:val="center"/>
          </w:tcPr>
          <w:p w:rsidR="00B070BF" w:rsidRPr="009577DE" w:rsidRDefault="00B070BF" w:rsidP="00C33D4A">
            <w:pPr>
              <w:widowControl w:val="0"/>
              <w:rPr>
                <w:b/>
                <w:bCs/>
                <w:sz w:val="16"/>
                <w:szCs w:val="16"/>
                <w:lang w:val="es-ES_tradnl"/>
              </w:rPr>
            </w:pPr>
            <w:r w:rsidRPr="009577DE">
              <w:rPr>
                <w:b/>
                <w:bCs/>
                <w:sz w:val="16"/>
                <w:szCs w:val="16"/>
                <w:lang w:val="es-ES_tradnl"/>
              </w:rPr>
              <w:t>Actividad</w:t>
            </w:r>
          </w:p>
        </w:tc>
        <w:tc>
          <w:tcPr>
            <w:tcW w:w="1134" w:type="dxa"/>
            <w:tcBorders>
              <w:top w:val="single" w:sz="4" w:space="0" w:color="000000"/>
            </w:tcBorders>
            <w:shd w:val="clear" w:color="auto" w:fill="auto"/>
            <w:tcMar>
              <w:top w:w="110" w:type="dxa"/>
            </w:tcMar>
            <w:vAlign w:val="center"/>
          </w:tcPr>
          <w:p w:rsidR="00B070BF" w:rsidRPr="009577DE" w:rsidRDefault="00B070BF" w:rsidP="00C33D4A">
            <w:pPr>
              <w:widowControl w:val="0"/>
              <w:rPr>
                <w:sz w:val="16"/>
                <w:szCs w:val="16"/>
                <w:lang w:val="es-ES_tradnl"/>
              </w:rPr>
            </w:pPr>
            <w:r w:rsidRPr="009577DE">
              <w:rPr>
                <w:b/>
                <w:bCs/>
                <w:sz w:val="16"/>
                <w:szCs w:val="16"/>
                <w:lang w:val="es-ES_tradnl"/>
              </w:rPr>
              <w:t>Fecha</w:t>
            </w:r>
          </w:p>
        </w:tc>
        <w:tc>
          <w:tcPr>
            <w:tcW w:w="2693" w:type="dxa"/>
            <w:gridSpan w:val="3"/>
            <w:tcBorders>
              <w:top w:val="single" w:sz="4" w:space="0" w:color="000000"/>
            </w:tcBorders>
            <w:shd w:val="clear" w:color="auto" w:fill="auto"/>
            <w:tcMar>
              <w:top w:w="110" w:type="dxa"/>
            </w:tcMar>
            <w:vAlign w:val="center"/>
          </w:tcPr>
          <w:p w:rsidR="00B070BF" w:rsidRPr="009577DE" w:rsidRDefault="00B070BF" w:rsidP="00C33D4A">
            <w:pPr>
              <w:widowControl w:val="0"/>
              <w:rPr>
                <w:sz w:val="16"/>
                <w:szCs w:val="16"/>
                <w:lang w:val="es-ES_tradnl"/>
              </w:rPr>
            </w:pPr>
            <w:r w:rsidRPr="009577DE">
              <w:rPr>
                <w:b/>
                <w:bCs/>
                <w:sz w:val="16"/>
                <w:szCs w:val="16"/>
                <w:lang w:val="es-ES_tradnl"/>
              </w:rPr>
              <w:t>País anfitrión/Beneficiarios</w:t>
            </w:r>
          </w:p>
        </w:tc>
        <w:tc>
          <w:tcPr>
            <w:tcW w:w="3260" w:type="dxa"/>
            <w:tcBorders>
              <w:top w:val="single" w:sz="4" w:space="0" w:color="000000"/>
            </w:tcBorders>
            <w:shd w:val="clear" w:color="auto" w:fill="FFFFFF"/>
            <w:tcMar>
              <w:top w:w="110" w:type="dxa"/>
            </w:tcMar>
            <w:vAlign w:val="center"/>
          </w:tcPr>
          <w:p w:rsidR="00B070BF" w:rsidRPr="009577DE" w:rsidRDefault="00B070BF" w:rsidP="00C33D4A">
            <w:pPr>
              <w:widowControl w:val="0"/>
              <w:rPr>
                <w:sz w:val="16"/>
                <w:szCs w:val="16"/>
                <w:lang w:val="es-ES_tradnl"/>
              </w:rPr>
            </w:pPr>
            <w:r w:rsidRPr="009577DE">
              <w:rPr>
                <w:b/>
                <w:bCs/>
                <w:sz w:val="16"/>
                <w:szCs w:val="16"/>
                <w:lang w:val="es-ES_tradnl"/>
              </w:rPr>
              <w:t>Propósito/Descripción</w:t>
            </w:r>
          </w:p>
        </w:tc>
      </w:tr>
      <w:tr w:rsidR="00B070BF" w:rsidRPr="009577DE" w:rsidTr="00C33D4A">
        <w:trPr>
          <w:trHeight w:val="487"/>
        </w:trPr>
        <w:tc>
          <w:tcPr>
            <w:tcW w:w="1985" w:type="dxa"/>
          </w:tcPr>
          <w:p w:rsidR="00B070BF" w:rsidRPr="009577DE" w:rsidRDefault="00B070BF" w:rsidP="00C33D4A">
            <w:pPr>
              <w:widowControl w:val="0"/>
              <w:spacing w:before="120"/>
              <w:rPr>
                <w:sz w:val="16"/>
                <w:szCs w:val="16"/>
                <w:lang w:val="es-ES_tradnl"/>
              </w:rPr>
            </w:pPr>
            <w:r w:rsidRPr="009577DE">
              <w:rPr>
                <w:sz w:val="16"/>
                <w:szCs w:val="16"/>
                <w:lang w:val="es-ES_tradnl"/>
              </w:rPr>
              <w:t>Curso especial sobre observancia del derecho de autor y los derechos conexos (pospuesto desde 2011).</w:t>
            </w:r>
          </w:p>
        </w:tc>
        <w:tc>
          <w:tcPr>
            <w:tcW w:w="1134" w:type="dxa"/>
          </w:tcPr>
          <w:p w:rsidR="00B070BF" w:rsidRPr="009577DE" w:rsidRDefault="00B070BF" w:rsidP="00C33D4A">
            <w:pPr>
              <w:widowControl w:val="0"/>
              <w:spacing w:before="120"/>
              <w:rPr>
                <w:sz w:val="16"/>
                <w:szCs w:val="16"/>
                <w:lang w:val="es-ES_tradnl"/>
              </w:rPr>
            </w:pPr>
            <w:r w:rsidRPr="009577DE">
              <w:rPr>
                <w:sz w:val="16"/>
                <w:szCs w:val="16"/>
                <w:lang w:val="es-ES_tradnl"/>
              </w:rPr>
              <w:t>6 a 17 de febrero de 2012</w:t>
            </w:r>
          </w:p>
        </w:tc>
        <w:tc>
          <w:tcPr>
            <w:tcW w:w="1721" w:type="dxa"/>
            <w:gridSpan w:val="2"/>
          </w:tcPr>
          <w:p w:rsidR="00B070BF" w:rsidRPr="009577DE" w:rsidRDefault="00B070BF" w:rsidP="00C33D4A">
            <w:pPr>
              <w:widowControl w:val="0"/>
              <w:spacing w:before="120"/>
              <w:rPr>
                <w:sz w:val="16"/>
                <w:szCs w:val="16"/>
                <w:lang w:val="es-ES_tradnl"/>
              </w:rPr>
            </w:pPr>
            <w:r w:rsidRPr="009577DE">
              <w:rPr>
                <w:sz w:val="16"/>
                <w:szCs w:val="16"/>
                <w:lang w:val="es-ES_tradnl"/>
              </w:rPr>
              <w:t>Japón</w:t>
            </w:r>
          </w:p>
          <w:p w:rsidR="00B070BF" w:rsidRPr="009577DE" w:rsidRDefault="00B070BF" w:rsidP="00C33D4A">
            <w:pPr>
              <w:widowControl w:val="0"/>
              <w:spacing w:before="120"/>
              <w:rPr>
                <w:sz w:val="16"/>
                <w:szCs w:val="16"/>
                <w:lang w:val="es-ES_tradnl"/>
              </w:rPr>
            </w:pPr>
            <w:r w:rsidRPr="009577DE">
              <w:rPr>
                <w:sz w:val="16"/>
                <w:szCs w:val="16"/>
                <w:lang w:val="es-ES_tradnl"/>
              </w:rPr>
              <w:t>8 participantes de 4 países (China, Indonesia, Sri Lanka y Tailandia)</w:t>
            </w:r>
          </w:p>
        </w:tc>
        <w:tc>
          <w:tcPr>
            <w:tcW w:w="4232" w:type="dxa"/>
            <w:gridSpan w:val="2"/>
          </w:tcPr>
          <w:p w:rsidR="00B070BF" w:rsidRPr="009577DE" w:rsidRDefault="00B070BF" w:rsidP="00C33D4A">
            <w:pPr>
              <w:widowControl w:val="0"/>
              <w:spacing w:before="120"/>
              <w:ind w:left="1006"/>
              <w:rPr>
                <w:sz w:val="16"/>
                <w:szCs w:val="16"/>
                <w:lang w:val="es-ES_tradnl"/>
              </w:rPr>
            </w:pPr>
            <w:r w:rsidRPr="009577DE">
              <w:rPr>
                <w:sz w:val="16"/>
                <w:szCs w:val="16"/>
                <w:lang w:val="es-ES_tradnl"/>
              </w:rPr>
              <w:t xml:space="preserve">Examinar la importancia de la observancia del derecho de autor y los </w:t>
            </w:r>
            <w:r w:rsidRPr="009577DE">
              <w:rPr>
                <w:snapToGrid w:val="0"/>
                <w:sz w:val="16"/>
                <w:szCs w:val="16"/>
                <w:lang w:val="es-ES_tradnl"/>
              </w:rPr>
              <w:t>derechos conexos</w:t>
            </w:r>
            <w:r w:rsidRPr="009577DE">
              <w:rPr>
                <w:sz w:val="16"/>
                <w:szCs w:val="16"/>
                <w:lang w:val="es-ES_tradnl"/>
              </w:rPr>
              <w:t xml:space="preserve"> y mejorar los sistemas de observancia.</w:t>
            </w:r>
          </w:p>
        </w:tc>
      </w:tr>
      <w:tr w:rsidR="00B070BF" w:rsidRPr="009577DE" w:rsidTr="00C33D4A">
        <w:trPr>
          <w:trHeight w:val="534"/>
        </w:trPr>
        <w:tc>
          <w:tcPr>
            <w:tcW w:w="1985" w:type="dxa"/>
          </w:tcPr>
          <w:p w:rsidR="00B070BF" w:rsidRPr="009577DE" w:rsidRDefault="00B070BF" w:rsidP="00C33D4A">
            <w:pPr>
              <w:widowControl w:val="0"/>
              <w:spacing w:before="120"/>
              <w:rPr>
                <w:sz w:val="16"/>
                <w:szCs w:val="16"/>
                <w:lang w:val="es-ES_tradnl"/>
              </w:rPr>
            </w:pPr>
            <w:r w:rsidRPr="009577DE">
              <w:rPr>
                <w:sz w:val="16"/>
                <w:szCs w:val="16"/>
                <w:lang w:val="es-ES_tradnl"/>
              </w:rPr>
              <w:t xml:space="preserve">Simposio regional Asia/Pacífico sobre el fortalecimiento de las capacidades en el ámbito del derecho de autor y los </w:t>
            </w:r>
            <w:r w:rsidRPr="009577DE">
              <w:rPr>
                <w:snapToGrid w:val="0"/>
                <w:sz w:val="16"/>
                <w:szCs w:val="16"/>
                <w:lang w:val="es-ES_tradnl"/>
              </w:rPr>
              <w:t>derechos conexos.</w:t>
            </w:r>
            <w:r w:rsidRPr="009577DE">
              <w:rPr>
                <w:sz w:val="16"/>
                <w:szCs w:val="16"/>
                <w:lang w:val="es-ES_tradnl"/>
              </w:rPr>
              <w:t xml:space="preserve"> </w:t>
            </w:r>
          </w:p>
        </w:tc>
        <w:tc>
          <w:tcPr>
            <w:tcW w:w="1134" w:type="dxa"/>
          </w:tcPr>
          <w:p w:rsidR="00B070BF" w:rsidRPr="009577DE" w:rsidRDefault="00B070BF" w:rsidP="00C33D4A">
            <w:pPr>
              <w:widowControl w:val="0"/>
              <w:spacing w:before="120"/>
              <w:rPr>
                <w:sz w:val="16"/>
                <w:szCs w:val="16"/>
                <w:lang w:val="es-ES_tradnl"/>
              </w:rPr>
            </w:pPr>
            <w:r w:rsidRPr="009577DE">
              <w:rPr>
                <w:sz w:val="16"/>
                <w:szCs w:val="16"/>
                <w:lang w:val="es-ES_tradnl"/>
              </w:rPr>
              <w:t>24 y 25 de abril de 2012</w:t>
            </w:r>
          </w:p>
        </w:tc>
        <w:tc>
          <w:tcPr>
            <w:tcW w:w="1702" w:type="dxa"/>
          </w:tcPr>
          <w:p w:rsidR="00B070BF" w:rsidRPr="009577DE" w:rsidRDefault="00B070BF" w:rsidP="00C33D4A">
            <w:pPr>
              <w:widowControl w:val="0"/>
              <w:spacing w:before="120"/>
              <w:rPr>
                <w:sz w:val="16"/>
                <w:szCs w:val="16"/>
                <w:lang w:val="es-ES_tradnl"/>
              </w:rPr>
            </w:pPr>
            <w:r w:rsidRPr="009577DE">
              <w:rPr>
                <w:sz w:val="16"/>
                <w:szCs w:val="16"/>
                <w:lang w:val="es-ES_tradnl"/>
              </w:rPr>
              <w:t>Filipinas</w:t>
            </w:r>
          </w:p>
          <w:p w:rsidR="00B070BF" w:rsidRPr="009577DE" w:rsidRDefault="00B070BF" w:rsidP="00C33D4A">
            <w:pPr>
              <w:widowControl w:val="0"/>
              <w:autoSpaceDE w:val="0"/>
              <w:autoSpaceDN w:val="0"/>
              <w:adjustRightInd w:val="0"/>
              <w:spacing w:before="120" w:after="120"/>
              <w:rPr>
                <w:sz w:val="16"/>
                <w:szCs w:val="16"/>
                <w:lang w:val="es-ES_tradnl"/>
              </w:rPr>
            </w:pPr>
            <w:r w:rsidRPr="009577DE">
              <w:rPr>
                <w:sz w:val="16"/>
                <w:szCs w:val="16"/>
                <w:lang w:val="es-ES_tradnl"/>
              </w:rPr>
              <w:t>25 participantes extranjeros de 18 países de Asia y el Pacífico</w:t>
            </w:r>
          </w:p>
        </w:tc>
        <w:tc>
          <w:tcPr>
            <w:tcW w:w="4251" w:type="dxa"/>
            <w:gridSpan w:val="3"/>
          </w:tcPr>
          <w:p w:rsidR="00B070BF" w:rsidRPr="009577DE" w:rsidRDefault="00B070BF" w:rsidP="00C33D4A">
            <w:pPr>
              <w:widowControl w:val="0"/>
              <w:spacing w:before="120"/>
              <w:ind w:left="1006"/>
              <w:rPr>
                <w:sz w:val="16"/>
                <w:szCs w:val="16"/>
                <w:lang w:val="es-ES_tradnl"/>
              </w:rPr>
            </w:pPr>
            <w:r w:rsidRPr="009577DE">
              <w:rPr>
                <w:sz w:val="16"/>
                <w:szCs w:val="16"/>
                <w:lang w:val="es-ES_tradnl"/>
              </w:rPr>
              <w:t xml:space="preserve">Establecer un foro de información sobre la evolución reciente del sistema de derecho de autor, reconocer cuestiones y desafíos y examinar la formulación de políticas y estrategias destinadas a mejorar el fortalecimiento de las capacidades en el ámbito del derecho de autor y los </w:t>
            </w:r>
            <w:r w:rsidRPr="009577DE">
              <w:rPr>
                <w:snapToGrid w:val="0"/>
                <w:sz w:val="16"/>
                <w:szCs w:val="16"/>
                <w:lang w:val="es-ES_tradnl"/>
              </w:rPr>
              <w:t>derechos conexos</w:t>
            </w:r>
            <w:r w:rsidRPr="009577DE">
              <w:rPr>
                <w:sz w:val="16"/>
                <w:szCs w:val="16"/>
                <w:lang w:val="es-ES_tradnl"/>
              </w:rPr>
              <w:t>.</w:t>
            </w:r>
          </w:p>
        </w:tc>
      </w:tr>
      <w:tr w:rsidR="00B070BF" w:rsidRPr="009577DE" w:rsidTr="00C33D4A">
        <w:trPr>
          <w:trHeight w:val="543"/>
        </w:trPr>
        <w:tc>
          <w:tcPr>
            <w:tcW w:w="1985" w:type="dxa"/>
          </w:tcPr>
          <w:p w:rsidR="00B070BF" w:rsidRPr="009577DE" w:rsidRDefault="00B070BF" w:rsidP="00C33D4A">
            <w:pPr>
              <w:widowControl w:val="0"/>
              <w:spacing w:before="120"/>
              <w:rPr>
                <w:sz w:val="16"/>
                <w:szCs w:val="16"/>
                <w:lang w:val="es-ES_tradnl"/>
              </w:rPr>
            </w:pPr>
            <w:r w:rsidRPr="009577DE">
              <w:rPr>
                <w:sz w:val="16"/>
                <w:szCs w:val="16"/>
                <w:lang w:val="es-ES_tradnl"/>
              </w:rPr>
              <w:t>Seminario OMPI – Secretaría de la comunidad del Pacífico (SPC) sobre sensibilización en materia de derecho de autor y cultura.</w:t>
            </w:r>
          </w:p>
        </w:tc>
        <w:tc>
          <w:tcPr>
            <w:tcW w:w="1134" w:type="dxa"/>
          </w:tcPr>
          <w:p w:rsidR="00B070BF" w:rsidRPr="009577DE" w:rsidRDefault="00B070BF" w:rsidP="00C33D4A">
            <w:pPr>
              <w:widowControl w:val="0"/>
              <w:spacing w:before="120"/>
              <w:rPr>
                <w:sz w:val="16"/>
                <w:szCs w:val="16"/>
                <w:lang w:val="es-ES_tradnl"/>
              </w:rPr>
            </w:pPr>
            <w:r w:rsidRPr="009577DE">
              <w:rPr>
                <w:sz w:val="16"/>
                <w:szCs w:val="16"/>
                <w:lang w:val="es-ES_tradnl"/>
              </w:rPr>
              <w:t>9 a 11 de julio de 2012</w:t>
            </w:r>
          </w:p>
        </w:tc>
        <w:tc>
          <w:tcPr>
            <w:tcW w:w="1702" w:type="dxa"/>
          </w:tcPr>
          <w:p w:rsidR="00B070BF" w:rsidRPr="009577DE" w:rsidRDefault="00B070BF" w:rsidP="00C33D4A">
            <w:pPr>
              <w:widowControl w:val="0"/>
              <w:spacing w:before="120"/>
              <w:rPr>
                <w:sz w:val="16"/>
                <w:szCs w:val="16"/>
                <w:lang w:val="es-ES_tradnl"/>
              </w:rPr>
            </w:pPr>
            <w:r w:rsidRPr="009577DE">
              <w:rPr>
                <w:sz w:val="16"/>
                <w:szCs w:val="16"/>
                <w:lang w:val="es-ES_tradnl"/>
              </w:rPr>
              <w:t>Islas Salomón</w:t>
            </w:r>
          </w:p>
          <w:p w:rsidR="00B070BF" w:rsidRPr="009577DE" w:rsidRDefault="00B070BF" w:rsidP="00C33D4A">
            <w:pPr>
              <w:widowControl w:val="0"/>
              <w:spacing w:before="120"/>
              <w:rPr>
                <w:sz w:val="16"/>
                <w:szCs w:val="16"/>
                <w:lang w:val="es-ES_tradnl"/>
              </w:rPr>
            </w:pPr>
            <w:r w:rsidRPr="009577DE">
              <w:rPr>
                <w:sz w:val="16"/>
                <w:szCs w:val="16"/>
                <w:lang w:val="es-ES_tradnl"/>
              </w:rPr>
              <w:t>50 participantes</w:t>
            </w:r>
          </w:p>
          <w:p w:rsidR="00B070BF" w:rsidRPr="009577DE" w:rsidRDefault="00B070BF" w:rsidP="00C33D4A">
            <w:pPr>
              <w:widowControl w:val="0"/>
              <w:spacing w:before="120"/>
              <w:rPr>
                <w:sz w:val="16"/>
                <w:szCs w:val="16"/>
                <w:lang w:val="es-ES_tradnl"/>
              </w:rPr>
            </w:pPr>
          </w:p>
        </w:tc>
        <w:tc>
          <w:tcPr>
            <w:tcW w:w="4251" w:type="dxa"/>
            <w:gridSpan w:val="3"/>
          </w:tcPr>
          <w:p w:rsidR="00B070BF" w:rsidRPr="009577DE" w:rsidRDefault="00B070BF" w:rsidP="00C33D4A">
            <w:pPr>
              <w:widowControl w:val="0"/>
              <w:spacing w:before="120"/>
              <w:ind w:left="1006"/>
              <w:rPr>
                <w:sz w:val="16"/>
                <w:szCs w:val="16"/>
                <w:lang w:val="es-ES_tradnl"/>
              </w:rPr>
            </w:pPr>
            <w:r w:rsidRPr="009577DE">
              <w:rPr>
                <w:sz w:val="16"/>
                <w:szCs w:val="16"/>
                <w:lang w:val="es-ES_tradnl"/>
              </w:rPr>
              <w:t>Fomentar la sensibilización acerca del vínculo entre el derecho de autor y la cultura y examinar la instauración de un sistema de derecho de autor.</w:t>
            </w:r>
          </w:p>
        </w:tc>
      </w:tr>
      <w:tr w:rsidR="00B070BF" w:rsidRPr="009577DE" w:rsidTr="00C33D4A">
        <w:trPr>
          <w:trHeight w:val="543"/>
        </w:trPr>
        <w:tc>
          <w:tcPr>
            <w:tcW w:w="1985" w:type="dxa"/>
          </w:tcPr>
          <w:p w:rsidR="00B070BF" w:rsidRPr="009577DE" w:rsidRDefault="00B070BF" w:rsidP="00C33D4A">
            <w:pPr>
              <w:widowControl w:val="0"/>
              <w:spacing w:before="120"/>
              <w:rPr>
                <w:sz w:val="16"/>
                <w:szCs w:val="16"/>
                <w:lang w:val="es-ES_tradnl"/>
              </w:rPr>
            </w:pPr>
            <w:r w:rsidRPr="009577DE">
              <w:rPr>
                <w:sz w:val="16"/>
                <w:szCs w:val="16"/>
                <w:lang w:val="es-ES_tradnl"/>
              </w:rPr>
              <w:t>Simposio regional Asia/Pacífico sobre la elaboración de estrategias y políticas nacionales en materia de derecho de autor.</w:t>
            </w:r>
          </w:p>
        </w:tc>
        <w:tc>
          <w:tcPr>
            <w:tcW w:w="1134" w:type="dxa"/>
          </w:tcPr>
          <w:p w:rsidR="00B070BF" w:rsidRPr="009577DE" w:rsidRDefault="00B070BF" w:rsidP="00C33D4A">
            <w:pPr>
              <w:widowControl w:val="0"/>
              <w:spacing w:before="120"/>
              <w:rPr>
                <w:sz w:val="16"/>
                <w:szCs w:val="16"/>
                <w:lang w:val="es-ES_tradnl"/>
              </w:rPr>
            </w:pPr>
            <w:r w:rsidRPr="009577DE">
              <w:rPr>
                <w:sz w:val="16"/>
                <w:szCs w:val="16"/>
                <w:lang w:val="es-ES_tradnl"/>
              </w:rPr>
              <w:t>10 a 12 de septiembre de 2012</w:t>
            </w:r>
          </w:p>
        </w:tc>
        <w:tc>
          <w:tcPr>
            <w:tcW w:w="1702" w:type="dxa"/>
          </w:tcPr>
          <w:p w:rsidR="00B070BF" w:rsidRPr="009577DE" w:rsidRDefault="00B070BF" w:rsidP="00C33D4A">
            <w:pPr>
              <w:widowControl w:val="0"/>
              <w:spacing w:before="120"/>
              <w:rPr>
                <w:sz w:val="16"/>
                <w:szCs w:val="16"/>
                <w:lang w:val="es-ES_tradnl"/>
              </w:rPr>
            </w:pPr>
            <w:proofErr w:type="spellStart"/>
            <w:r w:rsidRPr="009577DE">
              <w:rPr>
                <w:sz w:val="16"/>
                <w:szCs w:val="16"/>
                <w:lang w:val="es-ES_tradnl"/>
              </w:rPr>
              <w:t>Viet</w:t>
            </w:r>
            <w:proofErr w:type="spellEnd"/>
            <w:r w:rsidRPr="009577DE">
              <w:rPr>
                <w:sz w:val="16"/>
                <w:szCs w:val="16"/>
                <w:lang w:val="es-ES_tradnl"/>
              </w:rPr>
              <w:t xml:space="preserve"> </w:t>
            </w:r>
            <w:proofErr w:type="spellStart"/>
            <w:r w:rsidRPr="009577DE">
              <w:rPr>
                <w:sz w:val="16"/>
                <w:szCs w:val="16"/>
                <w:lang w:val="es-ES_tradnl"/>
              </w:rPr>
              <w:t>Nam</w:t>
            </w:r>
            <w:proofErr w:type="spellEnd"/>
          </w:p>
          <w:p w:rsidR="00B070BF" w:rsidRPr="009577DE" w:rsidRDefault="00B070BF" w:rsidP="00C33D4A">
            <w:pPr>
              <w:widowControl w:val="0"/>
              <w:autoSpaceDE w:val="0"/>
              <w:autoSpaceDN w:val="0"/>
              <w:adjustRightInd w:val="0"/>
              <w:spacing w:before="120" w:after="120"/>
              <w:rPr>
                <w:sz w:val="16"/>
                <w:szCs w:val="16"/>
                <w:lang w:val="es-ES_tradnl"/>
              </w:rPr>
            </w:pPr>
            <w:r w:rsidRPr="009577DE">
              <w:rPr>
                <w:sz w:val="16"/>
                <w:szCs w:val="16"/>
                <w:lang w:val="es-ES_tradnl"/>
              </w:rPr>
              <w:t>26 participantes extranjeros de 21 países de Asia y el Pacífico</w:t>
            </w:r>
          </w:p>
          <w:p w:rsidR="00B070BF" w:rsidRPr="009577DE" w:rsidRDefault="00B070BF" w:rsidP="00C33D4A">
            <w:pPr>
              <w:widowControl w:val="0"/>
              <w:spacing w:before="120"/>
              <w:rPr>
                <w:sz w:val="16"/>
                <w:szCs w:val="16"/>
                <w:lang w:val="es-ES_tradnl"/>
              </w:rPr>
            </w:pPr>
          </w:p>
        </w:tc>
        <w:tc>
          <w:tcPr>
            <w:tcW w:w="4251" w:type="dxa"/>
            <w:gridSpan w:val="3"/>
          </w:tcPr>
          <w:p w:rsidR="00B070BF" w:rsidRPr="009577DE" w:rsidRDefault="00B070BF" w:rsidP="00C33D4A">
            <w:pPr>
              <w:widowControl w:val="0"/>
              <w:spacing w:before="120"/>
              <w:ind w:left="1006"/>
              <w:rPr>
                <w:sz w:val="16"/>
                <w:szCs w:val="16"/>
                <w:lang w:val="es-ES_tradnl"/>
              </w:rPr>
            </w:pPr>
            <w:r w:rsidRPr="009577DE">
              <w:rPr>
                <w:sz w:val="16"/>
                <w:szCs w:val="16"/>
                <w:lang w:val="es-ES_tradnl"/>
              </w:rPr>
              <w:t xml:space="preserve">Establecer un foro para examinar la importancia de la elaboración de políticas y estrategias nacionales en materia de derecho de autor y fortalecer las capacidades en la esfera del derecho de autor y los </w:t>
            </w:r>
            <w:r w:rsidRPr="009577DE">
              <w:rPr>
                <w:snapToGrid w:val="0"/>
                <w:sz w:val="16"/>
                <w:szCs w:val="16"/>
                <w:lang w:val="es-ES_tradnl"/>
              </w:rPr>
              <w:t>derechos conexos</w:t>
            </w:r>
            <w:r w:rsidRPr="009577DE">
              <w:rPr>
                <w:sz w:val="16"/>
                <w:szCs w:val="16"/>
                <w:lang w:val="es-ES_tradnl"/>
              </w:rPr>
              <w:t>.</w:t>
            </w:r>
          </w:p>
        </w:tc>
      </w:tr>
      <w:tr w:rsidR="00B070BF" w:rsidRPr="009577DE" w:rsidTr="00C33D4A">
        <w:trPr>
          <w:trHeight w:val="543"/>
        </w:trPr>
        <w:tc>
          <w:tcPr>
            <w:tcW w:w="1985" w:type="dxa"/>
          </w:tcPr>
          <w:p w:rsidR="00B070BF" w:rsidRPr="009577DE" w:rsidRDefault="00B070BF" w:rsidP="00C33D4A">
            <w:pPr>
              <w:widowControl w:val="0"/>
              <w:spacing w:before="120"/>
              <w:rPr>
                <w:sz w:val="16"/>
                <w:szCs w:val="16"/>
                <w:lang w:val="es-ES_tradnl"/>
              </w:rPr>
            </w:pPr>
            <w:r w:rsidRPr="009577DE">
              <w:rPr>
                <w:sz w:val="16"/>
                <w:szCs w:val="16"/>
                <w:lang w:val="es-ES_tradnl"/>
              </w:rPr>
              <w:t>Taller nacional sobre sensibilización en materia de derecho de autor y producción de literatura protegida por derecho de autor.</w:t>
            </w:r>
          </w:p>
          <w:p w:rsidR="00B070BF" w:rsidRPr="009577DE" w:rsidRDefault="00B070BF" w:rsidP="00C33D4A">
            <w:pPr>
              <w:widowControl w:val="0"/>
              <w:spacing w:before="120"/>
              <w:rPr>
                <w:sz w:val="16"/>
                <w:szCs w:val="16"/>
                <w:lang w:val="es-ES_tradnl"/>
              </w:rPr>
            </w:pPr>
          </w:p>
        </w:tc>
        <w:tc>
          <w:tcPr>
            <w:tcW w:w="1134" w:type="dxa"/>
          </w:tcPr>
          <w:p w:rsidR="00B070BF" w:rsidRPr="009577DE" w:rsidRDefault="00B070BF" w:rsidP="00C33D4A">
            <w:pPr>
              <w:widowControl w:val="0"/>
              <w:spacing w:before="120"/>
              <w:rPr>
                <w:sz w:val="16"/>
                <w:szCs w:val="16"/>
                <w:lang w:val="es-ES_tradnl"/>
              </w:rPr>
            </w:pPr>
            <w:r w:rsidRPr="009577DE">
              <w:rPr>
                <w:sz w:val="16"/>
                <w:szCs w:val="16"/>
                <w:lang w:val="es-ES_tradnl"/>
              </w:rPr>
              <w:t>13 de septiembre de 2012</w:t>
            </w:r>
          </w:p>
        </w:tc>
        <w:tc>
          <w:tcPr>
            <w:tcW w:w="1702" w:type="dxa"/>
          </w:tcPr>
          <w:p w:rsidR="00B070BF" w:rsidRPr="009577DE" w:rsidRDefault="00B070BF" w:rsidP="00C33D4A">
            <w:pPr>
              <w:widowControl w:val="0"/>
              <w:spacing w:before="120"/>
              <w:rPr>
                <w:sz w:val="16"/>
                <w:szCs w:val="16"/>
                <w:lang w:val="es-ES_tradnl"/>
              </w:rPr>
            </w:pPr>
            <w:proofErr w:type="spellStart"/>
            <w:r w:rsidRPr="009577DE">
              <w:rPr>
                <w:sz w:val="16"/>
                <w:szCs w:val="16"/>
                <w:lang w:val="es-ES_tradnl"/>
              </w:rPr>
              <w:t>Viet</w:t>
            </w:r>
            <w:proofErr w:type="spellEnd"/>
            <w:r w:rsidRPr="009577DE">
              <w:rPr>
                <w:sz w:val="16"/>
                <w:szCs w:val="16"/>
                <w:lang w:val="es-ES_tradnl"/>
              </w:rPr>
              <w:t xml:space="preserve"> </w:t>
            </w:r>
            <w:proofErr w:type="spellStart"/>
            <w:r w:rsidRPr="009577DE">
              <w:rPr>
                <w:sz w:val="16"/>
                <w:szCs w:val="16"/>
                <w:lang w:val="es-ES_tradnl"/>
              </w:rPr>
              <w:t>Nam</w:t>
            </w:r>
            <w:proofErr w:type="spellEnd"/>
          </w:p>
          <w:p w:rsidR="00B070BF" w:rsidRPr="009577DE" w:rsidRDefault="00B070BF" w:rsidP="00C33D4A">
            <w:pPr>
              <w:widowControl w:val="0"/>
              <w:spacing w:before="120"/>
              <w:rPr>
                <w:sz w:val="16"/>
                <w:szCs w:val="16"/>
                <w:lang w:val="es-ES_tradnl"/>
              </w:rPr>
            </w:pPr>
            <w:r w:rsidRPr="009577DE">
              <w:rPr>
                <w:sz w:val="16"/>
                <w:szCs w:val="16"/>
                <w:lang w:val="es-ES_tradnl"/>
              </w:rPr>
              <w:t xml:space="preserve">25 participantes locales </w:t>
            </w:r>
          </w:p>
          <w:p w:rsidR="00B070BF" w:rsidRPr="009577DE" w:rsidRDefault="00B070BF" w:rsidP="00C33D4A">
            <w:pPr>
              <w:widowControl w:val="0"/>
              <w:spacing w:before="120"/>
              <w:rPr>
                <w:sz w:val="16"/>
                <w:szCs w:val="16"/>
                <w:lang w:val="es-ES_tradnl"/>
              </w:rPr>
            </w:pPr>
          </w:p>
        </w:tc>
        <w:tc>
          <w:tcPr>
            <w:tcW w:w="4251" w:type="dxa"/>
            <w:gridSpan w:val="3"/>
          </w:tcPr>
          <w:p w:rsidR="00B070BF" w:rsidRPr="009577DE" w:rsidRDefault="00B070BF" w:rsidP="00C33D4A">
            <w:pPr>
              <w:widowControl w:val="0"/>
              <w:spacing w:before="120"/>
              <w:ind w:left="1006"/>
              <w:rPr>
                <w:sz w:val="16"/>
                <w:szCs w:val="16"/>
                <w:lang w:val="es-ES_tradnl"/>
              </w:rPr>
            </w:pPr>
            <w:r w:rsidRPr="009577DE">
              <w:rPr>
                <w:sz w:val="16"/>
                <w:szCs w:val="16"/>
                <w:lang w:val="es-ES_tradnl"/>
              </w:rPr>
              <w:t xml:space="preserve">Mejorar la comprensión del derecho de autor y los </w:t>
            </w:r>
            <w:r w:rsidRPr="009577DE">
              <w:rPr>
                <w:snapToGrid w:val="0"/>
                <w:sz w:val="16"/>
                <w:szCs w:val="16"/>
                <w:lang w:val="es-ES_tradnl"/>
              </w:rPr>
              <w:t>derechos conexos</w:t>
            </w:r>
            <w:r w:rsidRPr="009577DE">
              <w:rPr>
                <w:sz w:val="16"/>
                <w:szCs w:val="16"/>
                <w:lang w:val="es-ES_tradnl"/>
              </w:rPr>
              <w:t xml:space="preserve"> en </w:t>
            </w:r>
            <w:proofErr w:type="spellStart"/>
            <w:r w:rsidRPr="009577DE">
              <w:rPr>
                <w:sz w:val="16"/>
                <w:szCs w:val="16"/>
                <w:lang w:val="es-ES_tradnl"/>
              </w:rPr>
              <w:t>Viet</w:t>
            </w:r>
            <w:proofErr w:type="spellEnd"/>
            <w:r w:rsidRPr="009577DE">
              <w:rPr>
                <w:sz w:val="16"/>
                <w:szCs w:val="16"/>
                <w:lang w:val="es-ES_tradnl"/>
              </w:rPr>
              <w:t xml:space="preserve"> </w:t>
            </w:r>
            <w:proofErr w:type="spellStart"/>
            <w:r w:rsidRPr="009577DE">
              <w:rPr>
                <w:sz w:val="16"/>
                <w:szCs w:val="16"/>
                <w:lang w:val="es-ES_tradnl"/>
              </w:rPr>
              <w:t>Nam</w:t>
            </w:r>
            <w:proofErr w:type="spellEnd"/>
            <w:r w:rsidRPr="009577DE">
              <w:rPr>
                <w:sz w:val="16"/>
                <w:szCs w:val="16"/>
                <w:lang w:val="es-ES_tradnl"/>
              </w:rPr>
              <w:t>;  producir un manual y material de lectura sobre derecho de autor en idioma local.</w:t>
            </w:r>
          </w:p>
        </w:tc>
      </w:tr>
      <w:tr w:rsidR="00B070BF" w:rsidRPr="009577DE" w:rsidTr="00C33D4A">
        <w:trPr>
          <w:trHeight w:val="543"/>
        </w:trPr>
        <w:tc>
          <w:tcPr>
            <w:tcW w:w="1985" w:type="dxa"/>
          </w:tcPr>
          <w:p w:rsidR="00B070BF" w:rsidRPr="009577DE" w:rsidRDefault="00B070BF" w:rsidP="00C33D4A">
            <w:pPr>
              <w:widowControl w:val="0"/>
              <w:spacing w:before="120"/>
              <w:rPr>
                <w:sz w:val="16"/>
                <w:szCs w:val="16"/>
                <w:lang w:val="es-ES_tradnl"/>
              </w:rPr>
            </w:pPr>
            <w:r w:rsidRPr="009577DE">
              <w:rPr>
                <w:sz w:val="16"/>
                <w:szCs w:val="16"/>
                <w:lang w:val="es-ES_tradnl"/>
              </w:rPr>
              <w:t xml:space="preserve">Seminario nacional sobre la protección y la gestión del derecho de autor y los </w:t>
            </w:r>
            <w:r w:rsidRPr="009577DE">
              <w:rPr>
                <w:snapToGrid w:val="0"/>
                <w:sz w:val="16"/>
                <w:szCs w:val="16"/>
                <w:lang w:val="es-ES_tradnl"/>
              </w:rPr>
              <w:t>derechos conexos.</w:t>
            </w:r>
          </w:p>
        </w:tc>
        <w:tc>
          <w:tcPr>
            <w:tcW w:w="1134" w:type="dxa"/>
          </w:tcPr>
          <w:p w:rsidR="00B070BF" w:rsidRPr="009577DE" w:rsidRDefault="00B070BF" w:rsidP="00C33D4A">
            <w:pPr>
              <w:widowControl w:val="0"/>
              <w:spacing w:before="120"/>
              <w:rPr>
                <w:sz w:val="16"/>
                <w:szCs w:val="16"/>
                <w:lang w:val="es-ES_tradnl"/>
              </w:rPr>
            </w:pPr>
            <w:r w:rsidRPr="009577DE">
              <w:rPr>
                <w:sz w:val="16"/>
                <w:szCs w:val="16"/>
                <w:lang w:val="es-ES_tradnl"/>
              </w:rPr>
              <w:t>1 y 2 de noviembre de 2012</w:t>
            </w:r>
          </w:p>
        </w:tc>
        <w:tc>
          <w:tcPr>
            <w:tcW w:w="1702" w:type="dxa"/>
          </w:tcPr>
          <w:p w:rsidR="00B070BF" w:rsidRPr="009577DE" w:rsidRDefault="00B070BF" w:rsidP="00C33D4A">
            <w:pPr>
              <w:widowControl w:val="0"/>
              <w:spacing w:before="120"/>
              <w:rPr>
                <w:sz w:val="16"/>
                <w:szCs w:val="16"/>
                <w:lang w:val="es-ES_tradnl"/>
              </w:rPr>
            </w:pPr>
            <w:r w:rsidRPr="009577DE">
              <w:rPr>
                <w:sz w:val="16"/>
                <w:szCs w:val="16"/>
                <w:lang w:val="es-ES_tradnl"/>
              </w:rPr>
              <w:t>Indonesia</w:t>
            </w:r>
          </w:p>
          <w:p w:rsidR="00B070BF" w:rsidRPr="009577DE" w:rsidRDefault="00B070BF" w:rsidP="00C33D4A">
            <w:pPr>
              <w:widowControl w:val="0"/>
              <w:spacing w:before="120"/>
              <w:rPr>
                <w:sz w:val="16"/>
                <w:szCs w:val="16"/>
                <w:lang w:val="es-ES_tradnl"/>
              </w:rPr>
            </w:pPr>
            <w:r w:rsidRPr="009577DE">
              <w:rPr>
                <w:sz w:val="16"/>
                <w:szCs w:val="16"/>
                <w:lang w:val="es-ES_tradnl"/>
              </w:rPr>
              <w:t xml:space="preserve">80 participantes locales </w:t>
            </w:r>
          </w:p>
          <w:p w:rsidR="00B070BF" w:rsidRPr="009577DE" w:rsidRDefault="00B070BF" w:rsidP="00C33D4A">
            <w:pPr>
              <w:widowControl w:val="0"/>
              <w:spacing w:before="120"/>
              <w:rPr>
                <w:sz w:val="16"/>
                <w:szCs w:val="16"/>
                <w:lang w:val="es-ES_tradnl"/>
              </w:rPr>
            </w:pPr>
          </w:p>
        </w:tc>
        <w:tc>
          <w:tcPr>
            <w:tcW w:w="4251" w:type="dxa"/>
            <w:gridSpan w:val="3"/>
          </w:tcPr>
          <w:p w:rsidR="00B070BF" w:rsidRPr="009577DE" w:rsidRDefault="00B070BF" w:rsidP="00C33D4A">
            <w:pPr>
              <w:widowControl w:val="0"/>
              <w:spacing w:before="120"/>
              <w:ind w:left="1006"/>
              <w:rPr>
                <w:sz w:val="16"/>
                <w:szCs w:val="16"/>
                <w:lang w:val="es-ES_tradnl"/>
              </w:rPr>
            </w:pPr>
            <w:r w:rsidRPr="009577DE">
              <w:rPr>
                <w:sz w:val="16"/>
                <w:szCs w:val="16"/>
                <w:lang w:val="es-ES_tradnl"/>
              </w:rPr>
              <w:t>Fomentar la sensibilización del público acerca de la importancia de la protección y la gestión del derecho de autor y los derechos conexos y dar asistencia para mejorar el funcionamiento del sistema de derecho de autor en Indonesia.</w:t>
            </w:r>
          </w:p>
        </w:tc>
      </w:tr>
      <w:tr w:rsidR="00B070BF" w:rsidRPr="009577DE" w:rsidTr="00C33D4A">
        <w:trPr>
          <w:trHeight w:val="543"/>
        </w:trPr>
        <w:tc>
          <w:tcPr>
            <w:tcW w:w="1985" w:type="dxa"/>
          </w:tcPr>
          <w:p w:rsidR="00B070BF" w:rsidRPr="009577DE" w:rsidRDefault="00B070BF" w:rsidP="00C33D4A">
            <w:pPr>
              <w:widowControl w:val="0"/>
              <w:spacing w:before="120"/>
              <w:rPr>
                <w:sz w:val="16"/>
                <w:szCs w:val="16"/>
                <w:lang w:val="es-ES_tradnl"/>
              </w:rPr>
            </w:pPr>
            <w:r w:rsidRPr="009577DE">
              <w:rPr>
                <w:sz w:val="16"/>
                <w:szCs w:val="16"/>
                <w:lang w:val="es-ES_tradnl"/>
              </w:rPr>
              <w:t xml:space="preserve">Seminario nacional sobre la protección y la gestión del derecho de autor y los </w:t>
            </w:r>
            <w:r w:rsidRPr="009577DE">
              <w:rPr>
                <w:snapToGrid w:val="0"/>
                <w:sz w:val="16"/>
                <w:szCs w:val="16"/>
                <w:lang w:val="es-ES_tradnl"/>
              </w:rPr>
              <w:t>derechos conexos.</w:t>
            </w:r>
          </w:p>
        </w:tc>
        <w:tc>
          <w:tcPr>
            <w:tcW w:w="1134" w:type="dxa"/>
          </w:tcPr>
          <w:p w:rsidR="00B070BF" w:rsidRPr="009577DE" w:rsidRDefault="00B070BF" w:rsidP="00C33D4A">
            <w:pPr>
              <w:widowControl w:val="0"/>
              <w:spacing w:before="120"/>
              <w:rPr>
                <w:sz w:val="16"/>
                <w:szCs w:val="16"/>
                <w:lang w:val="es-ES_tradnl"/>
              </w:rPr>
            </w:pPr>
            <w:r w:rsidRPr="009577DE">
              <w:rPr>
                <w:sz w:val="16"/>
                <w:szCs w:val="16"/>
                <w:lang w:val="es-ES_tradnl"/>
              </w:rPr>
              <w:t>5 y 6 de noviembre de 2012</w:t>
            </w:r>
          </w:p>
        </w:tc>
        <w:tc>
          <w:tcPr>
            <w:tcW w:w="1702" w:type="dxa"/>
          </w:tcPr>
          <w:p w:rsidR="00B070BF" w:rsidRPr="009577DE" w:rsidRDefault="00B070BF" w:rsidP="00C33D4A">
            <w:pPr>
              <w:widowControl w:val="0"/>
              <w:spacing w:before="120"/>
              <w:rPr>
                <w:sz w:val="16"/>
                <w:szCs w:val="16"/>
                <w:lang w:val="es-ES_tradnl"/>
              </w:rPr>
            </w:pPr>
            <w:r w:rsidRPr="009577DE">
              <w:rPr>
                <w:sz w:val="16"/>
                <w:szCs w:val="16"/>
                <w:lang w:val="es-ES_tradnl"/>
              </w:rPr>
              <w:t>Tailandia</w:t>
            </w:r>
          </w:p>
          <w:p w:rsidR="00B070BF" w:rsidRPr="009577DE" w:rsidRDefault="00B070BF" w:rsidP="00C33D4A">
            <w:pPr>
              <w:widowControl w:val="0"/>
              <w:spacing w:before="120"/>
              <w:rPr>
                <w:sz w:val="16"/>
                <w:szCs w:val="16"/>
                <w:lang w:val="es-ES_tradnl"/>
              </w:rPr>
            </w:pPr>
            <w:r w:rsidRPr="009577DE">
              <w:rPr>
                <w:sz w:val="16"/>
                <w:szCs w:val="16"/>
                <w:lang w:val="es-ES_tradnl"/>
              </w:rPr>
              <w:t xml:space="preserve">70 participantes locales </w:t>
            </w:r>
          </w:p>
          <w:p w:rsidR="00B070BF" w:rsidRPr="009577DE" w:rsidRDefault="00B070BF" w:rsidP="00C33D4A">
            <w:pPr>
              <w:widowControl w:val="0"/>
              <w:spacing w:before="120"/>
              <w:rPr>
                <w:sz w:val="16"/>
                <w:szCs w:val="16"/>
                <w:lang w:val="es-ES_tradnl"/>
              </w:rPr>
            </w:pPr>
          </w:p>
        </w:tc>
        <w:tc>
          <w:tcPr>
            <w:tcW w:w="4251" w:type="dxa"/>
            <w:gridSpan w:val="3"/>
          </w:tcPr>
          <w:p w:rsidR="00B070BF" w:rsidRPr="009577DE" w:rsidRDefault="00B070BF" w:rsidP="00C33D4A">
            <w:pPr>
              <w:widowControl w:val="0"/>
              <w:spacing w:before="120"/>
              <w:ind w:left="1006"/>
              <w:rPr>
                <w:sz w:val="16"/>
                <w:szCs w:val="16"/>
                <w:lang w:val="es-ES_tradnl"/>
              </w:rPr>
            </w:pPr>
            <w:r w:rsidRPr="009577DE">
              <w:rPr>
                <w:sz w:val="16"/>
                <w:szCs w:val="16"/>
                <w:lang w:val="es-ES_tradnl"/>
              </w:rPr>
              <w:t>Profundizar la comprensión de la protección del derecho de autor y los derechos conexos y dar asistencia para mejorar la eficiencia en la gestión del derecho de autor y los derechos conexos.</w:t>
            </w:r>
          </w:p>
        </w:tc>
      </w:tr>
      <w:tr w:rsidR="00B070BF" w:rsidRPr="009577DE" w:rsidTr="00C33D4A">
        <w:trPr>
          <w:trHeight w:val="1727"/>
        </w:trPr>
        <w:tc>
          <w:tcPr>
            <w:tcW w:w="1985" w:type="dxa"/>
          </w:tcPr>
          <w:p w:rsidR="00B070BF" w:rsidRPr="009577DE" w:rsidRDefault="00B070BF" w:rsidP="00C33D4A">
            <w:pPr>
              <w:widowControl w:val="0"/>
              <w:spacing w:before="120"/>
              <w:rPr>
                <w:sz w:val="16"/>
                <w:szCs w:val="16"/>
                <w:lang w:val="es-ES_tradnl"/>
              </w:rPr>
            </w:pPr>
            <w:r w:rsidRPr="009577DE">
              <w:rPr>
                <w:sz w:val="16"/>
                <w:szCs w:val="16"/>
                <w:lang w:val="es-ES_tradnl"/>
              </w:rPr>
              <w:lastRenderedPageBreak/>
              <w:t xml:space="preserve">Curso especial sobre observancia del derecho de autor y los </w:t>
            </w:r>
            <w:r w:rsidRPr="009577DE">
              <w:rPr>
                <w:snapToGrid w:val="0"/>
                <w:sz w:val="16"/>
                <w:szCs w:val="16"/>
                <w:lang w:val="es-ES_tradnl"/>
              </w:rPr>
              <w:t>derechos conexos.</w:t>
            </w:r>
          </w:p>
        </w:tc>
        <w:tc>
          <w:tcPr>
            <w:tcW w:w="1134" w:type="dxa"/>
          </w:tcPr>
          <w:p w:rsidR="00B070BF" w:rsidRPr="009577DE" w:rsidRDefault="00B070BF" w:rsidP="00C33D4A">
            <w:pPr>
              <w:widowControl w:val="0"/>
              <w:spacing w:before="120"/>
              <w:rPr>
                <w:sz w:val="16"/>
                <w:szCs w:val="16"/>
                <w:lang w:val="es-ES_tradnl"/>
              </w:rPr>
            </w:pPr>
            <w:r w:rsidRPr="009577DE">
              <w:rPr>
                <w:sz w:val="16"/>
                <w:szCs w:val="16"/>
                <w:lang w:val="es-ES_tradnl"/>
              </w:rPr>
              <w:t>19 a 30 de noviembre de 2012</w:t>
            </w:r>
          </w:p>
        </w:tc>
        <w:tc>
          <w:tcPr>
            <w:tcW w:w="1702" w:type="dxa"/>
          </w:tcPr>
          <w:p w:rsidR="00B070BF" w:rsidRPr="009577DE" w:rsidRDefault="00B070BF" w:rsidP="00C33D4A">
            <w:pPr>
              <w:widowControl w:val="0"/>
              <w:spacing w:before="120"/>
              <w:rPr>
                <w:sz w:val="16"/>
                <w:szCs w:val="16"/>
                <w:lang w:val="es-ES_tradnl"/>
              </w:rPr>
            </w:pPr>
            <w:r w:rsidRPr="009577DE">
              <w:rPr>
                <w:sz w:val="16"/>
                <w:szCs w:val="16"/>
                <w:lang w:val="es-ES_tradnl"/>
              </w:rPr>
              <w:t>Japón</w:t>
            </w:r>
          </w:p>
          <w:p w:rsidR="00B070BF" w:rsidRPr="009577DE" w:rsidRDefault="00B070BF" w:rsidP="00C33D4A">
            <w:pPr>
              <w:widowControl w:val="0"/>
              <w:spacing w:before="120"/>
              <w:rPr>
                <w:sz w:val="16"/>
                <w:szCs w:val="16"/>
                <w:lang w:val="es-ES_tradnl"/>
              </w:rPr>
            </w:pPr>
            <w:r w:rsidRPr="009577DE">
              <w:rPr>
                <w:sz w:val="16"/>
                <w:szCs w:val="16"/>
                <w:lang w:val="es-ES_tradnl"/>
              </w:rPr>
              <w:t xml:space="preserve">12 participantes de seis países (Bangladesh, China, Malasia, Nepal, Pakistán y </w:t>
            </w:r>
            <w:proofErr w:type="spellStart"/>
            <w:r w:rsidRPr="009577DE">
              <w:rPr>
                <w:sz w:val="16"/>
                <w:szCs w:val="16"/>
                <w:lang w:val="es-ES_tradnl"/>
              </w:rPr>
              <w:t>Viet</w:t>
            </w:r>
            <w:proofErr w:type="spellEnd"/>
            <w:r w:rsidRPr="009577DE">
              <w:rPr>
                <w:sz w:val="16"/>
                <w:szCs w:val="16"/>
                <w:lang w:val="es-ES_tradnl"/>
              </w:rPr>
              <w:t> </w:t>
            </w:r>
            <w:proofErr w:type="spellStart"/>
            <w:r w:rsidRPr="009577DE">
              <w:rPr>
                <w:sz w:val="16"/>
                <w:szCs w:val="16"/>
                <w:lang w:val="es-ES_tradnl"/>
              </w:rPr>
              <w:t>Nam</w:t>
            </w:r>
            <w:proofErr w:type="spellEnd"/>
            <w:r w:rsidRPr="009577DE">
              <w:rPr>
                <w:sz w:val="16"/>
                <w:szCs w:val="16"/>
                <w:lang w:val="es-ES_tradnl"/>
              </w:rPr>
              <w:t>)</w:t>
            </w:r>
          </w:p>
          <w:p w:rsidR="00B070BF" w:rsidRPr="009577DE" w:rsidRDefault="00B070BF" w:rsidP="00C33D4A">
            <w:pPr>
              <w:widowControl w:val="0"/>
              <w:spacing w:before="120"/>
              <w:rPr>
                <w:sz w:val="16"/>
                <w:szCs w:val="16"/>
                <w:lang w:val="es-ES_tradnl"/>
              </w:rPr>
            </w:pPr>
          </w:p>
        </w:tc>
        <w:tc>
          <w:tcPr>
            <w:tcW w:w="4251" w:type="dxa"/>
            <w:gridSpan w:val="3"/>
          </w:tcPr>
          <w:p w:rsidR="00B070BF" w:rsidRPr="009577DE" w:rsidRDefault="00B070BF" w:rsidP="00C33D4A">
            <w:pPr>
              <w:widowControl w:val="0"/>
              <w:spacing w:before="120"/>
              <w:ind w:left="1006"/>
              <w:rPr>
                <w:sz w:val="16"/>
                <w:szCs w:val="16"/>
                <w:lang w:val="es-ES_tradnl"/>
              </w:rPr>
            </w:pPr>
            <w:r w:rsidRPr="009577DE">
              <w:rPr>
                <w:sz w:val="16"/>
                <w:szCs w:val="16"/>
                <w:lang w:val="es-ES_tradnl"/>
              </w:rPr>
              <w:t xml:space="preserve">Examinar la importancia de la observancia del derecho de autor y los derechos conexos y mejorar los sistemas de observancia. </w:t>
            </w:r>
          </w:p>
        </w:tc>
      </w:tr>
      <w:tr w:rsidR="00B070BF" w:rsidRPr="009577DE" w:rsidTr="00C33D4A">
        <w:trPr>
          <w:trHeight w:val="543"/>
        </w:trPr>
        <w:tc>
          <w:tcPr>
            <w:tcW w:w="1985" w:type="dxa"/>
          </w:tcPr>
          <w:p w:rsidR="00B070BF" w:rsidRPr="009577DE" w:rsidRDefault="00B070BF" w:rsidP="00C33D4A">
            <w:pPr>
              <w:widowControl w:val="0"/>
              <w:spacing w:before="120"/>
              <w:rPr>
                <w:sz w:val="16"/>
                <w:szCs w:val="16"/>
                <w:lang w:val="es-ES_tradnl"/>
              </w:rPr>
            </w:pPr>
            <w:r w:rsidRPr="009577DE">
              <w:rPr>
                <w:sz w:val="16"/>
                <w:szCs w:val="16"/>
                <w:lang w:val="es-ES_tradnl"/>
              </w:rPr>
              <w:t>Visita de estudio a organismos de gestión colectiva.</w:t>
            </w:r>
          </w:p>
        </w:tc>
        <w:tc>
          <w:tcPr>
            <w:tcW w:w="1134" w:type="dxa"/>
          </w:tcPr>
          <w:p w:rsidR="00B070BF" w:rsidRPr="009577DE" w:rsidRDefault="00B070BF" w:rsidP="00C33D4A">
            <w:pPr>
              <w:widowControl w:val="0"/>
              <w:spacing w:before="120"/>
              <w:rPr>
                <w:sz w:val="16"/>
                <w:szCs w:val="16"/>
                <w:lang w:val="es-ES_tradnl"/>
              </w:rPr>
            </w:pPr>
            <w:r w:rsidRPr="009577DE">
              <w:rPr>
                <w:sz w:val="16"/>
                <w:szCs w:val="16"/>
                <w:lang w:val="es-ES_tradnl"/>
              </w:rPr>
              <w:t>26 a 30 de noviembre de 2012</w:t>
            </w:r>
          </w:p>
        </w:tc>
        <w:tc>
          <w:tcPr>
            <w:tcW w:w="1702" w:type="dxa"/>
          </w:tcPr>
          <w:p w:rsidR="00B070BF" w:rsidRPr="009577DE" w:rsidRDefault="00B070BF" w:rsidP="00C33D4A">
            <w:pPr>
              <w:widowControl w:val="0"/>
              <w:spacing w:before="120"/>
              <w:rPr>
                <w:sz w:val="16"/>
                <w:szCs w:val="16"/>
                <w:lang w:val="es-ES_tradnl"/>
              </w:rPr>
            </w:pPr>
            <w:r w:rsidRPr="009577DE">
              <w:rPr>
                <w:sz w:val="16"/>
                <w:szCs w:val="16"/>
                <w:lang w:val="es-ES_tradnl"/>
              </w:rPr>
              <w:t>Japón</w:t>
            </w:r>
          </w:p>
          <w:p w:rsidR="00B070BF" w:rsidRPr="009577DE" w:rsidRDefault="00B070BF" w:rsidP="00C33D4A">
            <w:pPr>
              <w:widowControl w:val="0"/>
              <w:spacing w:before="120"/>
              <w:rPr>
                <w:sz w:val="16"/>
                <w:szCs w:val="16"/>
                <w:lang w:val="es-ES_tradnl"/>
              </w:rPr>
            </w:pPr>
            <w:r>
              <w:rPr>
                <w:sz w:val="16"/>
                <w:szCs w:val="16"/>
                <w:lang w:val="es-ES_tradnl"/>
              </w:rPr>
              <w:t>6 participantes de tres países (</w:t>
            </w:r>
            <w:r w:rsidRPr="009577DE">
              <w:rPr>
                <w:sz w:val="16"/>
                <w:szCs w:val="16"/>
                <w:lang w:val="es-ES_tradnl"/>
              </w:rPr>
              <w:t>India, Mongolia y Sri Lanka)</w:t>
            </w:r>
          </w:p>
        </w:tc>
        <w:tc>
          <w:tcPr>
            <w:tcW w:w="4251" w:type="dxa"/>
            <w:gridSpan w:val="3"/>
          </w:tcPr>
          <w:p w:rsidR="00B070BF" w:rsidRPr="009577DE" w:rsidRDefault="00B070BF" w:rsidP="00C33D4A">
            <w:pPr>
              <w:widowControl w:val="0"/>
              <w:spacing w:before="120"/>
              <w:ind w:left="1006"/>
              <w:rPr>
                <w:sz w:val="16"/>
                <w:szCs w:val="16"/>
                <w:lang w:val="es-ES_tradnl"/>
              </w:rPr>
            </w:pPr>
            <w:r w:rsidRPr="009577DE">
              <w:rPr>
                <w:sz w:val="16"/>
                <w:szCs w:val="16"/>
                <w:lang w:val="es-ES_tradnl"/>
              </w:rPr>
              <w:t xml:space="preserve">Mejorar los conocimientos y la comprensión acerca de la problemática de la gestión colectiva y facilitar la cooperación y la coordinación entre las oficinas de derecho de autor y los organismos de gestión colectiva, así como aprender de la experiencia del Japón en materia de derecho de autor y </w:t>
            </w:r>
            <w:r w:rsidRPr="009577DE">
              <w:rPr>
                <w:snapToGrid w:val="0"/>
                <w:sz w:val="16"/>
                <w:szCs w:val="16"/>
                <w:lang w:val="es-ES_tradnl"/>
              </w:rPr>
              <w:t>derechos conexos</w:t>
            </w:r>
            <w:r w:rsidRPr="009577DE">
              <w:rPr>
                <w:sz w:val="16"/>
                <w:szCs w:val="16"/>
                <w:lang w:val="es-ES_tradnl"/>
              </w:rPr>
              <w:t>.</w:t>
            </w:r>
          </w:p>
          <w:p w:rsidR="00B070BF" w:rsidRPr="009577DE" w:rsidRDefault="00B070BF" w:rsidP="00C33D4A">
            <w:pPr>
              <w:widowControl w:val="0"/>
              <w:spacing w:before="120"/>
              <w:ind w:left="600"/>
              <w:rPr>
                <w:sz w:val="16"/>
                <w:szCs w:val="16"/>
                <w:lang w:val="es-ES_tradnl"/>
              </w:rPr>
            </w:pPr>
          </w:p>
        </w:tc>
      </w:tr>
    </w:tbl>
    <w:p w:rsidR="00B070BF" w:rsidRPr="009577DE" w:rsidRDefault="00B070BF" w:rsidP="00B070BF">
      <w:pPr>
        <w:widowControl w:val="0"/>
        <w:rPr>
          <w:b/>
          <w:sz w:val="18"/>
          <w:szCs w:val="18"/>
          <w:lang w:val="es-ES_tradnl"/>
        </w:rPr>
      </w:pPr>
    </w:p>
    <w:p w:rsidR="00B070BF" w:rsidRPr="009577DE" w:rsidRDefault="00B070BF" w:rsidP="00B070BF">
      <w:pPr>
        <w:widowControl w:val="0"/>
        <w:rPr>
          <w:b/>
          <w:sz w:val="20"/>
          <w:lang w:val="es-ES_tradnl"/>
        </w:rPr>
      </w:pPr>
    </w:p>
    <w:p w:rsidR="00B070BF" w:rsidRPr="009577DE" w:rsidRDefault="00B070BF" w:rsidP="00B070BF">
      <w:pPr>
        <w:widowControl w:val="0"/>
        <w:rPr>
          <w:b/>
          <w:sz w:val="20"/>
          <w:lang w:val="es-ES_tradnl"/>
        </w:rPr>
      </w:pPr>
      <w:r w:rsidRPr="009577DE">
        <w:rPr>
          <w:b/>
          <w:sz w:val="20"/>
          <w:lang w:val="es-ES_tradnl"/>
        </w:rPr>
        <w:t>JAPÓN – DERECHO DE AUTOR – Contribuciones de donantes y gastos en 2012</w:t>
      </w:r>
      <w:r w:rsidRPr="009577DE">
        <w:rPr>
          <w:b/>
          <w:sz w:val="20"/>
          <w:vertAlign w:val="superscript"/>
          <w:lang w:val="es-ES_tradnl"/>
        </w:rPr>
        <w:t>1</w:t>
      </w:r>
    </w:p>
    <w:p w:rsidR="00B070BF" w:rsidRPr="009577DE" w:rsidRDefault="00B070BF" w:rsidP="00B070BF">
      <w:pPr>
        <w:widowControl w:val="0"/>
        <w:rPr>
          <w:sz w:val="20"/>
          <w:lang w:val="es-ES_tradn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0"/>
        <w:gridCol w:w="1650"/>
        <w:gridCol w:w="1817"/>
        <w:gridCol w:w="1703"/>
        <w:gridCol w:w="1980"/>
      </w:tblGrid>
      <w:tr w:rsidR="00B070BF" w:rsidRPr="009577DE" w:rsidTr="00C33D4A">
        <w:trPr>
          <w:trHeight w:val="567"/>
        </w:trPr>
        <w:tc>
          <w:tcPr>
            <w:tcW w:w="1870" w:type="dxa"/>
            <w:shd w:val="clear" w:color="auto" w:fill="CCFFFF"/>
            <w:vAlign w:val="center"/>
          </w:tcPr>
          <w:p w:rsidR="00B070BF" w:rsidRPr="009577DE" w:rsidRDefault="00B070BF" w:rsidP="00C33D4A">
            <w:pPr>
              <w:widowControl w:val="0"/>
              <w:spacing w:after="220"/>
              <w:jc w:val="center"/>
              <w:rPr>
                <w:b/>
                <w:sz w:val="16"/>
                <w:szCs w:val="16"/>
                <w:lang w:val="es-ES_tradnl"/>
              </w:rPr>
            </w:pPr>
            <w:r w:rsidRPr="009577DE">
              <w:rPr>
                <w:b/>
                <w:sz w:val="16"/>
                <w:szCs w:val="16"/>
                <w:lang w:val="es-ES_tradnl"/>
              </w:rPr>
              <w:t>Balance a 31 de diciembre de 2011</w:t>
            </w:r>
          </w:p>
        </w:tc>
        <w:tc>
          <w:tcPr>
            <w:tcW w:w="1650" w:type="dxa"/>
            <w:shd w:val="clear" w:color="auto" w:fill="CCFFFF"/>
            <w:vAlign w:val="center"/>
          </w:tcPr>
          <w:p w:rsidR="00B070BF" w:rsidRPr="009577DE" w:rsidRDefault="00B070BF" w:rsidP="00C33D4A">
            <w:pPr>
              <w:widowControl w:val="0"/>
              <w:spacing w:after="220"/>
              <w:jc w:val="center"/>
              <w:rPr>
                <w:b/>
                <w:sz w:val="16"/>
                <w:szCs w:val="16"/>
                <w:lang w:val="es-ES_tradnl"/>
              </w:rPr>
            </w:pPr>
            <w:r w:rsidRPr="009577DE">
              <w:rPr>
                <w:b/>
                <w:sz w:val="16"/>
                <w:szCs w:val="16"/>
                <w:lang w:val="es-ES_tradnl"/>
              </w:rPr>
              <w:t>Ingresos en 2012</w:t>
            </w:r>
          </w:p>
        </w:tc>
        <w:tc>
          <w:tcPr>
            <w:tcW w:w="1817" w:type="dxa"/>
            <w:shd w:val="clear" w:color="auto" w:fill="CCFFFF"/>
            <w:vAlign w:val="center"/>
          </w:tcPr>
          <w:p w:rsidR="00B070BF" w:rsidRPr="009577DE" w:rsidRDefault="00B070BF" w:rsidP="00C33D4A">
            <w:pPr>
              <w:widowControl w:val="0"/>
              <w:spacing w:after="220"/>
              <w:jc w:val="center"/>
              <w:rPr>
                <w:b/>
                <w:sz w:val="16"/>
                <w:szCs w:val="16"/>
                <w:lang w:val="es-ES_tradnl"/>
              </w:rPr>
            </w:pPr>
            <w:r w:rsidRPr="009577DE">
              <w:rPr>
                <w:b/>
                <w:sz w:val="16"/>
                <w:szCs w:val="16"/>
                <w:lang w:val="es-ES_tradnl"/>
              </w:rPr>
              <w:t>Gastos en 2012</w:t>
            </w:r>
          </w:p>
        </w:tc>
        <w:tc>
          <w:tcPr>
            <w:tcW w:w="1703" w:type="dxa"/>
            <w:shd w:val="clear" w:color="auto" w:fill="CCFFFF"/>
            <w:vAlign w:val="center"/>
          </w:tcPr>
          <w:p w:rsidR="00B070BF" w:rsidRPr="009577DE" w:rsidRDefault="00B070BF" w:rsidP="00C33D4A">
            <w:pPr>
              <w:widowControl w:val="0"/>
              <w:spacing w:after="220"/>
              <w:jc w:val="center"/>
              <w:rPr>
                <w:b/>
                <w:sz w:val="16"/>
                <w:szCs w:val="16"/>
                <w:lang w:val="es-ES_tradnl"/>
              </w:rPr>
            </w:pPr>
            <w:r w:rsidRPr="009577DE">
              <w:rPr>
                <w:b/>
                <w:sz w:val="16"/>
                <w:szCs w:val="16"/>
                <w:lang w:val="es-ES_tradnl"/>
              </w:rPr>
              <w:t>Reembolsos</w:t>
            </w:r>
          </w:p>
        </w:tc>
        <w:tc>
          <w:tcPr>
            <w:tcW w:w="1980" w:type="dxa"/>
            <w:shd w:val="clear" w:color="auto" w:fill="CCFFFF"/>
            <w:vAlign w:val="center"/>
          </w:tcPr>
          <w:p w:rsidR="00B070BF" w:rsidRPr="009577DE" w:rsidRDefault="00B070BF" w:rsidP="00C33D4A">
            <w:pPr>
              <w:widowControl w:val="0"/>
              <w:spacing w:after="220"/>
              <w:jc w:val="center"/>
              <w:rPr>
                <w:b/>
                <w:sz w:val="16"/>
                <w:szCs w:val="16"/>
                <w:lang w:val="es-ES_tradnl"/>
              </w:rPr>
            </w:pPr>
            <w:r w:rsidRPr="009577DE">
              <w:rPr>
                <w:b/>
                <w:sz w:val="16"/>
                <w:szCs w:val="16"/>
                <w:lang w:val="es-ES_tradnl"/>
              </w:rPr>
              <w:t>Balance a 31 de diciembre de 2012</w:t>
            </w:r>
          </w:p>
        </w:tc>
      </w:tr>
      <w:tr w:rsidR="00B070BF" w:rsidRPr="009577DE" w:rsidTr="00C33D4A">
        <w:trPr>
          <w:trHeight w:val="567"/>
        </w:trPr>
        <w:tc>
          <w:tcPr>
            <w:tcW w:w="1870" w:type="dxa"/>
            <w:shd w:val="clear" w:color="auto" w:fill="auto"/>
            <w:vAlign w:val="center"/>
          </w:tcPr>
          <w:p w:rsidR="00B070BF" w:rsidRPr="009577DE" w:rsidRDefault="00B070BF" w:rsidP="00C33D4A">
            <w:pPr>
              <w:widowControl w:val="0"/>
              <w:autoSpaceDE w:val="0"/>
              <w:autoSpaceDN w:val="0"/>
              <w:adjustRightInd w:val="0"/>
              <w:spacing w:after="220"/>
              <w:jc w:val="center"/>
              <w:rPr>
                <w:rFonts w:eastAsia="MS Mincho"/>
                <w:sz w:val="16"/>
                <w:szCs w:val="16"/>
                <w:lang w:val="es-ES_tradnl" w:eastAsia="ja-JP" w:bidi="th-TH"/>
              </w:rPr>
            </w:pPr>
            <w:r w:rsidRPr="009577DE">
              <w:rPr>
                <w:rFonts w:eastAsia="MS Mincho"/>
                <w:sz w:val="16"/>
                <w:szCs w:val="16"/>
                <w:lang w:val="es-ES_tradnl" w:eastAsia="ja-JP" w:bidi="th-TH"/>
              </w:rPr>
              <w:t>504.045</w:t>
            </w:r>
          </w:p>
        </w:tc>
        <w:tc>
          <w:tcPr>
            <w:tcW w:w="1650" w:type="dxa"/>
            <w:shd w:val="clear" w:color="auto" w:fill="auto"/>
            <w:vAlign w:val="center"/>
          </w:tcPr>
          <w:p w:rsidR="00B070BF" w:rsidRPr="009577DE" w:rsidRDefault="00B070BF" w:rsidP="00C33D4A">
            <w:pPr>
              <w:widowControl w:val="0"/>
              <w:autoSpaceDE w:val="0"/>
              <w:autoSpaceDN w:val="0"/>
              <w:adjustRightInd w:val="0"/>
              <w:spacing w:after="220"/>
              <w:jc w:val="center"/>
              <w:rPr>
                <w:rFonts w:eastAsia="MS Mincho"/>
                <w:sz w:val="16"/>
                <w:szCs w:val="16"/>
                <w:lang w:val="es-ES_tradnl" w:eastAsia="ja-JP" w:bidi="th-TH"/>
              </w:rPr>
            </w:pPr>
            <w:r w:rsidRPr="009577DE">
              <w:rPr>
                <w:rFonts w:eastAsia="MS Mincho"/>
                <w:sz w:val="16"/>
                <w:szCs w:val="16"/>
                <w:lang w:val="es-ES_tradnl" w:eastAsia="ja-JP" w:bidi="th-TH"/>
              </w:rPr>
              <w:t>469.232</w:t>
            </w:r>
          </w:p>
        </w:tc>
        <w:tc>
          <w:tcPr>
            <w:tcW w:w="1817" w:type="dxa"/>
            <w:shd w:val="clear" w:color="auto" w:fill="auto"/>
            <w:vAlign w:val="center"/>
          </w:tcPr>
          <w:p w:rsidR="00B070BF" w:rsidRPr="009577DE" w:rsidRDefault="00B070BF" w:rsidP="00C33D4A">
            <w:pPr>
              <w:widowControl w:val="0"/>
              <w:autoSpaceDE w:val="0"/>
              <w:autoSpaceDN w:val="0"/>
              <w:adjustRightInd w:val="0"/>
              <w:spacing w:after="220"/>
              <w:jc w:val="center"/>
              <w:rPr>
                <w:rFonts w:eastAsia="MS Mincho"/>
                <w:sz w:val="16"/>
                <w:szCs w:val="16"/>
                <w:lang w:val="es-ES_tradnl" w:eastAsia="ja-JP" w:bidi="th-TH"/>
              </w:rPr>
            </w:pPr>
            <w:r w:rsidRPr="009577DE">
              <w:rPr>
                <w:rFonts w:eastAsia="MS Mincho"/>
                <w:sz w:val="16"/>
                <w:szCs w:val="16"/>
                <w:lang w:val="es-ES_tradnl" w:eastAsia="ja-JP" w:bidi="th-TH"/>
              </w:rPr>
              <w:t>690.331</w:t>
            </w:r>
          </w:p>
        </w:tc>
        <w:tc>
          <w:tcPr>
            <w:tcW w:w="1703" w:type="dxa"/>
            <w:shd w:val="clear" w:color="auto" w:fill="auto"/>
            <w:vAlign w:val="center"/>
          </w:tcPr>
          <w:p w:rsidR="00B070BF" w:rsidRPr="009577DE" w:rsidRDefault="00B070BF" w:rsidP="00C33D4A">
            <w:pPr>
              <w:widowControl w:val="0"/>
              <w:autoSpaceDE w:val="0"/>
              <w:autoSpaceDN w:val="0"/>
              <w:adjustRightInd w:val="0"/>
              <w:spacing w:after="220"/>
              <w:jc w:val="center"/>
              <w:rPr>
                <w:rFonts w:eastAsia="MS Mincho"/>
                <w:sz w:val="16"/>
                <w:szCs w:val="16"/>
                <w:lang w:val="es-ES_tradnl" w:eastAsia="ja-JP" w:bidi="th-TH"/>
              </w:rPr>
            </w:pPr>
            <w:r w:rsidRPr="009577DE">
              <w:rPr>
                <w:rFonts w:eastAsia="MS Mincho"/>
                <w:sz w:val="16"/>
                <w:szCs w:val="16"/>
                <w:lang w:val="es-ES_tradnl" w:eastAsia="ja-JP" w:bidi="th-TH"/>
              </w:rPr>
              <w:t>–</w:t>
            </w:r>
          </w:p>
        </w:tc>
        <w:tc>
          <w:tcPr>
            <w:tcW w:w="1980" w:type="dxa"/>
            <w:shd w:val="clear" w:color="auto" w:fill="auto"/>
            <w:vAlign w:val="center"/>
          </w:tcPr>
          <w:p w:rsidR="00B070BF" w:rsidRPr="009577DE" w:rsidRDefault="00B070BF" w:rsidP="00C33D4A">
            <w:pPr>
              <w:widowControl w:val="0"/>
              <w:autoSpaceDE w:val="0"/>
              <w:autoSpaceDN w:val="0"/>
              <w:adjustRightInd w:val="0"/>
              <w:spacing w:after="220"/>
              <w:jc w:val="center"/>
              <w:rPr>
                <w:rFonts w:eastAsia="MS Mincho"/>
                <w:sz w:val="16"/>
                <w:szCs w:val="16"/>
                <w:lang w:val="es-ES_tradnl" w:eastAsia="ja-JP" w:bidi="th-TH"/>
              </w:rPr>
            </w:pPr>
            <w:r w:rsidRPr="009577DE">
              <w:rPr>
                <w:rFonts w:eastAsia="MS Mincho"/>
                <w:sz w:val="16"/>
                <w:szCs w:val="16"/>
                <w:lang w:val="es-ES_tradnl" w:eastAsia="ja-JP" w:bidi="th-TH"/>
              </w:rPr>
              <w:t>282.946</w:t>
            </w:r>
          </w:p>
        </w:tc>
      </w:tr>
    </w:tbl>
    <w:p w:rsidR="00B070BF" w:rsidRPr="009577DE" w:rsidRDefault="00B070BF" w:rsidP="00B070BF">
      <w:pPr>
        <w:widowControl w:val="0"/>
        <w:spacing w:before="120"/>
        <w:rPr>
          <w:szCs w:val="22"/>
          <w:lang w:val="es-ES_tradnl"/>
        </w:rPr>
      </w:pPr>
      <w:r w:rsidRPr="009577DE">
        <w:rPr>
          <w:i/>
          <w:iCs/>
          <w:sz w:val="16"/>
          <w:szCs w:val="16"/>
          <w:vertAlign w:val="superscript"/>
          <w:lang w:val="es-ES_tradnl"/>
        </w:rPr>
        <w:t xml:space="preserve">1 </w:t>
      </w:r>
      <w:r w:rsidRPr="009577DE">
        <w:rPr>
          <w:i/>
          <w:iCs/>
          <w:sz w:val="16"/>
          <w:szCs w:val="16"/>
          <w:lang w:val="es-ES_tradnl"/>
        </w:rPr>
        <w:t>Estados financieros de la OMPI de 2012 (Anexo III)</w:t>
      </w:r>
    </w:p>
    <w:p w:rsidR="00B070BF" w:rsidRPr="009577DE" w:rsidRDefault="00B070BF" w:rsidP="00B070BF">
      <w:pPr>
        <w:widowControl w:val="0"/>
        <w:rPr>
          <w:b/>
          <w:sz w:val="18"/>
          <w:szCs w:val="18"/>
          <w:lang w:val="es-ES_tradnl"/>
        </w:rPr>
      </w:pPr>
    </w:p>
    <w:p w:rsidR="00B070BF" w:rsidRPr="009577DE" w:rsidRDefault="00B070BF" w:rsidP="00B070BF">
      <w:pPr>
        <w:widowControl w:val="0"/>
        <w:rPr>
          <w:b/>
          <w:sz w:val="18"/>
          <w:szCs w:val="18"/>
          <w:lang w:val="es-ES_tradnl"/>
        </w:rPr>
      </w:pPr>
    </w:p>
    <w:p w:rsidR="00B070BF" w:rsidRPr="009577DE" w:rsidRDefault="00B070BF" w:rsidP="00B070BF">
      <w:pPr>
        <w:widowControl w:val="0"/>
        <w:rPr>
          <w:b/>
          <w:sz w:val="20"/>
          <w:lang w:val="es-ES_tradnl"/>
        </w:rPr>
      </w:pPr>
      <w:r w:rsidRPr="009577DE">
        <w:rPr>
          <w:b/>
          <w:sz w:val="20"/>
          <w:lang w:val="es-ES_tradnl"/>
        </w:rPr>
        <w:t>JAPÓN – PROPIEDAD INDUSTRIAL</w:t>
      </w:r>
    </w:p>
    <w:p w:rsidR="00B070BF" w:rsidRPr="009577DE" w:rsidRDefault="00B070BF" w:rsidP="00B070BF">
      <w:pPr>
        <w:widowControl w:val="0"/>
        <w:rPr>
          <w:b/>
          <w:sz w:val="20"/>
          <w:lang w:val="es-ES_tradnl"/>
        </w:rPr>
      </w:pPr>
    </w:p>
    <w:tbl>
      <w:tblPr>
        <w:tblW w:w="9075" w:type="dxa"/>
        <w:tblInd w:w="105"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1843"/>
        <w:gridCol w:w="1137"/>
        <w:gridCol w:w="2552"/>
        <w:gridCol w:w="3543"/>
      </w:tblGrid>
      <w:tr w:rsidR="00B070BF" w:rsidRPr="009577DE" w:rsidTr="00C33D4A">
        <w:trPr>
          <w:cantSplit/>
        </w:trPr>
        <w:tc>
          <w:tcPr>
            <w:tcW w:w="9075" w:type="dxa"/>
            <w:gridSpan w:val="4"/>
            <w:tcBorders>
              <w:top w:val="single" w:sz="4" w:space="0" w:color="000000"/>
              <w:bottom w:val="single" w:sz="4" w:space="0" w:color="000000"/>
            </w:tcBorders>
            <w:shd w:val="clear" w:color="auto" w:fill="CCFFFF"/>
            <w:vAlign w:val="center"/>
          </w:tcPr>
          <w:p w:rsidR="00B070BF" w:rsidRPr="009577DE" w:rsidRDefault="00B070BF" w:rsidP="00C33D4A">
            <w:pPr>
              <w:widowControl w:val="0"/>
              <w:tabs>
                <w:tab w:val="left" w:pos="1740"/>
              </w:tabs>
              <w:spacing w:before="120" w:after="120"/>
              <w:ind w:left="1740" w:hanging="1740"/>
              <w:rPr>
                <w:b/>
                <w:bCs/>
                <w:sz w:val="16"/>
                <w:szCs w:val="16"/>
                <w:lang w:val="es-ES_tradnl"/>
              </w:rPr>
            </w:pPr>
            <w:r w:rsidRPr="009577DE">
              <w:rPr>
                <w:b/>
                <w:bCs/>
                <w:sz w:val="16"/>
                <w:szCs w:val="16"/>
                <w:lang w:val="es-ES_tradnl"/>
              </w:rPr>
              <w:t>RESULTADO:</w:t>
            </w:r>
            <w:r w:rsidRPr="009577DE">
              <w:rPr>
                <w:bCs/>
                <w:sz w:val="16"/>
                <w:szCs w:val="16"/>
                <w:lang w:val="es-ES_tradnl"/>
              </w:rPr>
              <w:tab/>
              <w:t>Políticas nacionales de innovación y de P.I. claramente definidas y coherentes, estrategias y planes de desarrollo que estén en sintonía con las metas y los objetivos nacionales de desarrollo.</w:t>
            </w:r>
          </w:p>
        </w:tc>
      </w:tr>
      <w:tr w:rsidR="00B070BF" w:rsidRPr="009577DE" w:rsidTr="00C33D4A">
        <w:trPr>
          <w:cantSplit/>
        </w:trPr>
        <w:tc>
          <w:tcPr>
            <w:tcW w:w="1843" w:type="dxa"/>
            <w:tcBorders>
              <w:top w:val="single" w:sz="4" w:space="0" w:color="000000"/>
            </w:tcBorders>
            <w:vAlign w:val="center"/>
          </w:tcPr>
          <w:p w:rsidR="00B070BF" w:rsidRPr="009577DE" w:rsidRDefault="00B070BF" w:rsidP="00C33D4A">
            <w:pPr>
              <w:widowControl w:val="0"/>
              <w:rPr>
                <w:b/>
                <w:bCs/>
                <w:sz w:val="16"/>
                <w:szCs w:val="16"/>
                <w:lang w:val="es-ES_tradnl"/>
              </w:rPr>
            </w:pPr>
            <w:r w:rsidRPr="009577DE">
              <w:rPr>
                <w:b/>
                <w:bCs/>
                <w:sz w:val="16"/>
                <w:szCs w:val="16"/>
                <w:lang w:val="es-ES_tradnl"/>
              </w:rPr>
              <w:t>Actividad</w:t>
            </w:r>
          </w:p>
        </w:tc>
        <w:tc>
          <w:tcPr>
            <w:tcW w:w="1137" w:type="dxa"/>
            <w:tcBorders>
              <w:top w:val="single" w:sz="4" w:space="0" w:color="000000"/>
            </w:tcBorders>
            <w:shd w:val="clear" w:color="auto" w:fill="auto"/>
            <w:tcMar>
              <w:top w:w="110" w:type="dxa"/>
            </w:tcMar>
            <w:vAlign w:val="center"/>
          </w:tcPr>
          <w:p w:rsidR="00B070BF" w:rsidRPr="009577DE" w:rsidRDefault="00B070BF" w:rsidP="00C33D4A">
            <w:pPr>
              <w:widowControl w:val="0"/>
              <w:rPr>
                <w:sz w:val="16"/>
                <w:szCs w:val="16"/>
                <w:lang w:val="es-ES_tradnl"/>
              </w:rPr>
            </w:pPr>
            <w:r w:rsidRPr="009577DE">
              <w:rPr>
                <w:b/>
                <w:bCs/>
                <w:sz w:val="16"/>
                <w:szCs w:val="16"/>
                <w:lang w:val="es-ES_tradnl"/>
              </w:rPr>
              <w:t>Fecha</w:t>
            </w:r>
          </w:p>
        </w:tc>
        <w:tc>
          <w:tcPr>
            <w:tcW w:w="2552" w:type="dxa"/>
            <w:tcBorders>
              <w:top w:val="single" w:sz="4" w:space="0" w:color="000000"/>
            </w:tcBorders>
            <w:shd w:val="clear" w:color="auto" w:fill="auto"/>
            <w:tcMar>
              <w:top w:w="110" w:type="dxa"/>
            </w:tcMar>
            <w:vAlign w:val="center"/>
          </w:tcPr>
          <w:p w:rsidR="00B070BF" w:rsidRPr="009577DE" w:rsidRDefault="00B070BF" w:rsidP="00C33D4A">
            <w:pPr>
              <w:widowControl w:val="0"/>
              <w:rPr>
                <w:sz w:val="16"/>
                <w:szCs w:val="16"/>
                <w:lang w:val="es-ES_tradnl"/>
              </w:rPr>
            </w:pPr>
            <w:r w:rsidRPr="009577DE">
              <w:rPr>
                <w:b/>
                <w:bCs/>
                <w:sz w:val="16"/>
                <w:szCs w:val="16"/>
                <w:lang w:val="es-ES_tradnl"/>
              </w:rPr>
              <w:t>País anfitrión/Beneficiarios</w:t>
            </w:r>
          </w:p>
        </w:tc>
        <w:tc>
          <w:tcPr>
            <w:tcW w:w="3543" w:type="dxa"/>
            <w:tcBorders>
              <w:top w:val="single" w:sz="4" w:space="0" w:color="000000"/>
            </w:tcBorders>
            <w:shd w:val="clear" w:color="auto" w:fill="FFFFFF"/>
            <w:tcMar>
              <w:top w:w="110" w:type="dxa"/>
            </w:tcMar>
            <w:vAlign w:val="center"/>
          </w:tcPr>
          <w:p w:rsidR="00B070BF" w:rsidRPr="009577DE" w:rsidRDefault="00B070BF" w:rsidP="00C33D4A">
            <w:pPr>
              <w:widowControl w:val="0"/>
              <w:rPr>
                <w:sz w:val="16"/>
                <w:szCs w:val="16"/>
                <w:lang w:val="es-ES_tradnl"/>
              </w:rPr>
            </w:pPr>
            <w:r w:rsidRPr="009577DE">
              <w:rPr>
                <w:b/>
                <w:bCs/>
                <w:sz w:val="16"/>
                <w:szCs w:val="16"/>
                <w:lang w:val="es-ES_tradnl"/>
              </w:rPr>
              <w:t>Propósito/Descripción</w:t>
            </w:r>
          </w:p>
        </w:tc>
      </w:tr>
      <w:tr w:rsidR="00B070BF" w:rsidRPr="009577DE" w:rsidTr="00C33D4A">
        <w:trPr>
          <w:cantSplit/>
          <w:trHeight w:val="2281"/>
        </w:trPr>
        <w:tc>
          <w:tcPr>
            <w:tcW w:w="1843" w:type="dxa"/>
          </w:tcPr>
          <w:p w:rsidR="00B070BF" w:rsidRPr="009577DE" w:rsidRDefault="00B070BF" w:rsidP="00C33D4A">
            <w:pPr>
              <w:widowControl w:val="0"/>
              <w:autoSpaceDE w:val="0"/>
              <w:autoSpaceDN w:val="0"/>
              <w:adjustRightInd w:val="0"/>
              <w:spacing w:before="120" w:after="120"/>
              <w:rPr>
                <w:sz w:val="16"/>
                <w:szCs w:val="16"/>
                <w:lang w:val="es-ES_tradnl" w:eastAsia="ja-JP" w:bidi="th-TH"/>
              </w:rPr>
            </w:pPr>
            <w:r w:rsidRPr="009577DE">
              <w:rPr>
                <w:sz w:val="16"/>
                <w:szCs w:val="16"/>
                <w:lang w:val="es-ES_tradnl" w:eastAsia="ja-JP" w:bidi="th-TH"/>
              </w:rPr>
              <w:t>Conferencia regional de la OMPI sobre el papel de las oficinas de propiedad intelectual en el fomento de la innovación, la competitividad comercial y el crecimiento económico.</w:t>
            </w:r>
          </w:p>
        </w:tc>
        <w:tc>
          <w:tcPr>
            <w:tcW w:w="1137" w:type="dxa"/>
          </w:tcPr>
          <w:p w:rsidR="00B070BF" w:rsidRPr="009577DE" w:rsidRDefault="00B070BF" w:rsidP="00C33D4A">
            <w:pPr>
              <w:widowControl w:val="0"/>
              <w:autoSpaceDE w:val="0"/>
              <w:autoSpaceDN w:val="0"/>
              <w:adjustRightInd w:val="0"/>
              <w:spacing w:before="120" w:after="120"/>
              <w:rPr>
                <w:sz w:val="16"/>
                <w:szCs w:val="16"/>
                <w:lang w:val="es-ES_tradnl" w:eastAsia="ja-JP" w:bidi="th-TH"/>
              </w:rPr>
            </w:pPr>
            <w:r>
              <w:rPr>
                <w:sz w:val="16"/>
                <w:szCs w:val="16"/>
                <w:lang w:val="es-ES_tradnl" w:eastAsia="ja-JP" w:bidi="th-TH"/>
              </w:rPr>
              <w:t>6</w:t>
            </w:r>
            <w:r w:rsidRPr="009577DE">
              <w:rPr>
                <w:sz w:val="16"/>
                <w:szCs w:val="16"/>
                <w:lang w:val="es-ES_tradnl" w:eastAsia="ja-JP" w:bidi="th-TH"/>
              </w:rPr>
              <w:t xml:space="preserve"> y </w:t>
            </w:r>
            <w:r>
              <w:rPr>
                <w:sz w:val="16"/>
                <w:szCs w:val="16"/>
                <w:lang w:val="es-ES_tradnl" w:eastAsia="ja-JP" w:bidi="th-TH"/>
              </w:rPr>
              <w:t>7</w:t>
            </w:r>
            <w:r w:rsidRPr="009577DE">
              <w:rPr>
                <w:sz w:val="16"/>
                <w:szCs w:val="16"/>
                <w:lang w:val="es-ES_tradnl" w:eastAsia="ja-JP" w:bidi="th-TH"/>
              </w:rPr>
              <w:t xml:space="preserve"> de febrero de 2012</w:t>
            </w:r>
          </w:p>
          <w:p w:rsidR="00B070BF" w:rsidRPr="009577DE" w:rsidRDefault="00B070BF" w:rsidP="00C33D4A">
            <w:pPr>
              <w:widowControl w:val="0"/>
              <w:autoSpaceDE w:val="0"/>
              <w:autoSpaceDN w:val="0"/>
              <w:adjustRightInd w:val="0"/>
              <w:spacing w:before="120" w:after="120"/>
              <w:rPr>
                <w:sz w:val="16"/>
                <w:szCs w:val="16"/>
                <w:lang w:val="es-ES_tradnl" w:eastAsia="ja-JP"/>
              </w:rPr>
            </w:pPr>
          </w:p>
        </w:tc>
        <w:tc>
          <w:tcPr>
            <w:tcW w:w="2552" w:type="dxa"/>
          </w:tcPr>
          <w:p w:rsidR="00B070BF" w:rsidRPr="009577DE" w:rsidRDefault="00B070BF" w:rsidP="00C33D4A">
            <w:pPr>
              <w:widowControl w:val="0"/>
              <w:autoSpaceDE w:val="0"/>
              <w:autoSpaceDN w:val="0"/>
              <w:adjustRightInd w:val="0"/>
              <w:spacing w:before="120" w:after="120"/>
              <w:rPr>
                <w:sz w:val="16"/>
                <w:szCs w:val="16"/>
                <w:lang w:val="es-ES_tradnl" w:eastAsia="ja-JP" w:bidi="th-TH"/>
              </w:rPr>
            </w:pPr>
            <w:r w:rsidRPr="009577DE">
              <w:rPr>
                <w:sz w:val="16"/>
                <w:szCs w:val="16"/>
                <w:lang w:val="es-ES_tradnl" w:eastAsia="ja-JP" w:bidi="th-TH"/>
              </w:rPr>
              <w:t>Japón</w:t>
            </w:r>
          </w:p>
          <w:p w:rsidR="00B070BF" w:rsidRPr="009577DE" w:rsidRDefault="00B070BF" w:rsidP="00C33D4A">
            <w:pPr>
              <w:widowControl w:val="0"/>
              <w:autoSpaceDE w:val="0"/>
              <w:autoSpaceDN w:val="0"/>
              <w:adjustRightInd w:val="0"/>
              <w:spacing w:before="120" w:after="120"/>
              <w:rPr>
                <w:sz w:val="16"/>
                <w:szCs w:val="16"/>
                <w:lang w:val="es-ES_tradnl" w:eastAsia="ja-JP" w:bidi="th-TH"/>
              </w:rPr>
            </w:pPr>
          </w:p>
          <w:p w:rsidR="00B070BF" w:rsidRPr="009577DE" w:rsidRDefault="00B070BF" w:rsidP="00C33D4A">
            <w:pPr>
              <w:widowControl w:val="0"/>
              <w:autoSpaceDE w:val="0"/>
              <w:autoSpaceDN w:val="0"/>
              <w:adjustRightInd w:val="0"/>
              <w:spacing w:before="120" w:after="120"/>
              <w:rPr>
                <w:sz w:val="16"/>
                <w:szCs w:val="16"/>
                <w:lang w:val="es-ES_tradnl" w:eastAsia="ja-JP" w:bidi="th-TH"/>
              </w:rPr>
            </w:pPr>
          </w:p>
          <w:p w:rsidR="00B070BF" w:rsidRPr="009577DE" w:rsidRDefault="00B070BF" w:rsidP="00C33D4A">
            <w:pPr>
              <w:widowControl w:val="0"/>
              <w:autoSpaceDE w:val="0"/>
              <w:autoSpaceDN w:val="0"/>
              <w:adjustRightInd w:val="0"/>
              <w:spacing w:before="120" w:after="120"/>
              <w:rPr>
                <w:sz w:val="16"/>
                <w:szCs w:val="16"/>
                <w:lang w:val="es-ES_tradnl" w:eastAsia="ja-JP" w:bidi="th-TH"/>
              </w:rPr>
            </w:pPr>
          </w:p>
        </w:tc>
        <w:tc>
          <w:tcPr>
            <w:tcW w:w="3543" w:type="dxa"/>
          </w:tcPr>
          <w:p w:rsidR="00B070BF" w:rsidRPr="009577DE" w:rsidRDefault="00B070BF" w:rsidP="00C33D4A">
            <w:pPr>
              <w:widowControl w:val="0"/>
              <w:autoSpaceDE w:val="0"/>
              <w:autoSpaceDN w:val="0"/>
              <w:adjustRightInd w:val="0"/>
              <w:spacing w:before="120" w:after="120"/>
              <w:rPr>
                <w:sz w:val="16"/>
                <w:szCs w:val="16"/>
                <w:lang w:val="es-ES_tradnl" w:eastAsia="ja-JP" w:bidi="th-TH"/>
              </w:rPr>
            </w:pPr>
            <w:r w:rsidRPr="009577DE">
              <w:rPr>
                <w:sz w:val="16"/>
                <w:szCs w:val="16"/>
                <w:lang w:val="es-ES_tradnl" w:eastAsia="ja-JP" w:bidi="th-TH"/>
              </w:rPr>
              <w:t xml:space="preserve">i) Dar a los altos directivos de las oficinas de P.I. y los funcionarios gubernamentales encargados de la adopción de políticas económicas y comerciales la oportunidad de mejorar su comprensión del papel que desempeña el </w:t>
            </w:r>
            <w:r w:rsidRPr="009577DE">
              <w:rPr>
                <w:snapToGrid w:val="0"/>
                <w:sz w:val="16"/>
                <w:szCs w:val="16"/>
                <w:lang w:val="es-ES_tradnl" w:eastAsia="ja-JP" w:bidi="th-TH"/>
              </w:rPr>
              <w:t>sistema de P.I. en la promoción y la innovación en pos del crecimiento económico y la competitividad de las empresas</w:t>
            </w:r>
            <w:r w:rsidRPr="009577DE">
              <w:rPr>
                <w:sz w:val="16"/>
                <w:szCs w:val="16"/>
                <w:lang w:val="es-ES_tradnl" w:eastAsia="ja-JP" w:bidi="th-TH"/>
              </w:rPr>
              <w:t>;  ii) compartir experiencias en cuanto a la creación de una política y estrategia nacionales de P.I. que guarden coherencia con las políticas generales económicas y comerciales y contribuyan a ellas;  y iii) intercambiar opiniones sobre el papel que desempeñan las oficinas de P.I. en el logro de las políticas y las metas nacionales en materia de desarrollo.</w:t>
            </w:r>
          </w:p>
        </w:tc>
      </w:tr>
      <w:tr w:rsidR="00B070BF" w:rsidRPr="009577DE" w:rsidTr="00C33D4A">
        <w:trPr>
          <w:cantSplit/>
        </w:trPr>
        <w:tc>
          <w:tcPr>
            <w:tcW w:w="9075" w:type="dxa"/>
            <w:gridSpan w:val="4"/>
            <w:tcBorders>
              <w:top w:val="single" w:sz="4" w:space="0" w:color="000000"/>
              <w:bottom w:val="single" w:sz="4" w:space="0" w:color="000000"/>
            </w:tcBorders>
            <w:shd w:val="clear" w:color="auto" w:fill="CCFFFF"/>
            <w:vAlign w:val="center"/>
          </w:tcPr>
          <w:p w:rsidR="00B070BF" w:rsidRPr="009577DE" w:rsidRDefault="00B070BF" w:rsidP="00C33D4A">
            <w:pPr>
              <w:keepNext/>
              <w:widowControl w:val="0"/>
              <w:tabs>
                <w:tab w:val="left" w:pos="1740"/>
              </w:tabs>
              <w:spacing w:before="120" w:after="120"/>
              <w:ind w:left="1740" w:hanging="1740"/>
              <w:rPr>
                <w:bCs/>
                <w:sz w:val="16"/>
                <w:szCs w:val="16"/>
                <w:lang w:val="es-ES_tradnl"/>
              </w:rPr>
            </w:pPr>
            <w:r w:rsidRPr="009577DE">
              <w:rPr>
                <w:b/>
                <w:bCs/>
                <w:sz w:val="16"/>
                <w:szCs w:val="16"/>
                <w:lang w:val="es-ES_tradnl"/>
              </w:rPr>
              <w:lastRenderedPageBreak/>
              <w:t>RESULTADO:</w:t>
            </w:r>
            <w:r w:rsidRPr="009577DE">
              <w:rPr>
                <w:b/>
                <w:bCs/>
                <w:sz w:val="16"/>
                <w:szCs w:val="16"/>
                <w:lang w:val="es-ES_tradnl"/>
              </w:rPr>
              <w:tab/>
            </w:r>
            <w:r w:rsidRPr="009577DE">
              <w:rPr>
                <w:bCs/>
                <w:sz w:val="16"/>
                <w:szCs w:val="16"/>
                <w:lang w:val="es-ES_tradnl"/>
              </w:rPr>
              <w:t>Mejora en la infraestructura técnica y de conocimientos de las oficinas y demás instituciones de P.I. que les permite prestar mejores servicios</w:t>
            </w:r>
          </w:p>
        </w:tc>
      </w:tr>
      <w:tr w:rsidR="00B070BF" w:rsidRPr="009577DE" w:rsidTr="00C33D4A">
        <w:trPr>
          <w:cantSplit/>
        </w:trPr>
        <w:tc>
          <w:tcPr>
            <w:tcW w:w="1843" w:type="dxa"/>
            <w:tcBorders>
              <w:top w:val="single" w:sz="4" w:space="0" w:color="000000"/>
            </w:tcBorders>
            <w:vAlign w:val="center"/>
          </w:tcPr>
          <w:p w:rsidR="00B070BF" w:rsidRPr="009577DE" w:rsidRDefault="00B070BF" w:rsidP="00C33D4A">
            <w:pPr>
              <w:keepNext/>
              <w:widowControl w:val="0"/>
              <w:rPr>
                <w:b/>
                <w:bCs/>
                <w:sz w:val="16"/>
                <w:szCs w:val="16"/>
                <w:lang w:val="es-ES_tradnl"/>
              </w:rPr>
            </w:pPr>
            <w:r w:rsidRPr="009577DE">
              <w:rPr>
                <w:b/>
                <w:bCs/>
                <w:sz w:val="16"/>
                <w:szCs w:val="16"/>
                <w:lang w:val="es-ES_tradnl"/>
              </w:rPr>
              <w:t>Actividad</w:t>
            </w:r>
          </w:p>
        </w:tc>
        <w:tc>
          <w:tcPr>
            <w:tcW w:w="1137" w:type="dxa"/>
            <w:tcBorders>
              <w:top w:val="single" w:sz="4" w:space="0" w:color="000000"/>
            </w:tcBorders>
            <w:shd w:val="clear" w:color="auto" w:fill="auto"/>
            <w:tcMar>
              <w:top w:w="110" w:type="dxa"/>
            </w:tcMar>
            <w:vAlign w:val="center"/>
          </w:tcPr>
          <w:p w:rsidR="00B070BF" w:rsidRPr="009577DE" w:rsidRDefault="00B070BF" w:rsidP="00C33D4A">
            <w:pPr>
              <w:keepNext/>
              <w:widowControl w:val="0"/>
              <w:rPr>
                <w:sz w:val="16"/>
                <w:szCs w:val="16"/>
                <w:lang w:val="es-ES_tradnl"/>
              </w:rPr>
            </w:pPr>
            <w:r w:rsidRPr="009577DE">
              <w:rPr>
                <w:b/>
                <w:bCs/>
                <w:sz w:val="16"/>
                <w:szCs w:val="16"/>
                <w:lang w:val="es-ES_tradnl"/>
              </w:rPr>
              <w:t>Fecha</w:t>
            </w:r>
          </w:p>
        </w:tc>
        <w:tc>
          <w:tcPr>
            <w:tcW w:w="2552" w:type="dxa"/>
            <w:tcBorders>
              <w:top w:val="single" w:sz="4" w:space="0" w:color="000000"/>
            </w:tcBorders>
            <w:shd w:val="clear" w:color="auto" w:fill="auto"/>
            <w:tcMar>
              <w:top w:w="110" w:type="dxa"/>
            </w:tcMar>
            <w:vAlign w:val="center"/>
          </w:tcPr>
          <w:p w:rsidR="00B070BF" w:rsidRPr="009577DE" w:rsidRDefault="00B070BF" w:rsidP="00C33D4A">
            <w:pPr>
              <w:keepNext/>
              <w:widowControl w:val="0"/>
              <w:rPr>
                <w:sz w:val="16"/>
                <w:szCs w:val="16"/>
                <w:lang w:val="es-ES_tradnl"/>
              </w:rPr>
            </w:pPr>
            <w:r w:rsidRPr="009577DE">
              <w:rPr>
                <w:b/>
                <w:bCs/>
                <w:sz w:val="16"/>
                <w:szCs w:val="16"/>
                <w:lang w:val="es-ES_tradnl"/>
              </w:rPr>
              <w:t>País anfitrión/Beneficiarios</w:t>
            </w:r>
          </w:p>
        </w:tc>
        <w:tc>
          <w:tcPr>
            <w:tcW w:w="3543" w:type="dxa"/>
            <w:tcBorders>
              <w:top w:val="single" w:sz="4" w:space="0" w:color="000000"/>
            </w:tcBorders>
            <w:shd w:val="clear" w:color="auto" w:fill="FFFFFF"/>
            <w:tcMar>
              <w:top w:w="110" w:type="dxa"/>
            </w:tcMar>
            <w:vAlign w:val="center"/>
          </w:tcPr>
          <w:p w:rsidR="00B070BF" w:rsidRPr="009577DE" w:rsidRDefault="00B070BF" w:rsidP="00C33D4A">
            <w:pPr>
              <w:keepNext/>
              <w:widowControl w:val="0"/>
              <w:rPr>
                <w:sz w:val="16"/>
                <w:szCs w:val="16"/>
                <w:lang w:val="es-ES_tradnl"/>
              </w:rPr>
            </w:pPr>
            <w:r w:rsidRPr="009577DE">
              <w:rPr>
                <w:b/>
                <w:bCs/>
                <w:sz w:val="16"/>
                <w:szCs w:val="16"/>
                <w:lang w:val="es-ES_tradnl"/>
              </w:rPr>
              <w:t>Propósito/Descripción</w:t>
            </w:r>
          </w:p>
        </w:tc>
      </w:tr>
      <w:tr w:rsidR="00B070BF" w:rsidRPr="009577DE" w:rsidTr="00C33D4A">
        <w:trPr>
          <w:cantSplit/>
        </w:trPr>
        <w:tc>
          <w:tcPr>
            <w:tcW w:w="1843" w:type="dxa"/>
          </w:tcPr>
          <w:p w:rsidR="00B070BF" w:rsidRPr="009577DE" w:rsidRDefault="00B070BF" w:rsidP="00C33D4A">
            <w:pPr>
              <w:widowControl w:val="0"/>
              <w:autoSpaceDE w:val="0"/>
              <w:autoSpaceDN w:val="0"/>
              <w:adjustRightInd w:val="0"/>
              <w:spacing w:before="120" w:after="120"/>
              <w:rPr>
                <w:sz w:val="16"/>
                <w:szCs w:val="16"/>
                <w:lang w:val="es-ES_tradnl" w:eastAsia="ja-JP" w:bidi="th-TH"/>
              </w:rPr>
            </w:pPr>
            <w:r w:rsidRPr="009577DE">
              <w:rPr>
                <w:sz w:val="16"/>
                <w:szCs w:val="16"/>
                <w:lang w:val="es-ES_tradnl" w:eastAsia="ja-JP" w:bidi="th-TH"/>
              </w:rPr>
              <w:t>Taller subregional OMPI ASEAN sobre el establecimiento de una infraestructura de tecnologías de la información para la utilización eficaz de los resultados del examen de patentes de otras oficinas de P.I.</w:t>
            </w:r>
          </w:p>
        </w:tc>
        <w:tc>
          <w:tcPr>
            <w:tcW w:w="1137" w:type="dxa"/>
          </w:tcPr>
          <w:p w:rsidR="00B070BF" w:rsidRPr="009577DE" w:rsidRDefault="00B070BF" w:rsidP="00C33D4A">
            <w:pPr>
              <w:widowControl w:val="0"/>
              <w:autoSpaceDE w:val="0"/>
              <w:autoSpaceDN w:val="0"/>
              <w:adjustRightInd w:val="0"/>
              <w:spacing w:before="120" w:after="120"/>
              <w:rPr>
                <w:sz w:val="16"/>
                <w:szCs w:val="16"/>
                <w:lang w:val="es-ES_tradnl" w:eastAsia="ja-JP" w:bidi="th-TH"/>
              </w:rPr>
            </w:pPr>
            <w:r w:rsidRPr="009577DE">
              <w:rPr>
                <w:sz w:val="16"/>
                <w:szCs w:val="16"/>
                <w:lang w:val="es-ES_tradnl" w:eastAsia="ja-JP" w:bidi="th-TH"/>
              </w:rPr>
              <w:t>8 y 9 de septiembre de 2012</w:t>
            </w:r>
          </w:p>
        </w:tc>
        <w:tc>
          <w:tcPr>
            <w:tcW w:w="2552" w:type="dxa"/>
          </w:tcPr>
          <w:p w:rsidR="00B070BF" w:rsidRPr="009577DE" w:rsidRDefault="00B070BF" w:rsidP="00C33D4A">
            <w:pPr>
              <w:widowControl w:val="0"/>
              <w:autoSpaceDE w:val="0"/>
              <w:autoSpaceDN w:val="0"/>
              <w:adjustRightInd w:val="0"/>
              <w:spacing w:before="120" w:after="120"/>
              <w:rPr>
                <w:sz w:val="16"/>
                <w:szCs w:val="16"/>
                <w:lang w:val="es-ES_tradnl" w:eastAsia="ja-JP" w:bidi="th-TH"/>
              </w:rPr>
            </w:pPr>
            <w:r w:rsidRPr="009577DE">
              <w:rPr>
                <w:sz w:val="16"/>
                <w:szCs w:val="16"/>
                <w:lang w:val="es-ES_tradnl" w:eastAsia="ja-JP" w:bidi="th-TH"/>
              </w:rPr>
              <w:t>Japón</w:t>
            </w:r>
          </w:p>
        </w:tc>
        <w:tc>
          <w:tcPr>
            <w:tcW w:w="3543" w:type="dxa"/>
          </w:tcPr>
          <w:p w:rsidR="00B070BF" w:rsidRPr="009577DE" w:rsidRDefault="00B070BF" w:rsidP="00C33D4A">
            <w:pPr>
              <w:widowControl w:val="0"/>
              <w:autoSpaceDE w:val="0"/>
              <w:autoSpaceDN w:val="0"/>
              <w:adjustRightInd w:val="0"/>
              <w:spacing w:before="120" w:after="120"/>
              <w:rPr>
                <w:sz w:val="16"/>
                <w:szCs w:val="16"/>
                <w:lang w:val="es-ES_tradnl" w:eastAsia="ja-JP" w:bidi="th-TH"/>
              </w:rPr>
            </w:pPr>
            <w:r w:rsidRPr="009577DE">
              <w:rPr>
                <w:sz w:val="16"/>
                <w:szCs w:val="16"/>
                <w:lang w:val="es-ES_tradnl" w:eastAsia="ja-JP" w:bidi="th-TH"/>
              </w:rPr>
              <w:t xml:space="preserve">i) Dar la oportunidad de intercambiar información sobre los desafíos y las prácticas óptimas relativos a la utilización eficaz de la información sobre el examen de patentes realizado por otras oficinas de P.I.;  ii) estudiar y examinar las maneras de crear una plataforma destinada a facilitar el acceso a esa información, en particular, en relación con los </w:t>
            </w:r>
            <w:r w:rsidRPr="009577DE">
              <w:rPr>
                <w:snapToGrid w:val="0"/>
                <w:sz w:val="16"/>
                <w:szCs w:val="16"/>
                <w:lang w:val="es-ES_tradnl" w:eastAsia="ja-JP" w:bidi="th-TH"/>
              </w:rPr>
              <w:t>proyectos internacionales en curso</w:t>
            </w:r>
            <w:r w:rsidRPr="009577DE">
              <w:rPr>
                <w:sz w:val="16"/>
                <w:szCs w:val="16"/>
                <w:lang w:val="es-ES_tradnl" w:eastAsia="ja-JP" w:bidi="th-TH"/>
              </w:rPr>
              <w:t>;  y iii) mejorar la comprensión de las tecnologías de la información aplicadas al desarrollo de una plataforma de cooperación regional e internacional en el examen de patentes.</w:t>
            </w:r>
          </w:p>
        </w:tc>
      </w:tr>
      <w:tr w:rsidR="00B070BF" w:rsidRPr="009577DE" w:rsidTr="00C33D4A">
        <w:trPr>
          <w:cantSplit/>
        </w:trPr>
        <w:tc>
          <w:tcPr>
            <w:tcW w:w="9075" w:type="dxa"/>
            <w:gridSpan w:val="4"/>
            <w:tcBorders>
              <w:top w:val="single" w:sz="4" w:space="0" w:color="000000"/>
              <w:bottom w:val="single" w:sz="4" w:space="0" w:color="auto"/>
            </w:tcBorders>
            <w:shd w:val="clear" w:color="auto" w:fill="CCFFFF"/>
            <w:vAlign w:val="center"/>
          </w:tcPr>
          <w:p w:rsidR="00B070BF" w:rsidRPr="009577DE" w:rsidRDefault="00B070BF" w:rsidP="00C33D4A">
            <w:pPr>
              <w:widowControl w:val="0"/>
              <w:tabs>
                <w:tab w:val="left" w:pos="1740"/>
              </w:tabs>
              <w:spacing w:before="120" w:after="120"/>
              <w:ind w:left="1740" w:hanging="1740"/>
              <w:rPr>
                <w:bCs/>
                <w:sz w:val="16"/>
                <w:szCs w:val="16"/>
                <w:lang w:val="es-ES_tradnl"/>
              </w:rPr>
            </w:pPr>
            <w:r w:rsidRPr="009577DE">
              <w:rPr>
                <w:b/>
                <w:bCs/>
                <w:sz w:val="16"/>
                <w:szCs w:val="16"/>
                <w:lang w:val="es-ES_tradnl"/>
              </w:rPr>
              <w:t>RESULTADO:</w:t>
            </w:r>
            <w:r w:rsidRPr="009577DE">
              <w:rPr>
                <w:b/>
                <w:bCs/>
                <w:sz w:val="16"/>
                <w:szCs w:val="16"/>
                <w:lang w:val="es-ES_tradnl"/>
              </w:rPr>
              <w:tab/>
            </w:r>
            <w:r w:rsidRPr="009577DE">
              <w:rPr>
                <w:bCs/>
                <w:sz w:val="16"/>
                <w:szCs w:val="16"/>
                <w:lang w:val="es-ES_tradnl"/>
              </w:rPr>
              <w:t>Mejora de las capacidades en el ámbito de los recursos humanos para hacer frente al amplio espectro de exigencias que supone la utilización de la P.I. en aras del desarrollo</w:t>
            </w:r>
          </w:p>
        </w:tc>
      </w:tr>
      <w:tr w:rsidR="00B070BF" w:rsidRPr="009577DE" w:rsidTr="00C33D4A">
        <w:trPr>
          <w:cantSplit/>
        </w:trPr>
        <w:tc>
          <w:tcPr>
            <w:tcW w:w="1843" w:type="dxa"/>
            <w:tcBorders>
              <w:top w:val="single" w:sz="4" w:space="0" w:color="auto"/>
              <w:left w:val="single" w:sz="4" w:space="0" w:color="auto"/>
              <w:bottom w:val="nil"/>
            </w:tcBorders>
            <w:vAlign w:val="center"/>
          </w:tcPr>
          <w:p w:rsidR="00B070BF" w:rsidRPr="009577DE" w:rsidRDefault="00B070BF" w:rsidP="00C33D4A">
            <w:pPr>
              <w:widowControl w:val="0"/>
              <w:rPr>
                <w:b/>
                <w:bCs/>
                <w:sz w:val="16"/>
                <w:szCs w:val="16"/>
                <w:lang w:val="es-ES_tradnl"/>
              </w:rPr>
            </w:pPr>
            <w:r w:rsidRPr="009577DE">
              <w:rPr>
                <w:b/>
                <w:bCs/>
                <w:sz w:val="16"/>
                <w:szCs w:val="16"/>
                <w:lang w:val="es-ES_tradnl"/>
              </w:rPr>
              <w:t>Actividad</w:t>
            </w:r>
          </w:p>
        </w:tc>
        <w:tc>
          <w:tcPr>
            <w:tcW w:w="1137" w:type="dxa"/>
            <w:tcBorders>
              <w:top w:val="single" w:sz="4" w:space="0" w:color="auto"/>
              <w:bottom w:val="nil"/>
            </w:tcBorders>
            <w:shd w:val="clear" w:color="auto" w:fill="auto"/>
            <w:tcMar>
              <w:top w:w="110" w:type="dxa"/>
            </w:tcMar>
            <w:vAlign w:val="center"/>
          </w:tcPr>
          <w:p w:rsidR="00B070BF" w:rsidRPr="009577DE" w:rsidRDefault="00B070BF" w:rsidP="00C33D4A">
            <w:pPr>
              <w:widowControl w:val="0"/>
              <w:rPr>
                <w:sz w:val="16"/>
                <w:szCs w:val="16"/>
                <w:lang w:val="es-ES_tradnl"/>
              </w:rPr>
            </w:pPr>
            <w:r w:rsidRPr="009577DE">
              <w:rPr>
                <w:b/>
                <w:bCs/>
                <w:sz w:val="16"/>
                <w:szCs w:val="16"/>
                <w:lang w:val="es-ES_tradnl"/>
              </w:rPr>
              <w:t>Fecha</w:t>
            </w:r>
          </w:p>
        </w:tc>
        <w:tc>
          <w:tcPr>
            <w:tcW w:w="2552" w:type="dxa"/>
            <w:tcBorders>
              <w:top w:val="single" w:sz="4" w:space="0" w:color="auto"/>
              <w:bottom w:val="nil"/>
            </w:tcBorders>
            <w:shd w:val="clear" w:color="auto" w:fill="auto"/>
            <w:tcMar>
              <w:top w:w="110" w:type="dxa"/>
            </w:tcMar>
            <w:vAlign w:val="center"/>
          </w:tcPr>
          <w:p w:rsidR="00B070BF" w:rsidRPr="009577DE" w:rsidRDefault="00B070BF" w:rsidP="00C33D4A">
            <w:pPr>
              <w:widowControl w:val="0"/>
              <w:rPr>
                <w:sz w:val="16"/>
                <w:szCs w:val="16"/>
                <w:lang w:val="es-ES_tradnl"/>
              </w:rPr>
            </w:pPr>
            <w:r w:rsidRPr="009577DE">
              <w:rPr>
                <w:b/>
                <w:bCs/>
                <w:sz w:val="16"/>
                <w:szCs w:val="16"/>
                <w:lang w:val="es-ES_tradnl"/>
              </w:rPr>
              <w:t>País anfitrión/Beneficiarios</w:t>
            </w:r>
          </w:p>
        </w:tc>
        <w:tc>
          <w:tcPr>
            <w:tcW w:w="3543" w:type="dxa"/>
            <w:tcBorders>
              <w:top w:val="single" w:sz="4" w:space="0" w:color="auto"/>
              <w:bottom w:val="nil"/>
              <w:right w:val="single" w:sz="4" w:space="0" w:color="auto"/>
            </w:tcBorders>
            <w:shd w:val="clear" w:color="auto" w:fill="FFFFFF"/>
            <w:tcMar>
              <w:top w:w="110" w:type="dxa"/>
            </w:tcMar>
            <w:vAlign w:val="center"/>
          </w:tcPr>
          <w:p w:rsidR="00B070BF" w:rsidRPr="009577DE" w:rsidRDefault="00B070BF" w:rsidP="00C33D4A">
            <w:pPr>
              <w:widowControl w:val="0"/>
              <w:rPr>
                <w:sz w:val="16"/>
                <w:szCs w:val="16"/>
                <w:lang w:val="es-ES_tradnl"/>
              </w:rPr>
            </w:pPr>
            <w:r w:rsidRPr="009577DE">
              <w:rPr>
                <w:b/>
                <w:bCs/>
                <w:sz w:val="16"/>
                <w:szCs w:val="16"/>
                <w:lang w:val="es-ES_tradnl"/>
              </w:rPr>
              <w:t>Propósito/Descripción</w:t>
            </w:r>
          </w:p>
        </w:tc>
      </w:tr>
      <w:tr w:rsidR="00B070BF" w:rsidRPr="009577DE" w:rsidTr="00C33D4A">
        <w:trPr>
          <w:cantSplit/>
          <w:trHeight w:val="1043"/>
        </w:trPr>
        <w:tc>
          <w:tcPr>
            <w:tcW w:w="1843" w:type="dxa"/>
            <w:tcBorders>
              <w:top w:val="nil"/>
              <w:left w:val="single" w:sz="4" w:space="0" w:color="auto"/>
              <w:bottom w:val="nil"/>
            </w:tcBorders>
          </w:tcPr>
          <w:p w:rsidR="00B070BF" w:rsidRPr="009577DE" w:rsidRDefault="00B070BF" w:rsidP="00C33D4A">
            <w:pPr>
              <w:widowControl w:val="0"/>
              <w:autoSpaceDE w:val="0"/>
              <w:autoSpaceDN w:val="0"/>
              <w:adjustRightInd w:val="0"/>
              <w:spacing w:before="120" w:after="120"/>
              <w:rPr>
                <w:sz w:val="16"/>
                <w:szCs w:val="16"/>
                <w:lang w:val="es-ES_tradnl"/>
              </w:rPr>
            </w:pPr>
            <w:r w:rsidRPr="009577DE">
              <w:rPr>
                <w:sz w:val="16"/>
                <w:szCs w:val="16"/>
                <w:lang w:val="es-ES_tradnl" w:eastAsia="ja-JP"/>
              </w:rPr>
              <w:t>Curso de formación sobre prácticas de examen del Programa Básico de Propiedad Industrial.</w:t>
            </w:r>
          </w:p>
        </w:tc>
        <w:tc>
          <w:tcPr>
            <w:tcW w:w="1137" w:type="dxa"/>
            <w:tcBorders>
              <w:top w:val="nil"/>
              <w:bottom w:val="nil"/>
            </w:tcBorders>
          </w:tcPr>
          <w:p w:rsidR="00B070BF" w:rsidRPr="009577DE" w:rsidRDefault="00B070BF" w:rsidP="00C33D4A">
            <w:pPr>
              <w:widowControl w:val="0"/>
              <w:autoSpaceDE w:val="0"/>
              <w:autoSpaceDN w:val="0"/>
              <w:adjustRightInd w:val="0"/>
              <w:spacing w:before="120" w:after="120"/>
              <w:rPr>
                <w:sz w:val="16"/>
                <w:szCs w:val="16"/>
                <w:lang w:val="es-ES_tradnl" w:eastAsia="ja-JP" w:bidi="th-TH"/>
              </w:rPr>
            </w:pPr>
            <w:r w:rsidRPr="009577DE">
              <w:rPr>
                <w:sz w:val="16"/>
                <w:szCs w:val="16"/>
                <w:lang w:val="es-ES_tradnl" w:eastAsia="ja-JP" w:bidi="th-TH"/>
              </w:rPr>
              <w:t>18 a 31 de enero de 2012</w:t>
            </w:r>
          </w:p>
          <w:p w:rsidR="00B070BF" w:rsidRPr="009577DE" w:rsidRDefault="00B070BF" w:rsidP="00C33D4A">
            <w:pPr>
              <w:widowControl w:val="0"/>
              <w:autoSpaceDE w:val="0"/>
              <w:autoSpaceDN w:val="0"/>
              <w:adjustRightInd w:val="0"/>
              <w:spacing w:before="120" w:after="120"/>
              <w:rPr>
                <w:sz w:val="16"/>
                <w:szCs w:val="16"/>
                <w:lang w:val="es-ES_tradnl" w:eastAsia="ja-JP" w:bidi="th-TH"/>
              </w:rPr>
            </w:pPr>
          </w:p>
        </w:tc>
        <w:tc>
          <w:tcPr>
            <w:tcW w:w="2552" w:type="dxa"/>
            <w:tcBorders>
              <w:top w:val="nil"/>
              <w:bottom w:val="nil"/>
            </w:tcBorders>
          </w:tcPr>
          <w:p w:rsidR="00B070BF" w:rsidRPr="009577DE" w:rsidRDefault="00B070BF" w:rsidP="00C33D4A">
            <w:pPr>
              <w:widowControl w:val="0"/>
              <w:autoSpaceDE w:val="0"/>
              <w:autoSpaceDN w:val="0"/>
              <w:adjustRightInd w:val="0"/>
              <w:spacing w:before="120" w:after="120"/>
              <w:rPr>
                <w:sz w:val="16"/>
                <w:szCs w:val="16"/>
                <w:lang w:val="es-ES_tradnl" w:eastAsia="ja-JP" w:bidi="th-TH"/>
              </w:rPr>
            </w:pPr>
            <w:r w:rsidRPr="009577DE">
              <w:rPr>
                <w:sz w:val="16"/>
                <w:szCs w:val="16"/>
                <w:lang w:val="es-ES_tradnl" w:eastAsia="ja-JP" w:bidi="th-TH"/>
              </w:rPr>
              <w:t>Japón</w:t>
            </w:r>
          </w:p>
          <w:p w:rsidR="00B070BF" w:rsidRPr="009577DE" w:rsidRDefault="00B070BF" w:rsidP="00C33D4A">
            <w:pPr>
              <w:widowControl w:val="0"/>
              <w:autoSpaceDE w:val="0"/>
              <w:autoSpaceDN w:val="0"/>
              <w:adjustRightInd w:val="0"/>
              <w:spacing w:before="120" w:after="120"/>
              <w:rPr>
                <w:sz w:val="16"/>
                <w:szCs w:val="16"/>
                <w:lang w:val="es-ES_tradnl" w:eastAsia="ja-JP" w:bidi="th-TH"/>
              </w:rPr>
            </w:pPr>
          </w:p>
          <w:p w:rsidR="00B070BF" w:rsidRPr="009577DE" w:rsidRDefault="00B070BF" w:rsidP="00C33D4A">
            <w:pPr>
              <w:widowControl w:val="0"/>
              <w:autoSpaceDE w:val="0"/>
              <w:autoSpaceDN w:val="0"/>
              <w:adjustRightInd w:val="0"/>
              <w:spacing w:before="120" w:after="120"/>
              <w:rPr>
                <w:sz w:val="16"/>
                <w:szCs w:val="16"/>
                <w:lang w:val="es-ES_tradnl" w:eastAsia="ja-JP" w:bidi="th-TH"/>
              </w:rPr>
            </w:pPr>
          </w:p>
        </w:tc>
        <w:tc>
          <w:tcPr>
            <w:tcW w:w="3543" w:type="dxa"/>
            <w:tcBorders>
              <w:top w:val="nil"/>
              <w:bottom w:val="nil"/>
              <w:right w:val="single" w:sz="4" w:space="0" w:color="auto"/>
            </w:tcBorders>
          </w:tcPr>
          <w:p w:rsidR="00B070BF" w:rsidRPr="009577DE" w:rsidRDefault="00B070BF" w:rsidP="00C33D4A">
            <w:pPr>
              <w:widowControl w:val="0"/>
              <w:autoSpaceDE w:val="0"/>
              <w:autoSpaceDN w:val="0"/>
              <w:adjustRightInd w:val="0"/>
              <w:spacing w:before="120" w:after="120"/>
              <w:rPr>
                <w:sz w:val="16"/>
                <w:szCs w:val="16"/>
                <w:lang w:val="es-ES_tradnl" w:eastAsia="ja-JP" w:bidi="th-TH"/>
              </w:rPr>
            </w:pPr>
            <w:r w:rsidRPr="009577DE">
              <w:rPr>
                <w:sz w:val="16"/>
                <w:szCs w:val="16"/>
                <w:lang w:val="es-ES_tradnl" w:eastAsia="ja-JP" w:bidi="th-TH"/>
              </w:rPr>
              <w:t>Ayudar a los participantes a adquirir conocimientos básicos sobre el derecho y los procedimientos de examen de fondo en la esfera del examen de los derechos de propiedad industrial a través de ponencias, prácticas y estudios de casos.</w:t>
            </w:r>
          </w:p>
        </w:tc>
      </w:tr>
      <w:tr w:rsidR="00B070BF" w:rsidRPr="009577DE" w:rsidTr="00C33D4A">
        <w:trPr>
          <w:cantSplit/>
          <w:trHeight w:val="1794"/>
        </w:trPr>
        <w:tc>
          <w:tcPr>
            <w:tcW w:w="1843" w:type="dxa"/>
            <w:tcBorders>
              <w:top w:val="nil"/>
              <w:left w:val="single" w:sz="4" w:space="0" w:color="auto"/>
              <w:bottom w:val="nil"/>
            </w:tcBorders>
          </w:tcPr>
          <w:p w:rsidR="00B070BF" w:rsidRPr="009577DE" w:rsidRDefault="00B070BF" w:rsidP="00C33D4A">
            <w:pPr>
              <w:widowControl w:val="0"/>
              <w:autoSpaceDE w:val="0"/>
              <w:autoSpaceDN w:val="0"/>
              <w:adjustRightInd w:val="0"/>
              <w:spacing w:before="120" w:after="120"/>
              <w:rPr>
                <w:sz w:val="16"/>
                <w:szCs w:val="16"/>
                <w:lang w:val="es-ES_tradnl" w:eastAsia="ja-JP"/>
              </w:rPr>
            </w:pPr>
            <w:r w:rsidRPr="009577DE">
              <w:rPr>
                <w:sz w:val="16"/>
                <w:szCs w:val="16"/>
                <w:lang w:val="es-ES_tradnl" w:eastAsia="ja-JP"/>
              </w:rPr>
              <w:t>Curso de formación sobre administración de la propiedad industrial y dirección de oficinas de P.I.</w:t>
            </w:r>
          </w:p>
          <w:p w:rsidR="00B070BF" w:rsidRPr="009577DE" w:rsidRDefault="00B070BF" w:rsidP="00C33D4A">
            <w:pPr>
              <w:widowControl w:val="0"/>
              <w:autoSpaceDE w:val="0"/>
              <w:autoSpaceDN w:val="0"/>
              <w:adjustRightInd w:val="0"/>
              <w:spacing w:before="120" w:after="120"/>
              <w:rPr>
                <w:sz w:val="16"/>
                <w:szCs w:val="16"/>
                <w:lang w:val="es-ES_tradnl" w:eastAsia="ja-JP"/>
              </w:rPr>
            </w:pPr>
          </w:p>
          <w:p w:rsidR="00B070BF" w:rsidRPr="009577DE" w:rsidRDefault="00B070BF" w:rsidP="00C33D4A">
            <w:pPr>
              <w:widowControl w:val="0"/>
              <w:autoSpaceDE w:val="0"/>
              <w:autoSpaceDN w:val="0"/>
              <w:adjustRightInd w:val="0"/>
              <w:spacing w:before="120" w:after="120"/>
              <w:rPr>
                <w:sz w:val="16"/>
                <w:szCs w:val="16"/>
                <w:lang w:val="es-ES_tradnl" w:eastAsia="ja-JP"/>
              </w:rPr>
            </w:pPr>
          </w:p>
        </w:tc>
        <w:tc>
          <w:tcPr>
            <w:tcW w:w="1137" w:type="dxa"/>
            <w:tcBorders>
              <w:top w:val="nil"/>
              <w:bottom w:val="nil"/>
            </w:tcBorders>
          </w:tcPr>
          <w:p w:rsidR="00B070BF" w:rsidRPr="009577DE" w:rsidRDefault="00B070BF" w:rsidP="00C33D4A">
            <w:pPr>
              <w:widowControl w:val="0"/>
              <w:autoSpaceDE w:val="0"/>
              <w:autoSpaceDN w:val="0"/>
              <w:adjustRightInd w:val="0"/>
              <w:spacing w:before="120" w:after="120"/>
              <w:rPr>
                <w:sz w:val="16"/>
                <w:szCs w:val="16"/>
                <w:lang w:val="es-ES_tradnl" w:eastAsia="ja-JP" w:bidi="th-TH"/>
              </w:rPr>
            </w:pPr>
            <w:r w:rsidRPr="009577DE">
              <w:rPr>
                <w:sz w:val="16"/>
                <w:szCs w:val="16"/>
                <w:lang w:val="es-ES_tradnl" w:eastAsia="ja-JP" w:bidi="th-TH"/>
              </w:rPr>
              <w:t>6 a 10 de febrero de 2012</w:t>
            </w:r>
          </w:p>
        </w:tc>
        <w:tc>
          <w:tcPr>
            <w:tcW w:w="2552" w:type="dxa"/>
            <w:tcBorders>
              <w:top w:val="nil"/>
              <w:bottom w:val="nil"/>
            </w:tcBorders>
          </w:tcPr>
          <w:p w:rsidR="00B070BF" w:rsidRPr="009577DE" w:rsidRDefault="00B070BF" w:rsidP="00C33D4A">
            <w:pPr>
              <w:widowControl w:val="0"/>
              <w:autoSpaceDE w:val="0"/>
              <w:autoSpaceDN w:val="0"/>
              <w:adjustRightInd w:val="0"/>
              <w:spacing w:before="120" w:after="120"/>
              <w:rPr>
                <w:sz w:val="16"/>
                <w:szCs w:val="16"/>
                <w:lang w:val="es-ES_tradnl" w:eastAsia="ja-JP" w:bidi="th-TH"/>
              </w:rPr>
            </w:pPr>
            <w:r w:rsidRPr="009577DE">
              <w:rPr>
                <w:sz w:val="16"/>
                <w:szCs w:val="16"/>
                <w:lang w:val="es-ES_tradnl" w:eastAsia="ja-JP" w:bidi="th-TH"/>
              </w:rPr>
              <w:t>Japón</w:t>
            </w:r>
          </w:p>
          <w:p w:rsidR="00B070BF" w:rsidRPr="009577DE" w:rsidRDefault="00B070BF" w:rsidP="00C33D4A">
            <w:pPr>
              <w:widowControl w:val="0"/>
              <w:autoSpaceDE w:val="0"/>
              <w:autoSpaceDN w:val="0"/>
              <w:adjustRightInd w:val="0"/>
              <w:spacing w:before="120" w:after="120"/>
              <w:rPr>
                <w:sz w:val="16"/>
                <w:szCs w:val="16"/>
                <w:lang w:val="es-ES_tradnl" w:eastAsia="ja-JP" w:bidi="th-TH"/>
              </w:rPr>
            </w:pPr>
          </w:p>
          <w:p w:rsidR="00B070BF" w:rsidRPr="009577DE" w:rsidRDefault="00B070BF" w:rsidP="00C33D4A">
            <w:pPr>
              <w:widowControl w:val="0"/>
              <w:autoSpaceDE w:val="0"/>
              <w:autoSpaceDN w:val="0"/>
              <w:adjustRightInd w:val="0"/>
              <w:spacing w:before="120" w:after="120"/>
              <w:rPr>
                <w:sz w:val="16"/>
                <w:szCs w:val="16"/>
                <w:lang w:val="es-ES_tradnl" w:eastAsia="ja-JP" w:bidi="th-TH"/>
              </w:rPr>
            </w:pPr>
          </w:p>
          <w:p w:rsidR="00B070BF" w:rsidRPr="009577DE" w:rsidRDefault="00B070BF" w:rsidP="00C33D4A">
            <w:pPr>
              <w:widowControl w:val="0"/>
              <w:autoSpaceDE w:val="0"/>
              <w:autoSpaceDN w:val="0"/>
              <w:adjustRightInd w:val="0"/>
              <w:spacing w:before="120" w:after="120"/>
              <w:rPr>
                <w:sz w:val="16"/>
                <w:szCs w:val="16"/>
                <w:lang w:val="es-ES_tradnl" w:eastAsia="ja-JP" w:bidi="th-TH"/>
              </w:rPr>
            </w:pPr>
          </w:p>
          <w:p w:rsidR="00B070BF" w:rsidRPr="009577DE" w:rsidRDefault="00B070BF" w:rsidP="00C33D4A">
            <w:pPr>
              <w:widowControl w:val="0"/>
              <w:autoSpaceDE w:val="0"/>
              <w:autoSpaceDN w:val="0"/>
              <w:adjustRightInd w:val="0"/>
              <w:spacing w:before="120" w:after="120"/>
              <w:rPr>
                <w:sz w:val="16"/>
                <w:szCs w:val="16"/>
                <w:lang w:val="es-ES_tradnl" w:eastAsia="ja-JP" w:bidi="th-TH"/>
              </w:rPr>
            </w:pPr>
          </w:p>
        </w:tc>
        <w:tc>
          <w:tcPr>
            <w:tcW w:w="3543" w:type="dxa"/>
            <w:tcBorders>
              <w:top w:val="nil"/>
              <w:bottom w:val="nil"/>
              <w:right w:val="single" w:sz="4" w:space="0" w:color="auto"/>
            </w:tcBorders>
          </w:tcPr>
          <w:p w:rsidR="00B070BF" w:rsidRPr="009577DE" w:rsidRDefault="00B070BF" w:rsidP="00C33D4A">
            <w:pPr>
              <w:widowControl w:val="0"/>
              <w:autoSpaceDE w:val="0"/>
              <w:autoSpaceDN w:val="0"/>
              <w:adjustRightInd w:val="0"/>
              <w:spacing w:before="120" w:after="120"/>
              <w:rPr>
                <w:sz w:val="16"/>
                <w:szCs w:val="16"/>
                <w:lang w:val="es-ES_tradnl" w:eastAsia="ja-JP" w:bidi="th-TH"/>
              </w:rPr>
            </w:pPr>
            <w:r w:rsidRPr="009577DE">
              <w:rPr>
                <w:sz w:val="16"/>
                <w:szCs w:val="16"/>
                <w:lang w:val="es-ES_tradnl" w:eastAsia="ja-JP" w:bidi="th-TH"/>
              </w:rPr>
              <w:t>i) Perfeccionar los conocimientos de los altos directivos de las oficinas de P.I. sobre las nuevas prácticas e instrumentos para la dirección de las oficinas de P.I.;  ii) mejorar la capacidad de los participantes para administrar con eficiencia el sistema de P.I. de acuerdo con las nuevas prácticas de dirección;  y iii) presentar a los participantes los métodos de dirección con los que las oficinas de P.I. pueden contribuir a las políticas y objetivos generales de desarrollo de un país.</w:t>
            </w:r>
          </w:p>
        </w:tc>
      </w:tr>
      <w:tr w:rsidR="00B070BF" w:rsidRPr="009577DE" w:rsidTr="00C33D4A">
        <w:trPr>
          <w:cantSplit/>
          <w:trHeight w:val="1806"/>
        </w:trPr>
        <w:tc>
          <w:tcPr>
            <w:tcW w:w="1843" w:type="dxa"/>
            <w:tcBorders>
              <w:top w:val="nil"/>
              <w:left w:val="single" w:sz="4" w:space="0" w:color="auto"/>
              <w:bottom w:val="nil"/>
            </w:tcBorders>
          </w:tcPr>
          <w:p w:rsidR="00B070BF" w:rsidRPr="009577DE" w:rsidRDefault="00B070BF" w:rsidP="00C33D4A">
            <w:pPr>
              <w:widowControl w:val="0"/>
              <w:autoSpaceDE w:val="0"/>
              <w:autoSpaceDN w:val="0"/>
              <w:adjustRightInd w:val="0"/>
              <w:spacing w:before="120" w:after="120"/>
              <w:rPr>
                <w:sz w:val="16"/>
                <w:szCs w:val="16"/>
                <w:lang w:val="es-ES_tradnl" w:eastAsia="ja-JP"/>
              </w:rPr>
            </w:pPr>
            <w:r w:rsidRPr="009577DE">
              <w:rPr>
                <w:sz w:val="16"/>
                <w:szCs w:val="16"/>
                <w:lang w:val="es-ES_tradnl" w:eastAsia="ja-JP"/>
              </w:rPr>
              <w:t>Curso de formación para examinadores de patentes sobre tecnologías específicas (artículos de óptica).</w:t>
            </w:r>
          </w:p>
          <w:p w:rsidR="00B070BF" w:rsidRPr="009577DE" w:rsidRDefault="00B070BF" w:rsidP="00C33D4A">
            <w:pPr>
              <w:widowControl w:val="0"/>
              <w:autoSpaceDE w:val="0"/>
              <w:autoSpaceDN w:val="0"/>
              <w:adjustRightInd w:val="0"/>
              <w:spacing w:before="120" w:after="120"/>
              <w:rPr>
                <w:sz w:val="16"/>
                <w:szCs w:val="16"/>
                <w:lang w:val="es-ES_tradnl" w:eastAsia="ja-JP"/>
              </w:rPr>
            </w:pPr>
          </w:p>
          <w:p w:rsidR="00B070BF" w:rsidRPr="009577DE" w:rsidRDefault="00B070BF" w:rsidP="00C33D4A">
            <w:pPr>
              <w:widowControl w:val="0"/>
              <w:autoSpaceDE w:val="0"/>
              <w:autoSpaceDN w:val="0"/>
              <w:adjustRightInd w:val="0"/>
              <w:spacing w:before="120" w:after="120"/>
              <w:rPr>
                <w:sz w:val="16"/>
                <w:szCs w:val="16"/>
                <w:lang w:val="es-ES_tradnl" w:eastAsia="ja-JP"/>
              </w:rPr>
            </w:pPr>
          </w:p>
        </w:tc>
        <w:tc>
          <w:tcPr>
            <w:tcW w:w="1137" w:type="dxa"/>
            <w:tcBorders>
              <w:top w:val="nil"/>
              <w:bottom w:val="nil"/>
            </w:tcBorders>
          </w:tcPr>
          <w:p w:rsidR="00B070BF" w:rsidRPr="009577DE" w:rsidRDefault="00B070BF" w:rsidP="00C33D4A">
            <w:pPr>
              <w:widowControl w:val="0"/>
              <w:autoSpaceDE w:val="0"/>
              <w:autoSpaceDN w:val="0"/>
              <w:adjustRightInd w:val="0"/>
              <w:spacing w:before="120" w:after="120"/>
              <w:rPr>
                <w:sz w:val="16"/>
                <w:szCs w:val="16"/>
                <w:lang w:val="es-ES_tradnl" w:eastAsia="ja-JP" w:bidi="th-TH"/>
              </w:rPr>
            </w:pPr>
            <w:r w:rsidRPr="009577DE">
              <w:rPr>
                <w:sz w:val="16"/>
                <w:szCs w:val="16"/>
                <w:lang w:val="es-ES_tradnl" w:eastAsia="ja-JP" w:bidi="th-TH"/>
              </w:rPr>
              <w:t>15 a 22 de febrero de 2012</w:t>
            </w:r>
          </w:p>
          <w:p w:rsidR="00B070BF" w:rsidRPr="009577DE" w:rsidRDefault="00B070BF" w:rsidP="00C33D4A">
            <w:pPr>
              <w:widowControl w:val="0"/>
              <w:autoSpaceDE w:val="0"/>
              <w:autoSpaceDN w:val="0"/>
              <w:adjustRightInd w:val="0"/>
              <w:spacing w:before="120" w:after="120"/>
              <w:rPr>
                <w:sz w:val="16"/>
                <w:szCs w:val="16"/>
                <w:lang w:val="es-ES_tradnl" w:eastAsia="ja-JP" w:bidi="th-TH"/>
              </w:rPr>
            </w:pPr>
          </w:p>
          <w:p w:rsidR="00B070BF" w:rsidRPr="009577DE" w:rsidRDefault="00B070BF" w:rsidP="00C33D4A">
            <w:pPr>
              <w:widowControl w:val="0"/>
              <w:autoSpaceDE w:val="0"/>
              <w:autoSpaceDN w:val="0"/>
              <w:adjustRightInd w:val="0"/>
              <w:spacing w:before="120" w:after="120"/>
              <w:rPr>
                <w:sz w:val="16"/>
                <w:szCs w:val="16"/>
                <w:lang w:val="es-ES_tradnl" w:eastAsia="ja-JP" w:bidi="th-TH"/>
              </w:rPr>
            </w:pPr>
          </w:p>
          <w:p w:rsidR="00B070BF" w:rsidRPr="009577DE" w:rsidRDefault="00B070BF" w:rsidP="00C33D4A">
            <w:pPr>
              <w:widowControl w:val="0"/>
              <w:autoSpaceDE w:val="0"/>
              <w:autoSpaceDN w:val="0"/>
              <w:adjustRightInd w:val="0"/>
              <w:spacing w:before="120" w:after="120"/>
              <w:rPr>
                <w:sz w:val="16"/>
                <w:szCs w:val="16"/>
                <w:lang w:val="es-ES_tradnl" w:eastAsia="ja-JP" w:bidi="th-TH"/>
              </w:rPr>
            </w:pPr>
          </w:p>
        </w:tc>
        <w:tc>
          <w:tcPr>
            <w:tcW w:w="2552" w:type="dxa"/>
            <w:tcBorders>
              <w:top w:val="nil"/>
              <w:bottom w:val="nil"/>
            </w:tcBorders>
          </w:tcPr>
          <w:p w:rsidR="00B070BF" w:rsidRPr="009577DE" w:rsidRDefault="00B070BF" w:rsidP="00C33D4A">
            <w:pPr>
              <w:widowControl w:val="0"/>
              <w:autoSpaceDE w:val="0"/>
              <w:autoSpaceDN w:val="0"/>
              <w:adjustRightInd w:val="0"/>
              <w:spacing w:before="120" w:after="120"/>
              <w:rPr>
                <w:sz w:val="16"/>
                <w:szCs w:val="16"/>
                <w:lang w:val="es-ES_tradnl" w:eastAsia="ja-JP" w:bidi="th-TH"/>
              </w:rPr>
            </w:pPr>
            <w:r w:rsidRPr="009577DE">
              <w:rPr>
                <w:sz w:val="16"/>
                <w:szCs w:val="16"/>
                <w:lang w:val="es-ES_tradnl" w:eastAsia="ja-JP" w:bidi="th-TH"/>
              </w:rPr>
              <w:t>Japón</w:t>
            </w:r>
          </w:p>
          <w:p w:rsidR="00B070BF" w:rsidRPr="009577DE" w:rsidRDefault="00B070BF" w:rsidP="00C33D4A">
            <w:pPr>
              <w:widowControl w:val="0"/>
              <w:autoSpaceDE w:val="0"/>
              <w:autoSpaceDN w:val="0"/>
              <w:adjustRightInd w:val="0"/>
              <w:spacing w:before="120" w:after="120"/>
              <w:rPr>
                <w:sz w:val="16"/>
                <w:szCs w:val="16"/>
                <w:lang w:val="es-ES_tradnl" w:eastAsia="ja-JP" w:bidi="th-TH"/>
              </w:rPr>
            </w:pPr>
          </w:p>
          <w:p w:rsidR="00B070BF" w:rsidRPr="009577DE" w:rsidRDefault="00B070BF" w:rsidP="00C33D4A">
            <w:pPr>
              <w:widowControl w:val="0"/>
              <w:autoSpaceDE w:val="0"/>
              <w:autoSpaceDN w:val="0"/>
              <w:adjustRightInd w:val="0"/>
              <w:spacing w:before="120" w:after="120"/>
              <w:rPr>
                <w:sz w:val="16"/>
                <w:szCs w:val="16"/>
                <w:lang w:val="es-ES_tradnl" w:eastAsia="ja-JP" w:bidi="th-TH"/>
              </w:rPr>
            </w:pPr>
          </w:p>
          <w:p w:rsidR="00B070BF" w:rsidRPr="009577DE" w:rsidRDefault="00B070BF" w:rsidP="00C33D4A">
            <w:pPr>
              <w:widowControl w:val="0"/>
              <w:autoSpaceDE w:val="0"/>
              <w:autoSpaceDN w:val="0"/>
              <w:adjustRightInd w:val="0"/>
              <w:spacing w:before="120" w:after="120"/>
              <w:rPr>
                <w:sz w:val="16"/>
                <w:szCs w:val="16"/>
                <w:lang w:val="es-ES_tradnl" w:eastAsia="ja-JP" w:bidi="th-TH"/>
              </w:rPr>
            </w:pPr>
          </w:p>
        </w:tc>
        <w:tc>
          <w:tcPr>
            <w:tcW w:w="3543" w:type="dxa"/>
            <w:tcBorders>
              <w:top w:val="nil"/>
              <w:bottom w:val="nil"/>
              <w:right w:val="single" w:sz="4" w:space="0" w:color="auto"/>
            </w:tcBorders>
          </w:tcPr>
          <w:p w:rsidR="00B070BF" w:rsidRPr="009577DE" w:rsidRDefault="00B070BF" w:rsidP="00C33D4A">
            <w:pPr>
              <w:widowControl w:val="0"/>
              <w:autoSpaceDE w:val="0"/>
              <w:autoSpaceDN w:val="0"/>
              <w:adjustRightInd w:val="0"/>
              <w:spacing w:before="120" w:after="120"/>
              <w:rPr>
                <w:sz w:val="16"/>
                <w:szCs w:val="16"/>
                <w:lang w:val="es-ES_tradnl" w:eastAsia="ja-JP" w:bidi="th-TH"/>
              </w:rPr>
            </w:pPr>
            <w:r w:rsidRPr="009577DE">
              <w:rPr>
                <w:sz w:val="16"/>
                <w:szCs w:val="16"/>
                <w:lang w:val="es-ES_tradnl" w:eastAsia="ja-JP" w:bidi="th-TH"/>
              </w:rPr>
              <w:t>i) Familiarizar a los participantes con las tendencias actuales y las nuevas prácticas para el examen de patentes en lo concerniente a los artículos de óptica;  ii) ofrecer ideas y conocimientos prácticos sobre metodologías de examen;  iii) brindar la oportunidad a los participantes de compartir experiencias y opiniones sobre cuestiones relativas al examen de patentes;  y iv) fortalecer las capacidades profesionales de los participantes para el examen en el ámbito de los artículos de óptica.</w:t>
            </w:r>
          </w:p>
        </w:tc>
      </w:tr>
      <w:tr w:rsidR="00B070BF" w:rsidRPr="009577DE" w:rsidTr="00C33D4A">
        <w:trPr>
          <w:cantSplit/>
          <w:trHeight w:val="1951"/>
        </w:trPr>
        <w:tc>
          <w:tcPr>
            <w:tcW w:w="1843" w:type="dxa"/>
            <w:tcBorders>
              <w:top w:val="nil"/>
              <w:left w:val="single" w:sz="4" w:space="0" w:color="auto"/>
              <w:bottom w:val="single" w:sz="4" w:space="0" w:color="auto"/>
            </w:tcBorders>
          </w:tcPr>
          <w:p w:rsidR="00B070BF" w:rsidRPr="009577DE" w:rsidRDefault="00B070BF" w:rsidP="00C33D4A">
            <w:pPr>
              <w:widowControl w:val="0"/>
              <w:autoSpaceDE w:val="0"/>
              <w:autoSpaceDN w:val="0"/>
              <w:adjustRightInd w:val="0"/>
              <w:spacing w:before="120" w:after="120"/>
              <w:rPr>
                <w:sz w:val="16"/>
                <w:szCs w:val="16"/>
                <w:lang w:val="es-ES_tradnl" w:eastAsia="ja-JP"/>
              </w:rPr>
            </w:pPr>
            <w:r w:rsidRPr="009577DE">
              <w:rPr>
                <w:sz w:val="16"/>
                <w:szCs w:val="16"/>
                <w:lang w:val="es-ES_tradnl" w:eastAsia="ja-JP"/>
              </w:rPr>
              <w:t>Curso de formación para examinadores de patentes sobre tecnologías específicas (productos farmacéuticos).</w:t>
            </w:r>
          </w:p>
          <w:p w:rsidR="00B070BF" w:rsidRPr="009577DE" w:rsidRDefault="00B070BF" w:rsidP="00C33D4A">
            <w:pPr>
              <w:widowControl w:val="0"/>
              <w:autoSpaceDE w:val="0"/>
              <w:autoSpaceDN w:val="0"/>
              <w:adjustRightInd w:val="0"/>
              <w:spacing w:before="120" w:after="120"/>
              <w:rPr>
                <w:sz w:val="16"/>
                <w:szCs w:val="16"/>
                <w:lang w:val="es-ES_tradnl" w:eastAsia="ja-JP"/>
              </w:rPr>
            </w:pPr>
          </w:p>
        </w:tc>
        <w:tc>
          <w:tcPr>
            <w:tcW w:w="1137" w:type="dxa"/>
            <w:tcBorders>
              <w:top w:val="nil"/>
              <w:bottom w:val="single" w:sz="4" w:space="0" w:color="auto"/>
            </w:tcBorders>
          </w:tcPr>
          <w:p w:rsidR="00B070BF" w:rsidRPr="009577DE" w:rsidRDefault="00B070BF" w:rsidP="00C33D4A">
            <w:pPr>
              <w:widowControl w:val="0"/>
              <w:autoSpaceDE w:val="0"/>
              <w:autoSpaceDN w:val="0"/>
              <w:adjustRightInd w:val="0"/>
              <w:spacing w:before="120" w:after="120"/>
              <w:rPr>
                <w:sz w:val="16"/>
                <w:szCs w:val="16"/>
                <w:lang w:val="es-ES_tradnl" w:eastAsia="ja-JP" w:bidi="th-TH"/>
              </w:rPr>
            </w:pPr>
            <w:r w:rsidRPr="009577DE">
              <w:rPr>
                <w:sz w:val="16"/>
                <w:szCs w:val="16"/>
                <w:lang w:val="es-ES_tradnl" w:eastAsia="ja-JP" w:bidi="th-TH"/>
              </w:rPr>
              <w:t>23 de febrero a 1 de marzo de 2012</w:t>
            </w:r>
          </w:p>
          <w:p w:rsidR="00B070BF" w:rsidRPr="009577DE" w:rsidRDefault="00B070BF" w:rsidP="00C33D4A">
            <w:pPr>
              <w:widowControl w:val="0"/>
              <w:autoSpaceDE w:val="0"/>
              <w:autoSpaceDN w:val="0"/>
              <w:adjustRightInd w:val="0"/>
              <w:spacing w:before="120" w:after="120"/>
              <w:rPr>
                <w:sz w:val="16"/>
                <w:szCs w:val="16"/>
                <w:lang w:val="es-ES_tradnl" w:eastAsia="ja-JP" w:bidi="th-TH"/>
              </w:rPr>
            </w:pPr>
          </w:p>
          <w:p w:rsidR="00B070BF" w:rsidRPr="009577DE" w:rsidRDefault="00B070BF" w:rsidP="00C33D4A">
            <w:pPr>
              <w:widowControl w:val="0"/>
              <w:autoSpaceDE w:val="0"/>
              <w:autoSpaceDN w:val="0"/>
              <w:adjustRightInd w:val="0"/>
              <w:spacing w:before="120" w:after="120"/>
              <w:rPr>
                <w:sz w:val="16"/>
                <w:szCs w:val="16"/>
                <w:lang w:val="es-ES_tradnl" w:eastAsia="ja-JP" w:bidi="th-TH"/>
              </w:rPr>
            </w:pPr>
          </w:p>
        </w:tc>
        <w:tc>
          <w:tcPr>
            <w:tcW w:w="2552" w:type="dxa"/>
            <w:tcBorders>
              <w:top w:val="nil"/>
              <w:bottom w:val="single" w:sz="4" w:space="0" w:color="auto"/>
            </w:tcBorders>
          </w:tcPr>
          <w:p w:rsidR="00B070BF" w:rsidRPr="009577DE" w:rsidRDefault="00B070BF" w:rsidP="00C33D4A">
            <w:pPr>
              <w:widowControl w:val="0"/>
              <w:autoSpaceDE w:val="0"/>
              <w:autoSpaceDN w:val="0"/>
              <w:adjustRightInd w:val="0"/>
              <w:spacing w:before="120" w:after="120"/>
              <w:rPr>
                <w:sz w:val="16"/>
                <w:szCs w:val="16"/>
                <w:lang w:val="es-ES_tradnl" w:eastAsia="ja-JP" w:bidi="th-TH"/>
              </w:rPr>
            </w:pPr>
            <w:r w:rsidRPr="009577DE">
              <w:rPr>
                <w:sz w:val="16"/>
                <w:szCs w:val="16"/>
                <w:lang w:val="es-ES_tradnl" w:eastAsia="ja-JP" w:bidi="th-TH"/>
              </w:rPr>
              <w:t>Japón</w:t>
            </w:r>
          </w:p>
          <w:p w:rsidR="00B070BF" w:rsidRPr="009577DE" w:rsidRDefault="00B070BF" w:rsidP="00C33D4A">
            <w:pPr>
              <w:widowControl w:val="0"/>
              <w:autoSpaceDE w:val="0"/>
              <w:autoSpaceDN w:val="0"/>
              <w:adjustRightInd w:val="0"/>
              <w:spacing w:before="120" w:after="120"/>
              <w:rPr>
                <w:sz w:val="16"/>
                <w:szCs w:val="16"/>
                <w:lang w:val="es-ES_tradnl" w:eastAsia="ja-JP" w:bidi="th-TH"/>
              </w:rPr>
            </w:pPr>
          </w:p>
          <w:p w:rsidR="00B070BF" w:rsidRPr="009577DE" w:rsidRDefault="00B070BF" w:rsidP="00C33D4A">
            <w:pPr>
              <w:widowControl w:val="0"/>
              <w:autoSpaceDE w:val="0"/>
              <w:autoSpaceDN w:val="0"/>
              <w:adjustRightInd w:val="0"/>
              <w:spacing w:before="120" w:after="120"/>
              <w:rPr>
                <w:sz w:val="16"/>
                <w:szCs w:val="16"/>
                <w:lang w:val="es-ES_tradnl" w:eastAsia="ja-JP" w:bidi="th-TH"/>
              </w:rPr>
            </w:pPr>
          </w:p>
        </w:tc>
        <w:tc>
          <w:tcPr>
            <w:tcW w:w="3543" w:type="dxa"/>
            <w:tcBorders>
              <w:top w:val="nil"/>
              <w:bottom w:val="single" w:sz="4" w:space="0" w:color="auto"/>
              <w:right w:val="single" w:sz="4" w:space="0" w:color="auto"/>
            </w:tcBorders>
          </w:tcPr>
          <w:p w:rsidR="00B070BF" w:rsidRPr="009577DE" w:rsidRDefault="00B070BF" w:rsidP="00C33D4A">
            <w:pPr>
              <w:widowControl w:val="0"/>
              <w:autoSpaceDE w:val="0"/>
              <w:autoSpaceDN w:val="0"/>
              <w:adjustRightInd w:val="0"/>
              <w:spacing w:before="120" w:after="120"/>
              <w:rPr>
                <w:sz w:val="16"/>
                <w:szCs w:val="16"/>
                <w:lang w:val="es-ES_tradnl" w:eastAsia="ja-JP" w:bidi="th-TH"/>
              </w:rPr>
            </w:pPr>
            <w:r w:rsidRPr="009577DE">
              <w:rPr>
                <w:sz w:val="16"/>
                <w:szCs w:val="16"/>
                <w:lang w:val="es-ES_tradnl" w:eastAsia="ja-JP" w:bidi="th-TH"/>
              </w:rPr>
              <w:t>i) Familiarizar a los participantes con las tendencias actuales y las nuevas prácticas para el examen de patentes en lo concerniente a los productos farmacéuticos;  ii) ofrecer ideas y conocimientos prácticos sobre metodologías de examen;  iii) brindar la oportunidad a los participantes de compartir experiencias y opiniones sobre cuestiones relativas al examen de patentes;  y iv) fortalecer las capacidades profesionales de los participantes para el examen en el ámbito de los productos farmacéuticos.</w:t>
            </w:r>
          </w:p>
        </w:tc>
      </w:tr>
      <w:tr w:rsidR="00B070BF" w:rsidRPr="009577DE" w:rsidTr="00C33D4A">
        <w:trPr>
          <w:cantSplit/>
          <w:trHeight w:val="2103"/>
        </w:trPr>
        <w:tc>
          <w:tcPr>
            <w:tcW w:w="1843" w:type="dxa"/>
            <w:tcBorders>
              <w:top w:val="single" w:sz="4" w:space="0" w:color="auto"/>
              <w:left w:val="single" w:sz="4" w:space="0" w:color="auto"/>
              <w:bottom w:val="nil"/>
            </w:tcBorders>
          </w:tcPr>
          <w:p w:rsidR="00B070BF" w:rsidRPr="009577DE" w:rsidRDefault="00B070BF" w:rsidP="00C33D4A">
            <w:pPr>
              <w:widowControl w:val="0"/>
              <w:autoSpaceDE w:val="0"/>
              <w:autoSpaceDN w:val="0"/>
              <w:adjustRightInd w:val="0"/>
              <w:spacing w:before="120" w:after="120"/>
              <w:rPr>
                <w:sz w:val="16"/>
                <w:szCs w:val="16"/>
                <w:lang w:val="es-ES_tradnl" w:eastAsia="ja-JP"/>
              </w:rPr>
            </w:pPr>
            <w:r w:rsidRPr="009577DE">
              <w:rPr>
                <w:sz w:val="16"/>
                <w:szCs w:val="16"/>
                <w:lang w:val="es-ES_tradnl"/>
              </w:rPr>
              <w:lastRenderedPageBreak/>
              <w:t>Taller subregional de la OMPI  sobre la adhesión al sistema de Madrid y su utilización eficaz.</w:t>
            </w:r>
          </w:p>
          <w:p w:rsidR="00B070BF" w:rsidRPr="009577DE" w:rsidRDefault="00B070BF" w:rsidP="00C33D4A">
            <w:pPr>
              <w:widowControl w:val="0"/>
              <w:autoSpaceDE w:val="0"/>
              <w:autoSpaceDN w:val="0"/>
              <w:adjustRightInd w:val="0"/>
              <w:spacing w:before="120" w:after="120"/>
              <w:rPr>
                <w:sz w:val="16"/>
                <w:szCs w:val="16"/>
                <w:lang w:val="es-ES_tradnl" w:eastAsia="ja-JP"/>
              </w:rPr>
            </w:pPr>
          </w:p>
        </w:tc>
        <w:tc>
          <w:tcPr>
            <w:tcW w:w="1137" w:type="dxa"/>
            <w:tcBorders>
              <w:top w:val="single" w:sz="4" w:space="0" w:color="auto"/>
              <w:bottom w:val="nil"/>
            </w:tcBorders>
          </w:tcPr>
          <w:p w:rsidR="00B070BF" w:rsidRPr="009577DE" w:rsidRDefault="00B070BF" w:rsidP="00C33D4A">
            <w:pPr>
              <w:widowControl w:val="0"/>
              <w:autoSpaceDE w:val="0"/>
              <w:autoSpaceDN w:val="0"/>
              <w:adjustRightInd w:val="0"/>
              <w:spacing w:before="120" w:after="120"/>
              <w:rPr>
                <w:sz w:val="16"/>
                <w:szCs w:val="16"/>
                <w:lang w:val="es-ES_tradnl" w:eastAsia="ja-JP" w:bidi="th-TH"/>
              </w:rPr>
            </w:pPr>
            <w:r w:rsidRPr="009577DE">
              <w:rPr>
                <w:sz w:val="16"/>
                <w:szCs w:val="16"/>
                <w:lang w:val="es-ES_tradnl" w:eastAsia="ja-JP" w:bidi="th-TH"/>
              </w:rPr>
              <w:t>8 y 9 de marzo de 2012</w:t>
            </w:r>
          </w:p>
          <w:p w:rsidR="00B070BF" w:rsidRPr="009577DE" w:rsidRDefault="00B070BF" w:rsidP="00C33D4A">
            <w:pPr>
              <w:widowControl w:val="0"/>
              <w:autoSpaceDE w:val="0"/>
              <w:autoSpaceDN w:val="0"/>
              <w:adjustRightInd w:val="0"/>
              <w:spacing w:before="120" w:after="120"/>
              <w:rPr>
                <w:sz w:val="16"/>
                <w:szCs w:val="16"/>
                <w:lang w:val="es-ES_tradnl" w:eastAsia="ja-JP" w:bidi="th-TH"/>
              </w:rPr>
            </w:pPr>
          </w:p>
          <w:p w:rsidR="00B070BF" w:rsidRPr="009577DE" w:rsidRDefault="00B070BF" w:rsidP="00C33D4A">
            <w:pPr>
              <w:widowControl w:val="0"/>
              <w:autoSpaceDE w:val="0"/>
              <w:autoSpaceDN w:val="0"/>
              <w:adjustRightInd w:val="0"/>
              <w:spacing w:before="120" w:after="120"/>
              <w:rPr>
                <w:sz w:val="16"/>
                <w:szCs w:val="16"/>
                <w:lang w:val="es-ES_tradnl" w:eastAsia="ja-JP" w:bidi="th-TH"/>
              </w:rPr>
            </w:pPr>
          </w:p>
          <w:p w:rsidR="00B070BF" w:rsidRPr="009577DE" w:rsidRDefault="00B070BF" w:rsidP="00C33D4A">
            <w:pPr>
              <w:widowControl w:val="0"/>
              <w:autoSpaceDE w:val="0"/>
              <w:autoSpaceDN w:val="0"/>
              <w:adjustRightInd w:val="0"/>
              <w:spacing w:before="120" w:after="120"/>
              <w:rPr>
                <w:sz w:val="16"/>
                <w:szCs w:val="16"/>
                <w:lang w:val="es-ES_tradnl" w:eastAsia="ja-JP" w:bidi="th-TH"/>
              </w:rPr>
            </w:pPr>
          </w:p>
        </w:tc>
        <w:tc>
          <w:tcPr>
            <w:tcW w:w="2552" w:type="dxa"/>
            <w:tcBorders>
              <w:top w:val="single" w:sz="4" w:space="0" w:color="auto"/>
              <w:bottom w:val="nil"/>
            </w:tcBorders>
          </w:tcPr>
          <w:p w:rsidR="00B070BF" w:rsidRPr="009577DE" w:rsidRDefault="00B070BF" w:rsidP="00C33D4A">
            <w:pPr>
              <w:widowControl w:val="0"/>
              <w:autoSpaceDE w:val="0"/>
              <w:autoSpaceDN w:val="0"/>
              <w:adjustRightInd w:val="0"/>
              <w:spacing w:before="120" w:after="120"/>
              <w:rPr>
                <w:sz w:val="16"/>
                <w:szCs w:val="16"/>
                <w:lang w:val="es-ES_tradnl" w:eastAsia="ja-JP" w:bidi="th-TH"/>
              </w:rPr>
            </w:pPr>
            <w:r w:rsidRPr="009577DE">
              <w:rPr>
                <w:sz w:val="16"/>
                <w:szCs w:val="16"/>
                <w:lang w:val="es-ES_tradnl" w:eastAsia="ja-JP" w:bidi="th-TH"/>
              </w:rPr>
              <w:t>Japón</w:t>
            </w:r>
          </w:p>
          <w:p w:rsidR="00B070BF" w:rsidRPr="009577DE" w:rsidRDefault="00B070BF" w:rsidP="00C33D4A">
            <w:pPr>
              <w:widowControl w:val="0"/>
              <w:autoSpaceDE w:val="0"/>
              <w:autoSpaceDN w:val="0"/>
              <w:adjustRightInd w:val="0"/>
              <w:spacing w:before="120" w:after="120"/>
              <w:rPr>
                <w:sz w:val="16"/>
                <w:szCs w:val="16"/>
                <w:lang w:val="es-ES_tradnl" w:eastAsia="ja-JP" w:bidi="th-TH"/>
              </w:rPr>
            </w:pPr>
          </w:p>
          <w:p w:rsidR="00B070BF" w:rsidRPr="009577DE" w:rsidRDefault="00B070BF" w:rsidP="00C33D4A">
            <w:pPr>
              <w:widowControl w:val="0"/>
              <w:autoSpaceDE w:val="0"/>
              <w:autoSpaceDN w:val="0"/>
              <w:adjustRightInd w:val="0"/>
              <w:spacing w:before="120" w:after="120"/>
              <w:rPr>
                <w:sz w:val="16"/>
                <w:szCs w:val="16"/>
                <w:lang w:val="es-ES_tradnl" w:eastAsia="ja-JP" w:bidi="th-TH"/>
              </w:rPr>
            </w:pPr>
          </w:p>
          <w:p w:rsidR="00B070BF" w:rsidRPr="009577DE" w:rsidRDefault="00B070BF" w:rsidP="00C33D4A">
            <w:pPr>
              <w:widowControl w:val="0"/>
              <w:autoSpaceDE w:val="0"/>
              <w:autoSpaceDN w:val="0"/>
              <w:adjustRightInd w:val="0"/>
              <w:spacing w:before="120" w:after="120"/>
              <w:rPr>
                <w:sz w:val="16"/>
                <w:szCs w:val="16"/>
                <w:lang w:val="es-ES_tradnl" w:eastAsia="ja-JP" w:bidi="th-TH"/>
              </w:rPr>
            </w:pPr>
          </w:p>
          <w:p w:rsidR="00B070BF" w:rsidRPr="009577DE" w:rsidRDefault="00B070BF" w:rsidP="00C33D4A">
            <w:pPr>
              <w:widowControl w:val="0"/>
              <w:autoSpaceDE w:val="0"/>
              <w:autoSpaceDN w:val="0"/>
              <w:adjustRightInd w:val="0"/>
              <w:spacing w:before="120" w:after="120"/>
              <w:rPr>
                <w:sz w:val="16"/>
                <w:szCs w:val="16"/>
                <w:lang w:val="es-ES_tradnl" w:eastAsia="ja-JP" w:bidi="th-TH"/>
              </w:rPr>
            </w:pPr>
          </w:p>
        </w:tc>
        <w:tc>
          <w:tcPr>
            <w:tcW w:w="3543" w:type="dxa"/>
            <w:tcBorders>
              <w:top w:val="single" w:sz="4" w:space="0" w:color="auto"/>
              <w:bottom w:val="nil"/>
              <w:right w:val="single" w:sz="4" w:space="0" w:color="auto"/>
            </w:tcBorders>
          </w:tcPr>
          <w:p w:rsidR="00B070BF" w:rsidRPr="009577DE" w:rsidRDefault="00B070BF" w:rsidP="00C33D4A">
            <w:pPr>
              <w:widowControl w:val="0"/>
              <w:autoSpaceDE w:val="0"/>
              <w:autoSpaceDN w:val="0"/>
              <w:adjustRightInd w:val="0"/>
              <w:spacing w:before="120" w:after="120"/>
              <w:rPr>
                <w:sz w:val="16"/>
                <w:szCs w:val="16"/>
                <w:lang w:val="es-ES_tradnl" w:eastAsia="ja-JP" w:bidi="th-TH"/>
              </w:rPr>
            </w:pPr>
            <w:r w:rsidRPr="009577DE">
              <w:rPr>
                <w:sz w:val="16"/>
                <w:szCs w:val="16"/>
                <w:lang w:val="es-ES_tradnl" w:eastAsia="ja-JP" w:bidi="th-TH"/>
              </w:rPr>
              <w:t>i) Dar a los participantes de los Estados que no son miembros del sistema de Madrid la oportunidad de conocer los requisitos de adhesión al sistema y los procedimientos prácticos del mismo;  ii) examinar la carga total de trabajo y las tareas que supone la administración del sistema de Madrid, mediante debates con las personas interesadas, y ello incluye los examinadores y los abogados de marcas del Japón;  y iii) fomentar la comprensión de las ventajas y los requisitos de adhesión al sistema de Madrid.</w:t>
            </w:r>
          </w:p>
        </w:tc>
      </w:tr>
      <w:tr w:rsidR="00B070BF" w:rsidRPr="009577DE" w:rsidTr="00C33D4A">
        <w:trPr>
          <w:cantSplit/>
          <w:trHeight w:val="1883"/>
        </w:trPr>
        <w:tc>
          <w:tcPr>
            <w:tcW w:w="1843" w:type="dxa"/>
            <w:tcBorders>
              <w:top w:val="nil"/>
              <w:left w:val="single" w:sz="4" w:space="0" w:color="auto"/>
              <w:bottom w:val="nil"/>
            </w:tcBorders>
          </w:tcPr>
          <w:p w:rsidR="00B070BF" w:rsidRPr="009577DE" w:rsidRDefault="00B070BF" w:rsidP="00C33D4A">
            <w:pPr>
              <w:widowControl w:val="0"/>
              <w:autoSpaceDE w:val="0"/>
              <w:autoSpaceDN w:val="0"/>
              <w:adjustRightInd w:val="0"/>
              <w:spacing w:before="120" w:after="120"/>
              <w:rPr>
                <w:sz w:val="16"/>
                <w:szCs w:val="16"/>
                <w:lang w:val="es-ES_tradnl"/>
              </w:rPr>
            </w:pPr>
            <w:r w:rsidRPr="009577DE">
              <w:rPr>
                <w:sz w:val="16"/>
                <w:szCs w:val="16"/>
                <w:lang w:val="es-ES_tradnl" w:eastAsia="ja-JP" w:bidi="th-TH"/>
              </w:rPr>
              <w:t>Taller subregional de la OMPI sobre utilización eficaz del sistema del PCT:  La experiencia de los países de Asia.</w:t>
            </w:r>
          </w:p>
        </w:tc>
        <w:tc>
          <w:tcPr>
            <w:tcW w:w="1137" w:type="dxa"/>
            <w:tcBorders>
              <w:top w:val="nil"/>
              <w:bottom w:val="nil"/>
            </w:tcBorders>
          </w:tcPr>
          <w:p w:rsidR="00B070BF" w:rsidRPr="009577DE" w:rsidRDefault="00B070BF" w:rsidP="00C33D4A">
            <w:pPr>
              <w:widowControl w:val="0"/>
              <w:autoSpaceDE w:val="0"/>
              <w:autoSpaceDN w:val="0"/>
              <w:adjustRightInd w:val="0"/>
              <w:spacing w:before="120" w:after="120"/>
              <w:rPr>
                <w:sz w:val="16"/>
                <w:szCs w:val="16"/>
                <w:lang w:val="es-ES_tradnl" w:eastAsia="ja-JP" w:bidi="th-TH"/>
              </w:rPr>
            </w:pPr>
            <w:r w:rsidRPr="009577DE">
              <w:rPr>
                <w:sz w:val="16"/>
                <w:szCs w:val="16"/>
                <w:lang w:val="es-ES_tradnl" w:eastAsia="ja-JP" w:bidi="th-TH"/>
              </w:rPr>
              <w:t>16 y 17 de mayo de 2012</w:t>
            </w:r>
          </w:p>
          <w:p w:rsidR="00B070BF" w:rsidRPr="009577DE" w:rsidRDefault="00B070BF" w:rsidP="00C33D4A">
            <w:pPr>
              <w:widowControl w:val="0"/>
              <w:autoSpaceDE w:val="0"/>
              <w:autoSpaceDN w:val="0"/>
              <w:adjustRightInd w:val="0"/>
              <w:spacing w:before="120" w:after="120"/>
              <w:rPr>
                <w:sz w:val="16"/>
                <w:szCs w:val="16"/>
                <w:lang w:val="es-ES_tradnl" w:eastAsia="ja-JP" w:bidi="th-TH"/>
              </w:rPr>
            </w:pPr>
          </w:p>
          <w:p w:rsidR="00B070BF" w:rsidRPr="009577DE" w:rsidRDefault="00B070BF" w:rsidP="00C33D4A">
            <w:pPr>
              <w:widowControl w:val="0"/>
              <w:autoSpaceDE w:val="0"/>
              <w:autoSpaceDN w:val="0"/>
              <w:adjustRightInd w:val="0"/>
              <w:spacing w:before="120" w:after="120"/>
              <w:rPr>
                <w:sz w:val="16"/>
                <w:szCs w:val="16"/>
                <w:lang w:val="es-ES_tradnl" w:eastAsia="ja-JP" w:bidi="th-TH"/>
              </w:rPr>
            </w:pPr>
          </w:p>
        </w:tc>
        <w:tc>
          <w:tcPr>
            <w:tcW w:w="2552" w:type="dxa"/>
            <w:tcBorders>
              <w:top w:val="nil"/>
              <w:bottom w:val="nil"/>
            </w:tcBorders>
          </w:tcPr>
          <w:p w:rsidR="00B070BF" w:rsidRPr="009577DE" w:rsidRDefault="00B070BF" w:rsidP="00C33D4A">
            <w:pPr>
              <w:widowControl w:val="0"/>
              <w:autoSpaceDE w:val="0"/>
              <w:autoSpaceDN w:val="0"/>
              <w:adjustRightInd w:val="0"/>
              <w:spacing w:before="120" w:after="120"/>
              <w:rPr>
                <w:sz w:val="16"/>
                <w:szCs w:val="16"/>
                <w:lang w:val="es-ES_tradnl" w:eastAsia="ja-JP" w:bidi="th-TH"/>
              </w:rPr>
            </w:pPr>
            <w:r w:rsidRPr="009577DE">
              <w:rPr>
                <w:sz w:val="16"/>
                <w:szCs w:val="16"/>
                <w:lang w:val="es-ES_tradnl" w:eastAsia="ja-JP" w:bidi="th-TH"/>
              </w:rPr>
              <w:t>Tailandia</w:t>
            </w:r>
            <w:r>
              <w:rPr>
                <w:sz w:val="16"/>
                <w:szCs w:val="16"/>
                <w:lang w:val="es-ES_tradnl" w:eastAsia="ja-JP" w:bidi="th-TH"/>
              </w:rPr>
              <w:t xml:space="preserve">/China, Filipinas, India, Indonesia, Japón, Malasia, Mongolia, República de Corea, Sri Lanka, Tailandia y </w:t>
            </w:r>
            <w:proofErr w:type="spellStart"/>
            <w:r>
              <w:rPr>
                <w:sz w:val="16"/>
                <w:szCs w:val="16"/>
                <w:lang w:val="es-ES_tradnl" w:eastAsia="ja-JP" w:bidi="th-TH"/>
              </w:rPr>
              <w:t>Viet</w:t>
            </w:r>
            <w:proofErr w:type="spellEnd"/>
            <w:r>
              <w:rPr>
                <w:sz w:val="16"/>
                <w:szCs w:val="16"/>
                <w:lang w:val="es-ES_tradnl" w:eastAsia="ja-JP" w:bidi="th-TH"/>
              </w:rPr>
              <w:t xml:space="preserve"> </w:t>
            </w:r>
            <w:proofErr w:type="spellStart"/>
            <w:r>
              <w:rPr>
                <w:sz w:val="16"/>
                <w:szCs w:val="16"/>
                <w:lang w:val="es-ES_tradnl" w:eastAsia="ja-JP" w:bidi="th-TH"/>
              </w:rPr>
              <w:t>Nam</w:t>
            </w:r>
            <w:proofErr w:type="spellEnd"/>
          </w:p>
          <w:p w:rsidR="00B070BF" w:rsidRPr="009577DE" w:rsidRDefault="00B070BF" w:rsidP="00C33D4A">
            <w:pPr>
              <w:widowControl w:val="0"/>
              <w:autoSpaceDE w:val="0"/>
              <w:autoSpaceDN w:val="0"/>
              <w:adjustRightInd w:val="0"/>
              <w:spacing w:before="120" w:after="120"/>
              <w:rPr>
                <w:sz w:val="16"/>
                <w:szCs w:val="16"/>
                <w:lang w:val="es-ES_tradnl" w:eastAsia="ja-JP" w:bidi="th-TH"/>
              </w:rPr>
            </w:pPr>
          </w:p>
          <w:p w:rsidR="00B070BF" w:rsidRPr="009577DE" w:rsidRDefault="00B070BF" w:rsidP="00C33D4A">
            <w:pPr>
              <w:widowControl w:val="0"/>
              <w:autoSpaceDE w:val="0"/>
              <w:autoSpaceDN w:val="0"/>
              <w:adjustRightInd w:val="0"/>
              <w:spacing w:before="120" w:after="120"/>
              <w:rPr>
                <w:sz w:val="16"/>
                <w:szCs w:val="16"/>
                <w:lang w:val="es-ES_tradnl" w:eastAsia="ja-JP" w:bidi="th-TH"/>
              </w:rPr>
            </w:pPr>
          </w:p>
          <w:p w:rsidR="00B070BF" w:rsidRPr="009577DE" w:rsidRDefault="00B070BF" w:rsidP="00C33D4A">
            <w:pPr>
              <w:widowControl w:val="0"/>
              <w:autoSpaceDE w:val="0"/>
              <w:autoSpaceDN w:val="0"/>
              <w:adjustRightInd w:val="0"/>
              <w:spacing w:before="120" w:after="120"/>
              <w:rPr>
                <w:sz w:val="16"/>
                <w:szCs w:val="16"/>
                <w:lang w:val="es-ES_tradnl" w:eastAsia="ja-JP" w:bidi="th-TH"/>
              </w:rPr>
            </w:pPr>
          </w:p>
        </w:tc>
        <w:tc>
          <w:tcPr>
            <w:tcW w:w="3543" w:type="dxa"/>
            <w:tcBorders>
              <w:top w:val="nil"/>
              <w:bottom w:val="nil"/>
              <w:right w:val="single" w:sz="4" w:space="0" w:color="auto"/>
            </w:tcBorders>
          </w:tcPr>
          <w:p w:rsidR="00B070BF" w:rsidRPr="009577DE" w:rsidRDefault="00B070BF" w:rsidP="00C33D4A">
            <w:pPr>
              <w:widowControl w:val="0"/>
              <w:autoSpaceDE w:val="0"/>
              <w:autoSpaceDN w:val="0"/>
              <w:adjustRightInd w:val="0"/>
              <w:spacing w:before="120" w:after="120"/>
              <w:rPr>
                <w:sz w:val="16"/>
                <w:szCs w:val="16"/>
                <w:lang w:val="es-ES_tradnl" w:eastAsia="ja-JP" w:bidi="th-TH"/>
              </w:rPr>
            </w:pPr>
            <w:r w:rsidRPr="009577DE">
              <w:rPr>
                <w:sz w:val="16"/>
                <w:szCs w:val="16"/>
                <w:lang w:val="es-ES_tradnl" w:eastAsia="ja-JP" w:bidi="th-TH"/>
              </w:rPr>
              <w:t>i) Compartir las prácticas óptimas relativas a la utilización eficaz del sistema del PCT por las empresas de Asia;  ii) conocer la evolución reciente del sistema y profundizar la comprensión de las ventajas que presenta;  iii) compartir información sobre los servicios que prestan y las actividades promocionales que realizan las oficinas de P.I. y la OMPI; y iv) intercambiar opiniones acerca de cómo aprovechar al máximo las ventajas del sistema.</w:t>
            </w:r>
          </w:p>
        </w:tc>
      </w:tr>
      <w:tr w:rsidR="00B070BF" w:rsidRPr="009577DE" w:rsidTr="00C33D4A">
        <w:trPr>
          <w:cantSplit/>
          <w:trHeight w:val="1857"/>
        </w:trPr>
        <w:tc>
          <w:tcPr>
            <w:tcW w:w="1843" w:type="dxa"/>
            <w:tcBorders>
              <w:top w:val="nil"/>
              <w:left w:val="single" w:sz="4" w:space="0" w:color="auto"/>
              <w:bottom w:val="nil"/>
            </w:tcBorders>
          </w:tcPr>
          <w:p w:rsidR="00B070BF" w:rsidRPr="009577DE" w:rsidRDefault="00B070BF" w:rsidP="00C33D4A">
            <w:pPr>
              <w:widowControl w:val="0"/>
              <w:autoSpaceDE w:val="0"/>
              <w:autoSpaceDN w:val="0"/>
              <w:adjustRightInd w:val="0"/>
              <w:spacing w:before="120" w:after="120"/>
              <w:rPr>
                <w:sz w:val="16"/>
                <w:szCs w:val="16"/>
                <w:lang w:val="es-ES_tradnl" w:eastAsia="ja-JP" w:bidi="th-TH"/>
              </w:rPr>
            </w:pPr>
            <w:r w:rsidRPr="009577DE">
              <w:rPr>
                <w:sz w:val="16"/>
                <w:szCs w:val="16"/>
                <w:lang w:val="es-ES_tradnl" w:eastAsia="ja-JP" w:bidi="th-TH"/>
              </w:rPr>
              <w:t xml:space="preserve">Foro regional de la OMPI sobre </w:t>
            </w:r>
            <w:r>
              <w:rPr>
                <w:sz w:val="16"/>
                <w:szCs w:val="16"/>
                <w:lang w:val="es-ES_tradnl" w:eastAsia="ja-JP" w:bidi="th-TH"/>
              </w:rPr>
              <w:t xml:space="preserve">P.I. y </w:t>
            </w:r>
            <w:r w:rsidRPr="009577DE">
              <w:rPr>
                <w:sz w:val="16"/>
                <w:szCs w:val="16"/>
                <w:lang w:val="es-ES_tradnl" w:eastAsia="ja-JP" w:bidi="th-TH"/>
              </w:rPr>
              <w:t xml:space="preserve">tecnologías </w:t>
            </w:r>
            <w:r>
              <w:rPr>
                <w:sz w:val="16"/>
                <w:szCs w:val="16"/>
                <w:lang w:val="es-ES_tradnl" w:eastAsia="ja-JP" w:bidi="th-TH"/>
              </w:rPr>
              <w:t>ecológicamente racionales</w:t>
            </w:r>
            <w:r w:rsidRPr="009577DE">
              <w:rPr>
                <w:sz w:val="16"/>
                <w:szCs w:val="16"/>
                <w:lang w:val="es-ES_tradnl" w:eastAsia="ja-JP" w:bidi="th-TH"/>
              </w:rPr>
              <w:t>.</w:t>
            </w:r>
          </w:p>
          <w:p w:rsidR="00B070BF" w:rsidRPr="009577DE" w:rsidRDefault="00B070BF" w:rsidP="00C33D4A">
            <w:pPr>
              <w:widowControl w:val="0"/>
              <w:autoSpaceDE w:val="0"/>
              <w:autoSpaceDN w:val="0"/>
              <w:adjustRightInd w:val="0"/>
              <w:spacing w:before="120" w:after="120"/>
              <w:rPr>
                <w:sz w:val="16"/>
                <w:szCs w:val="16"/>
                <w:lang w:val="es-ES_tradnl" w:eastAsia="ja-JP" w:bidi="th-TH"/>
              </w:rPr>
            </w:pPr>
          </w:p>
        </w:tc>
        <w:tc>
          <w:tcPr>
            <w:tcW w:w="1137" w:type="dxa"/>
            <w:tcBorders>
              <w:top w:val="nil"/>
              <w:bottom w:val="nil"/>
            </w:tcBorders>
          </w:tcPr>
          <w:p w:rsidR="00B070BF" w:rsidRPr="009577DE" w:rsidRDefault="00B070BF" w:rsidP="00C33D4A">
            <w:pPr>
              <w:widowControl w:val="0"/>
              <w:autoSpaceDE w:val="0"/>
              <w:autoSpaceDN w:val="0"/>
              <w:adjustRightInd w:val="0"/>
              <w:spacing w:before="120" w:after="120"/>
              <w:rPr>
                <w:sz w:val="16"/>
                <w:szCs w:val="16"/>
                <w:lang w:val="es-ES_tradnl" w:eastAsia="ja-JP" w:bidi="th-TH"/>
              </w:rPr>
            </w:pPr>
            <w:r w:rsidRPr="009577DE">
              <w:rPr>
                <w:sz w:val="16"/>
                <w:szCs w:val="16"/>
                <w:lang w:val="es-ES_tradnl" w:eastAsia="ja-JP" w:bidi="th-TH"/>
              </w:rPr>
              <w:t>29 a 3</w:t>
            </w:r>
            <w:r>
              <w:rPr>
                <w:sz w:val="16"/>
                <w:szCs w:val="16"/>
                <w:lang w:val="es-ES_tradnl" w:eastAsia="ja-JP" w:bidi="th-TH"/>
              </w:rPr>
              <w:t>0</w:t>
            </w:r>
            <w:r w:rsidRPr="009577DE">
              <w:rPr>
                <w:sz w:val="16"/>
                <w:szCs w:val="16"/>
                <w:lang w:val="es-ES_tradnl" w:eastAsia="ja-JP" w:bidi="th-TH"/>
              </w:rPr>
              <w:t xml:space="preserve"> de mayo de 2012</w:t>
            </w:r>
          </w:p>
          <w:p w:rsidR="00B070BF" w:rsidRPr="009577DE" w:rsidRDefault="00B070BF" w:rsidP="00C33D4A">
            <w:pPr>
              <w:widowControl w:val="0"/>
              <w:autoSpaceDE w:val="0"/>
              <w:autoSpaceDN w:val="0"/>
              <w:adjustRightInd w:val="0"/>
              <w:spacing w:before="120" w:after="120"/>
              <w:rPr>
                <w:sz w:val="16"/>
                <w:szCs w:val="16"/>
                <w:lang w:val="es-ES_tradnl" w:eastAsia="ja-JP" w:bidi="th-TH"/>
              </w:rPr>
            </w:pPr>
          </w:p>
          <w:p w:rsidR="00B070BF" w:rsidRPr="009577DE" w:rsidRDefault="00B070BF" w:rsidP="00C33D4A">
            <w:pPr>
              <w:widowControl w:val="0"/>
              <w:autoSpaceDE w:val="0"/>
              <w:autoSpaceDN w:val="0"/>
              <w:adjustRightInd w:val="0"/>
              <w:spacing w:before="120" w:after="120"/>
              <w:rPr>
                <w:sz w:val="16"/>
                <w:szCs w:val="16"/>
                <w:lang w:val="es-ES_tradnl" w:eastAsia="ja-JP" w:bidi="th-TH"/>
              </w:rPr>
            </w:pPr>
          </w:p>
        </w:tc>
        <w:tc>
          <w:tcPr>
            <w:tcW w:w="2552" w:type="dxa"/>
            <w:tcBorders>
              <w:top w:val="nil"/>
              <w:bottom w:val="nil"/>
            </w:tcBorders>
          </w:tcPr>
          <w:p w:rsidR="00B070BF" w:rsidRPr="009577DE" w:rsidRDefault="00B070BF" w:rsidP="00C33D4A">
            <w:pPr>
              <w:widowControl w:val="0"/>
              <w:autoSpaceDE w:val="0"/>
              <w:autoSpaceDN w:val="0"/>
              <w:adjustRightInd w:val="0"/>
              <w:spacing w:before="120" w:after="120"/>
              <w:rPr>
                <w:sz w:val="16"/>
                <w:szCs w:val="16"/>
                <w:lang w:val="es-ES_tradnl" w:eastAsia="ja-JP" w:bidi="th-TH"/>
              </w:rPr>
            </w:pPr>
            <w:r w:rsidRPr="009577DE">
              <w:rPr>
                <w:sz w:val="16"/>
                <w:szCs w:val="16"/>
                <w:lang w:val="es-ES_tradnl" w:eastAsia="ja-JP" w:bidi="th-TH"/>
              </w:rPr>
              <w:t>Sri Lanka</w:t>
            </w:r>
          </w:p>
          <w:p w:rsidR="00B070BF" w:rsidRPr="009577DE" w:rsidRDefault="00B070BF" w:rsidP="00C33D4A">
            <w:pPr>
              <w:widowControl w:val="0"/>
              <w:autoSpaceDE w:val="0"/>
              <w:autoSpaceDN w:val="0"/>
              <w:adjustRightInd w:val="0"/>
              <w:spacing w:before="120" w:after="120"/>
              <w:rPr>
                <w:sz w:val="16"/>
                <w:szCs w:val="16"/>
                <w:lang w:val="es-ES_tradnl" w:eastAsia="ja-JP" w:bidi="th-TH"/>
              </w:rPr>
            </w:pPr>
          </w:p>
          <w:p w:rsidR="00B070BF" w:rsidRPr="009577DE" w:rsidRDefault="00B070BF" w:rsidP="00C33D4A">
            <w:pPr>
              <w:widowControl w:val="0"/>
              <w:autoSpaceDE w:val="0"/>
              <w:autoSpaceDN w:val="0"/>
              <w:adjustRightInd w:val="0"/>
              <w:spacing w:before="120" w:after="120"/>
              <w:rPr>
                <w:sz w:val="16"/>
                <w:szCs w:val="16"/>
                <w:lang w:val="es-ES_tradnl" w:eastAsia="ja-JP" w:bidi="th-TH"/>
              </w:rPr>
            </w:pPr>
          </w:p>
          <w:p w:rsidR="00B070BF" w:rsidRPr="009577DE" w:rsidRDefault="00B070BF" w:rsidP="00C33D4A">
            <w:pPr>
              <w:widowControl w:val="0"/>
              <w:autoSpaceDE w:val="0"/>
              <w:autoSpaceDN w:val="0"/>
              <w:adjustRightInd w:val="0"/>
              <w:spacing w:before="120" w:after="120"/>
              <w:rPr>
                <w:sz w:val="16"/>
                <w:szCs w:val="16"/>
                <w:lang w:val="es-ES_tradnl" w:eastAsia="ja-JP" w:bidi="th-TH"/>
              </w:rPr>
            </w:pPr>
          </w:p>
        </w:tc>
        <w:tc>
          <w:tcPr>
            <w:tcW w:w="3543" w:type="dxa"/>
            <w:tcBorders>
              <w:top w:val="nil"/>
              <w:bottom w:val="nil"/>
              <w:right w:val="single" w:sz="4" w:space="0" w:color="auto"/>
            </w:tcBorders>
          </w:tcPr>
          <w:p w:rsidR="00B070BF" w:rsidRPr="009577DE" w:rsidRDefault="00B070BF" w:rsidP="00C33D4A">
            <w:pPr>
              <w:widowControl w:val="0"/>
              <w:autoSpaceDE w:val="0"/>
              <w:autoSpaceDN w:val="0"/>
              <w:adjustRightInd w:val="0"/>
              <w:spacing w:before="120" w:after="120"/>
              <w:rPr>
                <w:sz w:val="16"/>
                <w:szCs w:val="16"/>
                <w:lang w:val="es-ES_tradnl" w:eastAsia="ja-JP" w:bidi="th-TH"/>
              </w:rPr>
            </w:pPr>
            <w:r w:rsidRPr="009577DE">
              <w:rPr>
                <w:sz w:val="16"/>
                <w:szCs w:val="16"/>
                <w:lang w:val="es-ES_tradnl" w:eastAsia="ja-JP" w:bidi="th-TH"/>
              </w:rPr>
              <w:t xml:space="preserve">i) Dar a los encargados de la adopción de políticas y los representantes de empresas la oportunidad de intercambiar opiniones sobre el desarrollo sostenible mediante la transferencia eficaz de tecnologías respetuosas del medioambiente;  ii) explorar la forma en que el </w:t>
            </w:r>
            <w:r w:rsidRPr="009577DE">
              <w:rPr>
                <w:snapToGrid w:val="0"/>
                <w:sz w:val="16"/>
                <w:szCs w:val="16"/>
                <w:lang w:val="es-ES_tradnl" w:eastAsia="ja-JP" w:bidi="th-TH"/>
              </w:rPr>
              <w:t>sistema de P.I.</w:t>
            </w:r>
            <w:r w:rsidRPr="009577DE">
              <w:rPr>
                <w:sz w:val="16"/>
                <w:szCs w:val="16"/>
                <w:lang w:val="es-ES_tradnl" w:eastAsia="ja-JP" w:bidi="th-TH"/>
              </w:rPr>
              <w:t xml:space="preserve"> contribuye al desarrollo de tecnologías respetuosas del medio ambiente;  y iii) examinar las posibilidades de cooperación internacional con miras a ampliar el acceso a tecnologías respetuosas del medioambiente.</w:t>
            </w:r>
          </w:p>
        </w:tc>
      </w:tr>
      <w:tr w:rsidR="00B070BF" w:rsidRPr="009577DE" w:rsidTr="00C33D4A">
        <w:trPr>
          <w:cantSplit/>
          <w:trHeight w:val="1433"/>
        </w:trPr>
        <w:tc>
          <w:tcPr>
            <w:tcW w:w="1843" w:type="dxa"/>
            <w:tcBorders>
              <w:top w:val="nil"/>
              <w:left w:val="single" w:sz="4" w:space="0" w:color="auto"/>
              <w:bottom w:val="nil"/>
            </w:tcBorders>
          </w:tcPr>
          <w:p w:rsidR="00B070BF" w:rsidRPr="009577DE" w:rsidRDefault="00B070BF" w:rsidP="00C33D4A">
            <w:pPr>
              <w:widowControl w:val="0"/>
              <w:autoSpaceDE w:val="0"/>
              <w:autoSpaceDN w:val="0"/>
              <w:adjustRightInd w:val="0"/>
              <w:spacing w:before="120" w:after="120"/>
              <w:rPr>
                <w:sz w:val="16"/>
                <w:szCs w:val="16"/>
                <w:lang w:val="es-ES_tradnl" w:eastAsia="ja-JP"/>
              </w:rPr>
            </w:pPr>
            <w:r w:rsidRPr="009577DE">
              <w:rPr>
                <w:sz w:val="16"/>
                <w:szCs w:val="16"/>
                <w:lang w:val="es-ES_tradnl" w:eastAsia="ja-JP"/>
              </w:rPr>
              <w:t xml:space="preserve">Seminario regional de la OMPI sobre </w:t>
            </w:r>
            <w:r>
              <w:rPr>
                <w:sz w:val="16"/>
                <w:szCs w:val="16"/>
                <w:lang w:val="es-ES_tradnl" w:eastAsia="ja-JP"/>
              </w:rPr>
              <w:t xml:space="preserve">los aspectos legislativos, económicos y de políticas </w:t>
            </w:r>
            <w:r w:rsidRPr="009577DE">
              <w:rPr>
                <w:sz w:val="16"/>
                <w:szCs w:val="16"/>
                <w:lang w:val="es-ES_tradnl" w:eastAsia="ja-JP"/>
              </w:rPr>
              <w:t xml:space="preserve">del </w:t>
            </w:r>
            <w:r w:rsidRPr="009577DE">
              <w:rPr>
                <w:snapToGrid w:val="0"/>
                <w:sz w:val="16"/>
                <w:szCs w:val="16"/>
                <w:lang w:val="es-ES_tradnl" w:eastAsia="ja-JP"/>
              </w:rPr>
              <w:t>sistema de</w:t>
            </w:r>
            <w:r w:rsidRPr="009577DE">
              <w:rPr>
                <w:sz w:val="16"/>
                <w:szCs w:val="16"/>
                <w:lang w:val="es-ES_tradnl" w:eastAsia="ja-JP"/>
              </w:rPr>
              <w:t xml:space="preserve"> protección de los modelos de utilidad.</w:t>
            </w:r>
          </w:p>
        </w:tc>
        <w:tc>
          <w:tcPr>
            <w:tcW w:w="1137" w:type="dxa"/>
            <w:tcBorders>
              <w:top w:val="nil"/>
              <w:bottom w:val="nil"/>
            </w:tcBorders>
          </w:tcPr>
          <w:p w:rsidR="00B070BF" w:rsidRPr="009577DE" w:rsidRDefault="00B070BF" w:rsidP="00C33D4A">
            <w:pPr>
              <w:widowControl w:val="0"/>
              <w:autoSpaceDE w:val="0"/>
              <w:autoSpaceDN w:val="0"/>
              <w:adjustRightInd w:val="0"/>
              <w:spacing w:before="120" w:after="120"/>
              <w:rPr>
                <w:sz w:val="16"/>
                <w:szCs w:val="16"/>
                <w:lang w:val="es-ES_tradnl" w:eastAsia="ja-JP" w:bidi="th-TH"/>
              </w:rPr>
            </w:pPr>
            <w:r>
              <w:rPr>
                <w:sz w:val="16"/>
                <w:szCs w:val="16"/>
                <w:lang w:val="es-ES_tradnl" w:eastAsia="ja-JP" w:bidi="th-TH"/>
              </w:rPr>
              <w:t>3</w:t>
            </w:r>
            <w:r w:rsidRPr="009577DE">
              <w:rPr>
                <w:sz w:val="16"/>
                <w:szCs w:val="16"/>
                <w:lang w:val="es-ES_tradnl" w:eastAsia="ja-JP" w:bidi="th-TH"/>
              </w:rPr>
              <w:t xml:space="preserve"> y</w:t>
            </w:r>
            <w:r>
              <w:rPr>
                <w:sz w:val="16"/>
                <w:szCs w:val="16"/>
                <w:lang w:val="es-ES_tradnl" w:eastAsia="ja-JP" w:bidi="th-TH"/>
              </w:rPr>
              <w:t xml:space="preserve"> 4</w:t>
            </w:r>
            <w:r w:rsidRPr="009577DE">
              <w:rPr>
                <w:sz w:val="16"/>
                <w:szCs w:val="16"/>
                <w:lang w:val="es-ES_tradnl" w:eastAsia="ja-JP" w:bidi="th-TH"/>
              </w:rPr>
              <w:t xml:space="preserve"> de septiembre de 2012</w:t>
            </w:r>
          </w:p>
        </w:tc>
        <w:tc>
          <w:tcPr>
            <w:tcW w:w="2552" w:type="dxa"/>
            <w:tcBorders>
              <w:top w:val="nil"/>
              <w:bottom w:val="nil"/>
            </w:tcBorders>
          </w:tcPr>
          <w:p w:rsidR="00B070BF" w:rsidRPr="009577DE" w:rsidRDefault="00B070BF" w:rsidP="00C33D4A">
            <w:pPr>
              <w:widowControl w:val="0"/>
              <w:autoSpaceDE w:val="0"/>
              <w:autoSpaceDN w:val="0"/>
              <w:adjustRightInd w:val="0"/>
              <w:spacing w:before="120" w:after="120"/>
              <w:rPr>
                <w:sz w:val="16"/>
                <w:szCs w:val="16"/>
                <w:lang w:val="es-ES_tradnl" w:eastAsia="ja-JP" w:bidi="th-TH"/>
              </w:rPr>
            </w:pPr>
            <w:r>
              <w:rPr>
                <w:sz w:val="16"/>
                <w:szCs w:val="16"/>
                <w:lang w:val="es-ES_tradnl" w:eastAsia="ja-JP" w:bidi="th-TH"/>
              </w:rPr>
              <w:t>Malasia</w:t>
            </w:r>
          </w:p>
          <w:p w:rsidR="00B070BF" w:rsidRPr="009577DE" w:rsidRDefault="00B070BF" w:rsidP="00C33D4A">
            <w:pPr>
              <w:widowControl w:val="0"/>
              <w:autoSpaceDE w:val="0"/>
              <w:autoSpaceDN w:val="0"/>
              <w:adjustRightInd w:val="0"/>
              <w:spacing w:before="120" w:after="120"/>
              <w:rPr>
                <w:sz w:val="16"/>
                <w:szCs w:val="16"/>
                <w:lang w:val="es-ES_tradnl" w:eastAsia="ja-JP" w:bidi="th-TH"/>
              </w:rPr>
            </w:pPr>
          </w:p>
          <w:p w:rsidR="00B070BF" w:rsidRPr="009577DE" w:rsidRDefault="00B070BF" w:rsidP="00C33D4A">
            <w:pPr>
              <w:widowControl w:val="0"/>
              <w:autoSpaceDE w:val="0"/>
              <w:autoSpaceDN w:val="0"/>
              <w:adjustRightInd w:val="0"/>
              <w:spacing w:before="120" w:after="120"/>
              <w:rPr>
                <w:sz w:val="16"/>
                <w:szCs w:val="16"/>
                <w:lang w:val="es-ES_tradnl" w:eastAsia="ja-JP" w:bidi="th-TH"/>
              </w:rPr>
            </w:pPr>
          </w:p>
        </w:tc>
        <w:tc>
          <w:tcPr>
            <w:tcW w:w="3543" w:type="dxa"/>
            <w:tcBorders>
              <w:top w:val="nil"/>
              <w:bottom w:val="nil"/>
              <w:right w:val="single" w:sz="4" w:space="0" w:color="auto"/>
            </w:tcBorders>
          </w:tcPr>
          <w:p w:rsidR="00B070BF" w:rsidRPr="009577DE" w:rsidRDefault="00B070BF" w:rsidP="00C33D4A">
            <w:pPr>
              <w:widowControl w:val="0"/>
              <w:autoSpaceDE w:val="0"/>
              <w:autoSpaceDN w:val="0"/>
              <w:adjustRightInd w:val="0"/>
              <w:spacing w:before="120" w:after="120"/>
              <w:rPr>
                <w:sz w:val="16"/>
                <w:szCs w:val="16"/>
                <w:lang w:val="es-ES_tradnl" w:eastAsia="ja-JP" w:bidi="th-TH"/>
              </w:rPr>
            </w:pPr>
            <w:r w:rsidRPr="009577DE">
              <w:rPr>
                <w:sz w:val="16"/>
                <w:szCs w:val="16"/>
                <w:lang w:val="es-ES_tradnl" w:eastAsia="ja-JP" w:bidi="th-TH"/>
              </w:rPr>
              <w:t xml:space="preserve">i) Mejorar la comprensión de las ventajas del </w:t>
            </w:r>
            <w:r w:rsidRPr="009577DE">
              <w:rPr>
                <w:snapToGrid w:val="0"/>
                <w:sz w:val="16"/>
                <w:szCs w:val="16"/>
                <w:lang w:val="es-ES_tradnl" w:eastAsia="ja-JP" w:bidi="th-TH"/>
              </w:rPr>
              <w:t>sistema de protección de los modelos de utilidad</w:t>
            </w:r>
            <w:r w:rsidRPr="009577DE">
              <w:rPr>
                <w:sz w:val="16"/>
                <w:szCs w:val="16"/>
                <w:lang w:val="es-ES_tradnl" w:eastAsia="ja-JP" w:bidi="th-TH"/>
              </w:rPr>
              <w:t>;  ii) examinar los distintos enfoques de protección de los modelos de utilidad;  y iii) compartir las prácticas óptimas respecto de la utilización eficaz del sistema para fomentar la innovación.</w:t>
            </w:r>
          </w:p>
        </w:tc>
      </w:tr>
      <w:tr w:rsidR="00B070BF" w:rsidRPr="009577DE" w:rsidTr="00C33D4A">
        <w:trPr>
          <w:cantSplit/>
          <w:trHeight w:val="1226"/>
        </w:trPr>
        <w:tc>
          <w:tcPr>
            <w:tcW w:w="1843" w:type="dxa"/>
            <w:tcBorders>
              <w:top w:val="nil"/>
              <w:left w:val="single" w:sz="4" w:space="0" w:color="auto"/>
              <w:bottom w:val="nil"/>
            </w:tcBorders>
          </w:tcPr>
          <w:p w:rsidR="00B070BF" w:rsidRPr="009577DE" w:rsidRDefault="00B070BF" w:rsidP="00C33D4A">
            <w:pPr>
              <w:widowControl w:val="0"/>
              <w:autoSpaceDE w:val="0"/>
              <w:autoSpaceDN w:val="0"/>
              <w:adjustRightInd w:val="0"/>
              <w:spacing w:before="120" w:after="120"/>
              <w:rPr>
                <w:sz w:val="16"/>
                <w:szCs w:val="16"/>
                <w:lang w:val="es-ES_tradnl" w:eastAsia="ja-JP"/>
              </w:rPr>
            </w:pPr>
            <w:r w:rsidRPr="009577DE">
              <w:rPr>
                <w:sz w:val="16"/>
                <w:szCs w:val="16"/>
                <w:lang w:val="es-ES_tradnl" w:eastAsia="ja-JP" w:bidi="th-TH"/>
              </w:rPr>
              <w:t>Curso de formación sobre las prácticas de examen en el ámbito de la propiedad industrial – Programa intermedio/avanzado.</w:t>
            </w:r>
          </w:p>
        </w:tc>
        <w:tc>
          <w:tcPr>
            <w:tcW w:w="1137" w:type="dxa"/>
            <w:tcBorders>
              <w:top w:val="nil"/>
              <w:bottom w:val="nil"/>
            </w:tcBorders>
          </w:tcPr>
          <w:p w:rsidR="00B070BF" w:rsidRPr="009577DE" w:rsidRDefault="00B070BF" w:rsidP="00C33D4A">
            <w:pPr>
              <w:widowControl w:val="0"/>
              <w:autoSpaceDE w:val="0"/>
              <w:autoSpaceDN w:val="0"/>
              <w:adjustRightInd w:val="0"/>
              <w:spacing w:before="120" w:after="120"/>
              <w:rPr>
                <w:sz w:val="16"/>
                <w:szCs w:val="16"/>
                <w:lang w:val="es-ES_tradnl" w:eastAsia="ja-JP" w:bidi="th-TH"/>
              </w:rPr>
            </w:pPr>
            <w:r w:rsidRPr="009577DE">
              <w:rPr>
                <w:sz w:val="16"/>
                <w:szCs w:val="16"/>
                <w:lang w:val="es-ES_tradnl" w:eastAsia="ja-JP" w:bidi="th-TH"/>
              </w:rPr>
              <w:t xml:space="preserve">22 de octubre a 2 de </w:t>
            </w:r>
            <w:r w:rsidRPr="009577DE">
              <w:rPr>
                <w:snapToGrid w:val="0"/>
                <w:sz w:val="16"/>
                <w:szCs w:val="16"/>
                <w:lang w:val="es-ES_tradnl" w:eastAsia="ja-JP" w:bidi="th-TH"/>
              </w:rPr>
              <w:t>noviembre</w:t>
            </w:r>
            <w:r w:rsidRPr="009577DE">
              <w:rPr>
                <w:sz w:val="16"/>
                <w:szCs w:val="16"/>
                <w:lang w:val="es-ES_tradnl" w:eastAsia="ja-JP" w:bidi="th-TH"/>
              </w:rPr>
              <w:t xml:space="preserve"> de 2012</w:t>
            </w:r>
          </w:p>
          <w:p w:rsidR="00B070BF" w:rsidRPr="009577DE" w:rsidRDefault="00B070BF" w:rsidP="00C33D4A">
            <w:pPr>
              <w:widowControl w:val="0"/>
              <w:autoSpaceDE w:val="0"/>
              <w:autoSpaceDN w:val="0"/>
              <w:adjustRightInd w:val="0"/>
              <w:spacing w:before="120" w:after="120"/>
              <w:rPr>
                <w:sz w:val="16"/>
                <w:szCs w:val="16"/>
                <w:lang w:val="es-ES_tradnl" w:eastAsia="ja-JP" w:bidi="th-TH"/>
              </w:rPr>
            </w:pPr>
          </w:p>
        </w:tc>
        <w:tc>
          <w:tcPr>
            <w:tcW w:w="2552" w:type="dxa"/>
            <w:tcBorders>
              <w:top w:val="nil"/>
              <w:bottom w:val="nil"/>
            </w:tcBorders>
          </w:tcPr>
          <w:p w:rsidR="00B070BF" w:rsidRPr="009577DE" w:rsidRDefault="00B070BF" w:rsidP="00C33D4A">
            <w:pPr>
              <w:widowControl w:val="0"/>
              <w:autoSpaceDE w:val="0"/>
              <w:autoSpaceDN w:val="0"/>
              <w:adjustRightInd w:val="0"/>
              <w:spacing w:before="120" w:after="120"/>
              <w:rPr>
                <w:sz w:val="16"/>
                <w:szCs w:val="16"/>
                <w:lang w:val="es-ES_tradnl" w:eastAsia="ja-JP" w:bidi="th-TH"/>
              </w:rPr>
            </w:pPr>
            <w:r w:rsidRPr="009577DE">
              <w:rPr>
                <w:sz w:val="16"/>
                <w:szCs w:val="16"/>
                <w:lang w:val="es-ES_tradnl" w:eastAsia="ja-JP" w:bidi="th-TH"/>
              </w:rPr>
              <w:t>Japón</w:t>
            </w:r>
          </w:p>
          <w:p w:rsidR="00B070BF" w:rsidRPr="009577DE" w:rsidRDefault="00B070BF" w:rsidP="00C33D4A">
            <w:pPr>
              <w:widowControl w:val="0"/>
              <w:autoSpaceDE w:val="0"/>
              <w:autoSpaceDN w:val="0"/>
              <w:adjustRightInd w:val="0"/>
              <w:spacing w:before="120" w:after="120"/>
              <w:rPr>
                <w:sz w:val="16"/>
                <w:szCs w:val="16"/>
                <w:lang w:val="es-ES_tradnl" w:eastAsia="ja-JP" w:bidi="th-TH"/>
              </w:rPr>
            </w:pPr>
          </w:p>
        </w:tc>
        <w:tc>
          <w:tcPr>
            <w:tcW w:w="3543" w:type="dxa"/>
            <w:tcBorders>
              <w:top w:val="nil"/>
              <w:bottom w:val="nil"/>
              <w:right w:val="single" w:sz="4" w:space="0" w:color="auto"/>
            </w:tcBorders>
          </w:tcPr>
          <w:p w:rsidR="00B070BF" w:rsidRPr="009577DE" w:rsidRDefault="00B070BF" w:rsidP="00C33D4A">
            <w:pPr>
              <w:widowControl w:val="0"/>
              <w:autoSpaceDE w:val="0"/>
              <w:autoSpaceDN w:val="0"/>
              <w:adjustRightInd w:val="0"/>
              <w:spacing w:before="120" w:after="120"/>
              <w:rPr>
                <w:sz w:val="16"/>
                <w:szCs w:val="16"/>
                <w:lang w:val="es-ES_tradnl" w:eastAsia="ja-JP" w:bidi="th-TH"/>
              </w:rPr>
            </w:pPr>
            <w:r w:rsidRPr="009577DE">
              <w:rPr>
                <w:sz w:val="16"/>
                <w:szCs w:val="16"/>
                <w:lang w:val="es-ES_tradnl" w:eastAsia="ja-JP" w:bidi="th-TH"/>
              </w:rPr>
              <w:t>Ayudar a los participantes a adquirir conocimientos básicos sobre el derecho y los procedimientos de examen de fondo en la esfera del examen de los derechos de propiedad industrial a través de ponencias, prácticas y estudios de casos.</w:t>
            </w:r>
          </w:p>
        </w:tc>
      </w:tr>
      <w:tr w:rsidR="00B070BF" w:rsidRPr="009577DE" w:rsidTr="00C33D4A">
        <w:trPr>
          <w:cantSplit/>
          <w:trHeight w:val="1253"/>
        </w:trPr>
        <w:tc>
          <w:tcPr>
            <w:tcW w:w="1843" w:type="dxa"/>
            <w:tcBorders>
              <w:top w:val="nil"/>
              <w:left w:val="single" w:sz="4" w:space="0" w:color="auto"/>
              <w:bottom w:val="nil"/>
            </w:tcBorders>
          </w:tcPr>
          <w:p w:rsidR="00B070BF" w:rsidRPr="009577DE" w:rsidRDefault="00B070BF" w:rsidP="00C33D4A">
            <w:pPr>
              <w:widowControl w:val="0"/>
              <w:autoSpaceDE w:val="0"/>
              <w:autoSpaceDN w:val="0"/>
              <w:adjustRightInd w:val="0"/>
              <w:spacing w:before="120" w:after="120"/>
              <w:rPr>
                <w:sz w:val="16"/>
                <w:szCs w:val="16"/>
                <w:lang w:val="es-ES_tradnl" w:eastAsia="ja-JP" w:bidi="th-TH"/>
              </w:rPr>
            </w:pPr>
            <w:r w:rsidRPr="009577DE">
              <w:rPr>
                <w:sz w:val="16"/>
                <w:szCs w:val="16"/>
                <w:lang w:val="es-ES_tradnl" w:eastAsia="ja-JP" w:bidi="th-TH"/>
              </w:rPr>
              <w:t>Misi</w:t>
            </w:r>
            <w:r>
              <w:rPr>
                <w:sz w:val="16"/>
                <w:szCs w:val="16"/>
                <w:lang w:val="es-ES_tradnl" w:eastAsia="ja-JP" w:bidi="th-TH"/>
              </w:rPr>
              <w:t>ó</w:t>
            </w:r>
            <w:r w:rsidRPr="009577DE">
              <w:rPr>
                <w:sz w:val="16"/>
                <w:szCs w:val="16"/>
                <w:lang w:val="es-ES_tradnl" w:eastAsia="ja-JP" w:bidi="th-TH"/>
              </w:rPr>
              <w:t>n de expertos.</w:t>
            </w:r>
          </w:p>
          <w:p w:rsidR="00B070BF" w:rsidRPr="009577DE" w:rsidRDefault="00B070BF" w:rsidP="00C33D4A">
            <w:pPr>
              <w:widowControl w:val="0"/>
              <w:autoSpaceDE w:val="0"/>
              <w:autoSpaceDN w:val="0"/>
              <w:adjustRightInd w:val="0"/>
              <w:spacing w:before="120" w:after="120"/>
              <w:rPr>
                <w:sz w:val="16"/>
                <w:szCs w:val="16"/>
                <w:lang w:val="es-ES_tradnl" w:eastAsia="ja-JP"/>
              </w:rPr>
            </w:pPr>
          </w:p>
          <w:p w:rsidR="00B070BF" w:rsidRPr="009577DE" w:rsidRDefault="00B070BF" w:rsidP="00C33D4A">
            <w:pPr>
              <w:widowControl w:val="0"/>
              <w:autoSpaceDE w:val="0"/>
              <w:autoSpaceDN w:val="0"/>
              <w:adjustRightInd w:val="0"/>
              <w:spacing w:before="120" w:after="120"/>
              <w:rPr>
                <w:sz w:val="16"/>
                <w:szCs w:val="16"/>
                <w:lang w:val="es-ES_tradnl" w:eastAsia="ja-JP" w:bidi="th-TH"/>
              </w:rPr>
            </w:pPr>
          </w:p>
        </w:tc>
        <w:tc>
          <w:tcPr>
            <w:tcW w:w="1137" w:type="dxa"/>
            <w:tcBorders>
              <w:top w:val="nil"/>
              <w:bottom w:val="nil"/>
            </w:tcBorders>
          </w:tcPr>
          <w:p w:rsidR="00B070BF" w:rsidRPr="009577DE" w:rsidRDefault="00B070BF" w:rsidP="00C33D4A">
            <w:pPr>
              <w:widowControl w:val="0"/>
              <w:autoSpaceDE w:val="0"/>
              <w:autoSpaceDN w:val="0"/>
              <w:adjustRightInd w:val="0"/>
              <w:spacing w:before="120" w:after="120"/>
              <w:rPr>
                <w:sz w:val="16"/>
                <w:szCs w:val="16"/>
                <w:lang w:val="es-ES_tradnl" w:eastAsia="ja-JP" w:bidi="th-TH"/>
              </w:rPr>
            </w:pPr>
            <w:r w:rsidRPr="009577DE">
              <w:rPr>
                <w:sz w:val="16"/>
                <w:szCs w:val="16"/>
                <w:lang w:val="es-ES_tradnl" w:eastAsia="ja-JP" w:bidi="th-TH"/>
              </w:rPr>
              <w:t>23 a 25 de octubre de 2012</w:t>
            </w:r>
          </w:p>
        </w:tc>
        <w:tc>
          <w:tcPr>
            <w:tcW w:w="2552" w:type="dxa"/>
            <w:tcBorders>
              <w:top w:val="nil"/>
              <w:bottom w:val="nil"/>
            </w:tcBorders>
          </w:tcPr>
          <w:p w:rsidR="00B070BF" w:rsidRPr="009577DE" w:rsidRDefault="00B070BF" w:rsidP="00C33D4A">
            <w:pPr>
              <w:widowControl w:val="0"/>
              <w:autoSpaceDE w:val="0"/>
              <w:autoSpaceDN w:val="0"/>
              <w:adjustRightInd w:val="0"/>
              <w:spacing w:before="120" w:after="120"/>
              <w:rPr>
                <w:sz w:val="16"/>
                <w:szCs w:val="16"/>
                <w:lang w:val="es-ES_tradnl" w:eastAsia="ja-JP" w:bidi="th-TH"/>
              </w:rPr>
            </w:pPr>
            <w:r w:rsidRPr="009577DE">
              <w:rPr>
                <w:sz w:val="16"/>
                <w:szCs w:val="16"/>
                <w:lang w:val="es-ES_tradnl" w:eastAsia="ja-JP" w:bidi="th-TH"/>
              </w:rPr>
              <w:t>Filipinas</w:t>
            </w:r>
          </w:p>
        </w:tc>
        <w:tc>
          <w:tcPr>
            <w:tcW w:w="3543" w:type="dxa"/>
            <w:tcBorders>
              <w:top w:val="nil"/>
              <w:bottom w:val="nil"/>
              <w:right w:val="single" w:sz="4" w:space="0" w:color="auto"/>
            </w:tcBorders>
          </w:tcPr>
          <w:p w:rsidR="00B070BF" w:rsidRPr="009577DE" w:rsidRDefault="00B070BF" w:rsidP="00C33D4A">
            <w:pPr>
              <w:widowControl w:val="0"/>
              <w:autoSpaceDE w:val="0"/>
              <w:autoSpaceDN w:val="0"/>
              <w:adjustRightInd w:val="0"/>
              <w:spacing w:before="120" w:after="120"/>
              <w:rPr>
                <w:sz w:val="16"/>
                <w:szCs w:val="16"/>
                <w:lang w:val="es-ES_tradnl" w:eastAsia="ja-JP" w:bidi="th-TH"/>
              </w:rPr>
            </w:pPr>
            <w:r w:rsidRPr="009577DE">
              <w:rPr>
                <w:sz w:val="16"/>
                <w:szCs w:val="16"/>
                <w:lang w:val="es-ES_tradnl" w:eastAsia="ja-JP" w:bidi="th-TH"/>
              </w:rPr>
              <w:t xml:space="preserve">Asistir a la Oficina de Propiedad Intelectual de Filipinas  (IPOPHL) en distintas esferas, entre otras, la capacitación de los examinadores de solicitudes de marcas en el uso de las Clasificaciones de Niza y de Viena y de los examinadores de solicitudes de diseños en el uso de la Clasificación de </w:t>
            </w:r>
            <w:proofErr w:type="spellStart"/>
            <w:r w:rsidRPr="009577DE">
              <w:rPr>
                <w:sz w:val="16"/>
                <w:szCs w:val="16"/>
                <w:lang w:val="es-ES_tradnl" w:eastAsia="ja-JP" w:bidi="th-TH"/>
              </w:rPr>
              <w:t>Locarno</w:t>
            </w:r>
            <w:proofErr w:type="spellEnd"/>
            <w:r w:rsidRPr="009577DE">
              <w:rPr>
                <w:sz w:val="16"/>
                <w:szCs w:val="16"/>
                <w:lang w:val="es-ES_tradnl" w:eastAsia="ja-JP" w:bidi="th-TH"/>
              </w:rPr>
              <w:t>.</w:t>
            </w:r>
          </w:p>
        </w:tc>
      </w:tr>
      <w:tr w:rsidR="00B070BF" w:rsidRPr="009577DE" w:rsidTr="00C33D4A">
        <w:trPr>
          <w:cantSplit/>
          <w:trHeight w:val="1612"/>
        </w:trPr>
        <w:tc>
          <w:tcPr>
            <w:tcW w:w="1843" w:type="dxa"/>
            <w:tcBorders>
              <w:top w:val="nil"/>
              <w:left w:val="single" w:sz="4" w:space="0" w:color="auto"/>
              <w:bottom w:val="single" w:sz="4" w:space="0" w:color="auto"/>
            </w:tcBorders>
          </w:tcPr>
          <w:p w:rsidR="00B070BF" w:rsidRPr="009577DE" w:rsidRDefault="00B070BF" w:rsidP="00C33D4A">
            <w:pPr>
              <w:widowControl w:val="0"/>
              <w:autoSpaceDE w:val="0"/>
              <w:autoSpaceDN w:val="0"/>
              <w:adjustRightInd w:val="0"/>
              <w:spacing w:before="120" w:after="120"/>
              <w:rPr>
                <w:sz w:val="16"/>
                <w:szCs w:val="16"/>
                <w:lang w:val="es-ES_tradnl" w:eastAsia="ja-JP" w:bidi="th-TH"/>
              </w:rPr>
            </w:pPr>
            <w:r w:rsidRPr="009577DE">
              <w:rPr>
                <w:sz w:val="16"/>
                <w:szCs w:val="16"/>
                <w:lang w:val="es-ES_tradnl" w:eastAsia="ja-JP"/>
              </w:rPr>
              <w:t>Curso de formación sobre observancia de los derechos de propiedad intelectual.</w:t>
            </w:r>
          </w:p>
        </w:tc>
        <w:tc>
          <w:tcPr>
            <w:tcW w:w="1137" w:type="dxa"/>
            <w:tcBorders>
              <w:top w:val="nil"/>
              <w:bottom w:val="single" w:sz="4" w:space="0" w:color="auto"/>
            </w:tcBorders>
          </w:tcPr>
          <w:p w:rsidR="00B070BF" w:rsidRPr="009577DE" w:rsidRDefault="00B070BF" w:rsidP="00C33D4A">
            <w:pPr>
              <w:widowControl w:val="0"/>
              <w:autoSpaceDE w:val="0"/>
              <w:autoSpaceDN w:val="0"/>
              <w:adjustRightInd w:val="0"/>
              <w:spacing w:before="120" w:after="120"/>
              <w:rPr>
                <w:sz w:val="16"/>
                <w:szCs w:val="16"/>
                <w:lang w:val="es-ES_tradnl" w:eastAsia="ja-JP" w:bidi="th-TH"/>
              </w:rPr>
            </w:pPr>
            <w:r w:rsidRPr="009577DE">
              <w:rPr>
                <w:sz w:val="16"/>
                <w:szCs w:val="16"/>
                <w:lang w:val="es-ES_tradnl" w:eastAsia="ja-JP" w:bidi="th-TH"/>
              </w:rPr>
              <w:t xml:space="preserve">5 a 16 de noviembre de 2012  </w:t>
            </w:r>
          </w:p>
        </w:tc>
        <w:tc>
          <w:tcPr>
            <w:tcW w:w="2552" w:type="dxa"/>
            <w:tcBorders>
              <w:top w:val="nil"/>
              <w:bottom w:val="single" w:sz="4" w:space="0" w:color="auto"/>
            </w:tcBorders>
          </w:tcPr>
          <w:p w:rsidR="00B070BF" w:rsidRPr="009577DE" w:rsidRDefault="00B070BF" w:rsidP="00C33D4A">
            <w:pPr>
              <w:widowControl w:val="0"/>
              <w:autoSpaceDE w:val="0"/>
              <w:autoSpaceDN w:val="0"/>
              <w:adjustRightInd w:val="0"/>
              <w:spacing w:before="120" w:after="120"/>
              <w:rPr>
                <w:sz w:val="16"/>
                <w:szCs w:val="16"/>
                <w:lang w:val="es-ES_tradnl" w:eastAsia="ja-JP" w:bidi="th-TH"/>
              </w:rPr>
            </w:pPr>
            <w:r w:rsidRPr="009577DE">
              <w:rPr>
                <w:sz w:val="16"/>
                <w:szCs w:val="16"/>
                <w:lang w:val="es-ES_tradnl" w:eastAsia="ja-JP" w:bidi="th-TH"/>
              </w:rPr>
              <w:t>Japón</w:t>
            </w:r>
          </w:p>
        </w:tc>
        <w:tc>
          <w:tcPr>
            <w:tcW w:w="3543" w:type="dxa"/>
            <w:tcBorders>
              <w:top w:val="nil"/>
              <w:bottom w:val="single" w:sz="4" w:space="0" w:color="auto"/>
              <w:right w:val="single" w:sz="4" w:space="0" w:color="auto"/>
            </w:tcBorders>
          </w:tcPr>
          <w:p w:rsidR="00B070BF" w:rsidRPr="009577DE" w:rsidRDefault="00B070BF" w:rsidP="00C33D4A">
            <w:pPr>
              <w:widowControl w:val="0"/>
              <w:autoSpaceDE w:val="0"/>
              <w:autoSpaceDN w:val="0"/>
              <w:adjustRightInd w:val="0"/>
              <w:spacing w:before="120" w:after="120"/>
              <w:rPr>
                <w:sz w:val="16"/>
                <w:szCs w:val="16"/>
                <w:lang w:val="es-ES_tradnl" w:eastAsia="ja-JP" w:bidi="th-TH"/>
              </w:rPr>
            </w:pPr>
            <w:r w:rsidRPr="009577DE">
              <w:rPr>
                <w:sz w:val="16"/>
                <w:szCs w:val="16"/>
                <w:lang w:val="es-ES_tradnl" w:eastAsia="ja-JP" w:bidi="th-TH"/>
              </w:rPr>
              <w:t xml:space="preserve">i) Estudiar las tendencias y las prácticas actuales en la esfera de la observancia de los derechos de P.I.;  ii) examinar la justificación, los componentes, la investigación, el procesamiento de los delitos e infracciones en materia de P.I. así como las responsabilidades que se derivan de ellos;  y iv) debatir distintas cuestiones de actualidad en materia de políticas relacionadas con la observancia de la P.I. </w:t>
            </w:r>
          </w:p>
        </w:tc>
      </w:tr>
      <w:tr w:rsidR="00B070BF" w:rsidRPr="009577DE" w:rsidTr="00C33D4A">
        <w:trPr>
          <w:cantSplit/>
          <w:trHeight w:val="2125"/>
        </w:trPr>
        <w:tc>
          <w:tcPr>
            <w:tcW w:w="1843" w:type="dxa"/>
            <w:tcBorders>
              <w:top w:val="single" w:sz="4" w:space="0" w:color="auto"/>
              <w:left w:val="single" w:sz="4" w:space="0" w:color="auto"/>
              <w:bottom w:val="nil"/>
            </w:tcBorders>
          </w:tcPr>
          <w:p w:rsidR="00B070BF" w:rsidRPr="009577DE" w:rsidRDefault="00B070BF" w:rsidP="00C33D4A">
            <w:pPr>
              <w:widowControl w:val="0"/>
              <w:autoSpaceDE w:val="0"/>
              <w:autoSpaceDN w:val="0"/>
              <w:adjustRightInd w:val="0"/>
              <w:spacing w:before="120" w:after="120"/>
              <w:rPr>
                <w:sz w:val="16"/>
                <w:szCs w:val="16"/>
                <w:lang w:val="es-ES_tradnl" w:eastAsia="ja-JP"/>
              </w:rPr>
            </w:pPr>
            <w:r w:rsidRPr="009577DE">
              <w:rPr>
                <w:sz w:val="16"/>
                <w:szCs w:val="16"/>
                <w:lang w:val="es-ES_tradnl" w:eastAsia="ja-JP" w:bidi="th-TH"/>
              </w:rPr>
              <w:lastRenderedPageBreak/>
              <w:t>Talleres nacionales de la OMPI para examinadores de patentes sobre la utilización de los resultados del examen de patentes obtenidos de terceros.</w:t>
            </w:r>
          </w:p>
        </w:tc>
        <w:tc>
          <w:tcPr>
            <w:tcW w:w="1137" w:type="dxa"/>
            <w:tcBorders>
              <w:top w:val="single" w:sz="4" w:space="0" w:color="auto"/>
              <w:bottom w:val="nil"/>
            </w:tcBorders>
          </w:tcPr>
          <w:p w:rsidR="00B070BF" w:rsidRPr="009577DE" w:rsidRDefault="00B070BF" w:rsidP="00C33D4A">
            <w:pPr>
              <w:widowControl w:val="0"/>
              <w:autoSpaceDE w:val="0"/>
              <w:autoSpaceDN w:val="0"/>
              <w:adjustRightInd w:val="0"/>
              <w:spacing w:before="120" w:after="120"/>
              <w:rPr>
                <w:sz w:val="16"/>
                <w:szCs w:val="16"/>
                <w:lang w:val="es-ES_tradnl" w:eastAsia="ja-JP" w:bidi="th-TH"/>
              </w:rPr>
            </w:pPr>
            <w:r w:rsidRPr="009577DE">
              <w:rPr>
                <w:sz w:val="16"/>
                <w:szCs w:val="16"/>
                <w:lang w:val="es-ES_tradnl" w:eastAsia="ja-JP" w:bidi="th-TH"/>
              </w:rPr>
              <w:t>21 a 23 de noviembre de 2012</w:t>
            </w:r>
          </w:p>
          <w:p w:rsidR="00B070BF" w:rsidRPr="009577DE" w:rsidRDefault="00B070BF" w:rsidP="00C33D4A">
            <w:pPr>
              <w:widowControl w:val="0"/>
              <w:autoSpaceDE w:val="0"/>
              <w:autoSpaceDN w:val="0"/>
              <w:adjustRightInd w:val="0"/>
              <w:spacing w:before="120" w:after="120"/>
              <w:rPr>
                <w:sz w:val="16"/>
                <w:szCs w:val="16"/>
                <w:lang w:val="es-ES_tradnl" w:eastAsia="ja-JP" w:bidi="th-TH"/>
              </w:rPr>
            </w:pPr>
            <w:r w:rsidRPr="009577DE">
              <w:rPr>
                <w:sz w:val="16"/>
                <w:szCs w:val="16"/>
                <w:lang w:val="es-ES_tradnl" w:eastAsia="ja-JP" w:bidi="th-TH"/>
              </w:rPr>
              <w:t xml:space="preserve">26 a 28 de noviembre de 2012 </w:t>
            </w:r>
          </w:p>
        </w:tc>
        <w:tc>
          <w:tcPr>
            <w:tcW w:w="2552" w:type="dxa"/>
            <w:tcBorders>
              <w:top w:val="single" w:sz="4" w:space="0" w:color="auto"/>
              <w:bottom w:val="nil"/>
            </w:tcBorders>
          </w:tcPr>
          <w:p w:rsidR="00B070BF" w:rsidRPr="009577DE" w:rsidRDefault="00B070BF" w:rsidP="00C33D4A">
            <w:pPr>
              <w:widowControl w:val="0"/>
              <w:autoSpaceDE w:val="0"/>
              <w:autoSpaceDN w:val="0"/>
              <w:adjustRightInd w:val="0"/>
              <w:spacing w:before="120" w:after="120"/>
              <w:rPr>
                <w:sz w:val="16"/>
                <w:szCs w:val="16"/>
                <w:lang w:val="es-ES_tradnl" w:eastAsia="ja-JP" w:bidi="th-TH"/>
              </w:rPr>
            </w:pPr>
            <w:r w:rsidRPr="009577DE">
              <w:rPr>
                <w:sz w:val="16"/>
                <w:szCs w:val="16"/>
                <w:lang w:val="es-ES_tradnl" w:eastAsia="ja-JP" w:bidi="th-TH"/>
              </w:rPr>
              <w:t>Tailandia</w:t>
            </w:r>
          </w:p>
          <w:p w:rsidR="00B070BF" w:rsidRPr="009577DE" w:rsidRDefault="00B070BF" w:rsidP="00C33D4A">
            <w:pPr>
              <w:widowControl w:val="0"/>
              <w:autoSpaceDE w:val="0"/>
              <w:autoSpaceDN w:val="0"/>
              <w:adjustRightInd w:val="0"/>
              <w:spacing w:before="120" w:after="120"/>
              <w:rPr>
                <w:sz w:val="16"/>
                <w:szCs w:val="16"/>
                <w:lang w:val="es-ES_tradnl" w:eastAsia="ja-JP" w:bidi="th-TH"/>
              </w:rPr>
            </w:pPr>
          </w:p>
          <w:p w:rsidR="00B070BF" w:rsidRPr="009577DE" w:rsidRDefault="00B070BF" w:rsidP="00C33D4A">
            <w:pPr>
              <w:widowControl w:val="0"/>
              <w:autoSpaceDE w:val="0"/>
              <w:autoSpaceDN w:val="0"/>
              <w:adjustRightInd w:val="0"/>
              <w:spacing w:before="120" w:after="120"/>
              <w:rPr>
                <w:sz w:val="16"/>
                <w:szCs w:val="16"/>
                <w:lang w:val="es-ES_tradnl" w:eastAsia="ja-JP" w:bidi="th-TH"/>
              </w:rPr>
            </w:pPr>
          </w:p>
          <w:p w:rsidR="00B070BF" w:rsidRPr="009577DE" w:rsidRDefault="00B070BF" w:rsidP="00C33D4A">
            <w:pPr>
              <w:widowControl w:val="0"/>
              <w:autoSpaceDE w:val="0"/>
              <w:autoSpaceDN w:val="0"/>
              <w:adjustRightInd w:val="0"/>
              <w:spacing w:before="120" w:after="120"/>
              <w:rPr>
                <w:sz w:val="16"/>
                <w:szCs w:val="16"/>
                <w:lang w:val="es-ES_tradnl" w:eastAsia="ja-JP" w:bidi="th-TH"/>
              </w:rPr>
            </w:pPr>
            <w:proofErr w:type="spellStart"/>
            <w:r w:rsidRPr="009577DE">
              <w:rPr>
                <w:sz w:val="16"/>
                <w:szCs w:val="16"/>
                <w:lang w:val="es-ES_tradnl" w:eastAsia="ja-JP" w:bidi="th-TH"/>
              </w:rPr>
              <w:t>Viet</w:t>
            </w:r>
            <w:proofErr w:type="spellEnd"/>
            <w:r w:rsidRPr="009577DE">
              <w:rPr>
                <w:sz w:val="16"/>
                <w:szCs w:val="16"/>
                <w:lang w:val="es-ES_tradnl" w:eastAsia="ja-JP" w:bidi="th-TH"/>
              </w:rPr>
              <w:t xml:space="preserve"> </w:t>
            </w:r>
            <w:proofErr w:type="spellStart"/>
            <w:r w:rsidRPr="009577DE">
              <w:rPr>
                <w:sz w:val="16"/>
                <w:szCs w:val="16"/>
                <w:lang w:val="es-ES_tradnl" w:eastAsia="ja-JP" w:bidi="th-TH"/>
              </w:rPr>
              <w:t>Nam</w:t>
            </w:r>
            <w:proofErr w:type="spellEnd"/>
          </w:p>
        </w:tc>
        <w:tc>
          <w:tcPr>
            <w:tcW w:w="3543" w:type="dxa"/>
            <w:tcBorders>
              <w:top w:val="single" w:sz="4" w:space="0" w:color="auto"/>
              <w:bottom w:val="nil"/>
              <w:right w:val="single" w:sz="4" w:space="0" w:color="auto"/>
            </w:tcBorders>
          </w:tcPr>
          <w:p w:rsidR="00B070BF" w:rsidRPr="009577DE" w:rsidRDefault="00B070BF" w:rsidP="00C33D4A">
            <w:pPr>
              <w:widowControl w:val="0"/>
              <w:autoSpaceDE w:val="0"/>
              <w:autoSpaceDN w:val="0"/>
              <w:adjustRightInd w:val="0"/>
              <w:spacing w:before="120" w:after="120"/>
              <w:rPr>
                <w:sz w:val="16"/>
                <w:szCs w:val="16"/>
                <w:lang w:val="es-ES_tradnl" w:eastAsia="ja-JP" w:bidi="th-TH"/>
              </w:rPr>
            </w:pPr>
            <w:r w:rsidRPr="009577DE">
              <w:rPr>
                <w:sz w:val="16"/>
                <w:szCs w:val="16"/>
                <w:lang w:val="es-ES_tradnl" w:eastAsia="ja-JP" w:bidi="th-TH"/>
              </w:rPr>
              <w:t xml:space="preserve">i) Fortalecer las capacidades de examen de las administraciones de P.I. que disponen de recursos limitados;  ii) mejorar la eficiencia de la tramitación de patentes mediante el uso de resultados de examen obtenidos de otras fuentes para los miembros de familias de patentes, y fortalecer la confianza en el uso de esos resultados;  y iii) perfeccionar las aptitudes de los examinadores de patentes para recuperar los resultados de terceros, valiéndose de distintos recursos (por ejemplo, la IPDL y la AIPN de la Oficina Japonesa de Patentes, </w:t>
            </w:r>
            <w:proofErr w:type="spellStart"/>
            <w:r w:rsidRPr="009577DE">
              <w:rPr>
                <w:sz w:val="16"/>
                <w:szCs w:val="16"/>
                <w:lang w:val="es-ES_tradnl" w:eastAsia="ja-JP" w:bidi="th-TH"/>
              </w:rPr>
              <w:t>Espacenet</w:t>
            </w:r>
            <w:proofErr w:type="spellEnd"/>
            <w:r w:rsidRPr="009577DE">
              <w:rPr>
                <w:sz w:val="16"/>
                <w:szCs w:val="16"/>
                <w:lang w:val="es-ES_tradnl" w:eastAsia="ja-JP" w:bidi="th-TH"/>
              </w:rPr>
              <w:t xml:space="preserve">, </w:t>
            </w:r>
            <w:proofErr w:type="spellStart"/>
            <w:r w:rsidRPr="009577DE">
              <w:rPr>
                <w:sz w:val="16"/>
                <w:szCs w:val="16"/>
                <w:lang w:val="es-ES_tradnl" w:eastAsia="ja-JP" w:bidi="th-TH"/>
              </w:rPr>
              <w:t>Patentscope</w:t>
            </w:r>
            <w:proofErr w:type="spellEnd"/>
            <w:r w:rsidRPr="009577DE">
              <w:rPr>
                <w:sz w:val="16"/>
                <w:szCs w:val="16"/>
                <w:lang w:val="es-ES_tradnl" w:eastAsia="ja-JP" w:bidi="th-TH"/>
              </w:rPr>
              <w:t>, US PAIR e ICE) y aprovecharlos en el contexto normativo nacional.</w:t>
            </w:r>
          </w:p>
        </w:tc>
      </w:tr>
      <w:tr w:rsidR="00B070BF" w:rsidRPr="009577DE" w:rsidTr="00C33D4A">
        <w:trPr>
          <w:cantSplit/>
          <w:trHeight w:val="1129"/>
        </w:trPr>
        <w:tc>
          <w:tcPr>
            <w:tcW w:w="1843" w:type="dxa"/>
            <w:tcBorders>
              <w:top w:val="nil"/>
              <w:left w:val="single" w:sz="4" w:space="0" w:color="auto"/>
              <w:bottom w:val="nil"/>
            </w:tcBorders>
          </w:tcPr>
          <w:p w:rsidR="00B070BF" w:rsidRPr="009577DE" w:rsidRDefault="00B070BF" w:rsidP="00C33D4A">
            <w:pPr>
              <w:widowControl w:val="0"/>
              <w:autoSpaceDE w:val="0"/>
              <w:autoSpaceDN w:val="0"/>
              <w:adjustRightInd w:val="0"/>
              <w:spacing w:before="120" w:after="120"/>
              <w:rPr>
                <w:sz w:val="16"/>
                <w:szCs w:val="16"/>
                <w:lang w:val="es-ES_tradnl" w:eastAsia="ja-JP"/>
              </w:rPr>
            </w:pPr>
            <w:r>
              <w:rPr>
                <w:sz w:val="16"/>
                <w:szCs w:val="16"/>
                <w:lang w:val="es-ES_tradnl" w:eastAsia="ja-JP"/>
              </w:rPr>
              <w:t>Misió</w:t>
            </w:r>
            <w:r w:rsidRPr="009577DE">
              <w:rPr>
                <w:sz w:val="16"/>
                <w:szCs w:val="16"/>
                <w:lang w:val="es-ES_tradnl" w:eastAsia="ja-JP"/>
              </w:rPr>
              <w:t>n de expertos.</w:t>
            </w:r>
          </w:p>
        </w:tc>
        <w:tc>
          <w:tcPr>
            <w:tcW w:w="1137" w:type="dxa"/>
            <w:tcBorders>
              <w:top w:val="nil"/>
              <w:bottom w:val="nil"/>
            </w:tcBorders>
          </w:tcPr>
          <w:p w:rsidR="00B070BF" w:rsidRPr="009577DE" w:rsidRDefault="00B070BF" w:rsidP="00C33D4A">
            <w:pPr>
              <w:widowControl w:val="0"/>
              <w:autoSpaceDE w:val="0"/>
              <w:autoSpaceDN w:val="0"/>
              <w:adjustRightInd w:val="0"/>
              <w:spacing w:before="120" w:after="120"/>
              <w:rPr>
                <w:sz w:val="16"/>
                <w:szCs w:val="16"/>
                <w:lang w:val="es-ES_tradnl" w:eastAsia="ja-JP" w:bidi="th-TH"/>
              </w:rPr>
            </w:pPr>
            <w:r w:rsidRPr="009577DE">
              <w:rPr>
                <w:sz w:val="16"/>
                <w:szCs w:val="16"/>
                <w:lang w:val="es-ES_tradnl" w:eastAsia="ja-JP" w:bidi="th-TH"/>
              </w:rPr>
              <w:t>3 a </w:t>
            </w:r>
            <w:r>
              <w:rPr>
                <w:sz w:val="16"/>
                <w:szCs w:val="16"/>
                <w:lang w:val="es-ES_tradnl" w:eastAsia="ja-JP" w:bidi="th-TH"/>
              </w:rPr>
              <w:t>7</w:t>
            </w:r>
            <w:r w:rsidRPr="009577DE">
              <w:rPr>
                <w:sz w:val="16"/>
                <w:szCs w:val="16"/>
                <w:lang w:val="es-ES_tradnl" w:eastAsia="ja-JP" w:bidi="th-TH"/>
              </w:rPr>
              <w:t xml:space="preserve"> de diciembre de 2012</w:t>
            </w:r>
          </w:p>
        </w:tc>
        <w:tc>
          <w:tcPr>
            <w:tcW w:w="2552" w:type="dxa"/>
            <w:tcBorders>
              <w:top w:val="nil"/>
              <w:bottom w:val="nil"/>
            </w:tcBorders>
          </w:tcPr>
          <w:p w:rsidR="00B070BF" w:rsidRPr="009577DE" w:rsidRDefault="00B070BF" w:rsidP="00C33D4A">
            <w:pPr>
              <w:widowControl w:val="0"/>
              <w:autoSpaceDE w:val="0"/>
              <w:autoSpaceDN w:val="0"/>
              <w:adjustRightInd w:val="0"/>
              <w:spacing w:before="120" w:after="120"/>
              <w:rPr>
                <w:sz w:val="16"/>
                <w:szCs w:val="16"/>
                <w:lang w:val="es-ES_tradnl" w:eastAsia="ja-JP" w:bidi="th-TH"/>
              </w:rPr>
            </w:pPr>
            <w:proofErr w:type="spellStart"/>
            <w:r w:rsidRPr="009577DE">
              <w:rPr>
                <w:sz w:val="16"/>
                <w:szCs w:val="16"/>
                <w:lang w:val="es-ES_tradnl" w:eastAsia="ja-JP" w:bidi="th-TH"/>
              </w:rPr>
              <w:t>Viet</w:t>
            </w:r>
            <w:proofErr w:type="spellEnd"/>
            <w:r w:rsidRPr="009577DE">
              <w:rPr>
                <w:sz w:val="16"/>
                <w:szCs w:val="16"/>
                <w:lang w:val="es-ES_tradnl" w:eastAsia="ja-JP" w:bidi="th-TH"/>
              </w:rPr>
              <w:t xml:space="preserve"> </w:t>
            </w:r>
            <w:proofErr w:type="spellStart"/>
            <w:r w:rsidRPr="009577DE">
              <w:rPr>
                <w:sz w:val="16"/>
                <w:szCs w:val="16"/>
                <w:lang w:val="es-ES_tradnl" w:eastAsia="ja-JP" w:bidi="th-TH"/>
              </w:rPr>
              <w:t>Nam</w:t>
            </w:r>
            <w:proofErr w:type="spellEnd"/>
          </w:p>
        </w:tc>
        <w:tc>
          <w:tcPr>
            <w:tcW w:w="3543" w:type="dxa"/>
            <w:tcBorders>
              <w:top w:val="nil"/>
              <w:bottom w:val="nil"/>
              <w:right w:val="single" w:sz="4" w:space="0" w:color="auto"/>
            </w:tcBorders>
          </w:tcPr>
          <w:p w:rsidR="00B070BF" w:rsidRPr="009577DE" w:rsidRDefault="00B070BF" w:rsidP="00C33D4A">
            <w:pPr>
              <w:widowControl w:val="0"/>
              <w:autoSpaceDE w:val="0"/>
              <w:autoSpaceDN w:val="0"/>
              <w:adjustRightInd w:val="0"/>
              <w:spacing w:before="120" w:after="120"/>
              <w:rPr>
                <w:sz w:val="16"/>
                <w:szCs w:val="16"/>
                <w:lang w:val="es-ES_tradnl" w:eastAsia="ja-JP" w:bidi="th-TH"/>
              </w:rPr>
            </w:pPr>
            <w:r w:rsidRPr="009577DE">
              <w:rPr>
                <w:sz w:val="16"/>
                <w:szCs w:val="16"/>
                <w:lang w:val="es-ES_tradnl" w:eastAsia="ja-JP" w:bidi="th-TH"/>
              </w:rPr>
              <w:t xml:space="preserve">Dar asistencia a la Oficina Nacional de Propiedad Intelectual de </w:t>
            </w:r>
            <w:proofErr w:type="spellStart"/>
            <w:r w:rsidRPr="009577DE">
              <w:rPr>
                <w:sz w:val="16"/>
                <w:szCs w:val="16"/>
                <w:lang w:val="es-ES_tradnl" w:eastAsia="ja-JP" w:bidi="th-TH"/>
              </w:rPr>
              <w:t>Viet</w:t>
            </w:r>
            <w:proofErr w:type="spellEnd"/>
            <w:r w:rsidRPr="009577DE">
              <w:rPr>
                <w:sz w:val="16"/>
                <w:szCs w:val="16"/>
                <w:lang w:val="es-ES_tradnl" w:eastAsia="ja-JP" w:bidi="th-TH"/>
              </w:rPr>
              <w:t xml:space="preserve"> </w:t>
            </w:r>
            <w:proofErr w:type="spellStart"/>
            <w:r w:rsidRPr="009577DE">
              <w:rPr>
                <w:sz w:val="16"/>
                <w:szCs w:val="16"/>
                <w:lang w:val="es-ES_tradnl" w:eastAsia="ja-JP" w:bidi="th-TH"/>
              </w:rPr>
              <w:t>Nam</w:t>
            </w:r>
            <w:proofErr w:type="spellEnd"/>
            <w:r w:rsidRPr="009577DE">
              <w:rPr>
                <w:sz w:val="16"/>
                <w:szCs w:val="16"/>
                <w:lang w:val="es-ES_tradnl" w:eastAsia="ja-JP" w:bidi="th-TH"/>
              </w:rPr>
              <w:t xml:space="preserve"> (NOIP) en distintos ámbitos, entre otros, la capacitación de los examinadores de diseños industriales en la realización de su tarea, haciendo hincapié en el sistema de apelación en caso de litigios.</w:t>
            </w:r>
          </w:p>
        </w:tc>
      </w:tr>
      <w:tr w:rsidR="00B070BF" w:rsidRPr="009577DE" w:rsidTr="00C33D4A">
        <w:trPr>
          <w:cantSplit/>
          <w:trHeight w:val="2364"/>
        </w:trPr>
        <w:tc>
          <w:tcPr>
            <w:tcW w:w="1843" w:type="dxa"/>
            <w:tcBorders>
              <w:top w:val="nil"/>
              <w:left w:val="single" w:sz="4" w:space="0" w:color="auto"/>
              <w:bottom w:val="nil"/>
            </w:tcBorders>
          </w:tcPr>
          <w:p w:rsidR="00B070BF" w:rsidRPr="009577DE" w:rsidRDefault="00B070BF" w:rsidP="00C33D4A">
            <w:pPr>
              <w:widowControl w:val="0"/>
              <w:autoSpaceDE w:val="0"/>
              <w:autoSpaceDN w:val="0"/>
              <w:adjustRightInd w:val="0"/>
              <w:spacing w:before="120" w:after="120"/>
              <w:rPr>
                <w:sz w:val="16"/>
                <w:szCs w:val="16"/>
                <w:lang w:val="es-ES_tradnl" w:eastAsia="ja-JP"/>
              </w:rPr>
            </w:pPr>
            <w:r w:rsidRPr="009577DE">
              <w:rPr>
                <w:sz w:val="16"/>
                <w:szCs w:val="16"/>
                <w:lang w:val="es-ES_tradnl" w:eastAsia="ja-JP" w:bidi="th-TH"/>
              </w:rPr>
              <w:t>Curso de formación en el uso de las tecnologías de la información para la administración de la propiedad industrial.</w:t>
            </w:r>
          </w:p>
        </w:tc>
        <w:tc>
          <w:tcPr>
            <w:tcW w:w="1137" w:type="dxa"/>
            <w:tcBorders>
              <w:top w:val="nil"/>
              <w:bottom w:val="nil"/>
            </w:tcBorders>
          </w:tcPr>
          <w:p w:rsidR="00B070BF" w:rsidRPr="009577DE" w:rsidRDefault="00B070BF" w:rsidP="00C33D4A">
            <w:pPr>
              <w:widowControl w:val="0"/>
              <w:autoSpaceDE w:val="0"/>
              <w:autoSpaceDN w:val="0"/>
              <w:adjustRightInd w:val="0"/>
              <w:spacing w:before="120" w:after="120"/>
              <w:rPr>
                <w:sz w:val="16"/>
                <w:szCs w:val="16"/>
                <w:lang w:val="es-ES_tradnl" w:eastAsia="ja-JP" w:bidi="th-TH"/>
              </w:rPr>
            </w:pPr>
            <w:r w:rsidRPr="009577DE">
              <w:rPr>
                <w:sz w:val="16"/>
                <w:szCs w:val="16"/>
                <w:lang w:val="es-ES_tradnl" w:eastAsia="ja-JP" w:bidi="th-TH"/>
              </w:rPr>
              <w:t>3 a 1</w:t>
            </w:r>
            <w:r>
              <w:rPr>
                <w:sz w:val="16"/>
                <w:szCs w:val="16"/>
                <w:lang w:val="es-ES_tradnl" w:eastAsia="ja-JP" w:bidi="th-TH"/>
              </w:rPr>
              <w:t>4</w:t>
            </w:r>
            <w:r w:rsidRPr="009577DE">
              <w:rPr>
                <w:sz w:val="16"/>
                <w:szCs w:val="16"/>
                <w:lang w:val="es-ES_tradnl" w:eastAsia="ja-JP" w:bidi="th-TH"/>
              </w:rPr>
              <w:t xml:space="preserve"> de diciembre de 2012</w:t>
            </w:r>
          </w:p>
          <w:p w:rsidR="00B070BF" w:rsidRPr="009577DE" w:rsidRDefault="00B070BF" w:rsidP="00C33D4A">
            <w:pPr>
              <w:widowControl w:val="0"/>
              <w:autoSpaceDE w:val="0"/>
              <w:autoSpaceDN w:val="0"/>
              <w:adjustRightInd w:val="0"/>
              <w:spacing w:before="120" w:after="120"/>
              <w:rPr>
                <w:sz w:val="16"/>
                <w:szCs w:val="16"/>
                <w:lang w:val="es-ES_tradnl" w:eastAsia="ja-JP" w:bidi="th-TH"/>
              </w:rPr>
            </w:pPr>
          </w:p>
        </w:tc>
        <w:tc>
          <w:tcPr>
            <w:tcW w:w="2552" w:type="dxa"/>
            <w:tcBorders>
              <w:top w:val="nil"/>
              <w:bottom w:val="nil"/>
            </w:tcBorders>
          </w:tcPr>
          <w:p w:rsidR="00B070BF" w:rsidRPr="009577DE" w:rsidRDefault="00B070BF" w:rsidP="00C33D4A">
            <w:pPr>
              <w:widowControl w:val="0"/>
              <w:autoSpaceDE w:val="0"/>
              <w:autoSpaceDN w:val="0"/>
              <w:adjustRightInd w:val="0"/>
              <w:spacing w:before="120" w:after="120"/>
              <w:rPr>
                <w:sz w:val="16"/>
                <w:szCs w:val="16"/>
                <w:lang w:val="es-ES_tradnl" w:eastAsia="ja-JP" w:bidi="th-TH"/>
              </w:rPr>
            </w:pPr>
            <w:r w:rsidRPr="009577DE">
              <w:rPr>
                <w:sz w:val="16"/>
                <w:szCs w:val="16"/>
                <w:lang w:val="es-ES_tradnl" w:eastAsia="ja-JP" w:bidi="th-TH"/>
              </w:rPr>
              <w:t>Japón</w:t>
            </w:r>
          </w:p>
        </w:tc>
        <w:tc>
          <w:tcPr>
            <w:tcW w:w="3543" w:type="dxa"/>
            <w:tcBorders>
              <w:top w:val="nil"/>
              <w:bottom w:val="nil"/>
              <w:right w:val="single" w:sz="4" w:space="0" w:color="auto"/>
            </w:tcBorders>
          </w:tcPr>
          <w:p w:rsidR="00B070BF" w:rsidRPr="009577DE" w:rsidRDefault="00B070BF" w:rsidP="00C33D4A">
            <w:pPr>
              <w:widowControl w:val="0"/>
              <w:autoSpaceDE w:val="0"/>
              <w:autoSpaceDN w:val="0"/>
              <w:adjustRightInd w:val="0"/>
              <w:spacing w:before="120" w:after="120"/>
              <w:rPr>
                <w:sz w:val="16"/>
                <w:szCs w:val="16"/>
                <w:lang w:val="es-ES_tradnl" w:eastAsia="ja-JP" w:bidi="th-TH"/>
              </w:rPr>
            </w:pPr>
            <w:r w:rsidRPr="009577DE">
              <w:rPr>
                <w:sz w:val="16"/>
                <w:szCs w:val="16"/>
                <w:lang w:val="es-ES_tradnl" w:eastAsia="ja-JP" w:bidi="th-TH"/>
              </w:rPr>
              <w:t>Familiarizar a los participantes con las repercusiones de los últimos avances en las tecnologías de la información para la administración de la propiedad industrial;  impartir conocimientos prácticos sobre el uso de la tecnología de la información mediante sesiones interactivas en las que se utilizan computadoras personales conectadas a Internet y se realizan visitas a entidades privadas de interés;  brindar la oportunidad a los participantes de intercambiar opiniones y preocupaciones sobre cuestiones conexas de actualidad y, con ello, fortalecer las capacidades profesionales de los asistentes para planificar y gestionar el uso de las tecnologías de la información en la administración de la propiedad industrial.</w:t>
            </w:r>
          </w:p>
        </w:tc>
      </w:tr>
      <w:tr w:rsidR="00B070BF" w:rsidRPr="009577DE" w:rsidTr="00C33D4A">
        <w:trPr>
          <w:cantSplit/>
          <w:trHeight w:val="697"/>
        </w:trPr>
        <w:tc>
          <w:tcPr>
            <w:tcW w:w="1843" w:type="dxa"/>
            <w:tcBorders>
              <w:top w:val="nil"/>
              <w:left w:val="single" w:sz="4" w:space="0" w:color="auto"/>
              <w:bottom w:val="nil"/>
            </w:tcBorders>
          </w:tcPr>
          <w:p w:rsidR="00B070BF" w:rsidRPr="009577DE" w:rsidRDefault="00B070BF" w:rsidP="00C33D4A">
            <w:pPr>
              <w:widowControl w:val="0"/>
              <w:autoSpaceDE w:val="0"/>
              <w:autoSpaceDN w:val="0"/>
              <w:adjustRightInd w:val="0"/>
              <w:spacing w:before="120" w:after="120"/>
              <w:rPr>
                <w:sz w:val="16"/>
                <w:szCs w:val="16"/>
                <w:lang w:val="es-ES_tradnl" w:eastAsia="ja-JP"/>
              </w:rPr>
            </w:pPr>
            <w:r>
              <w:rPr>
                <w:sz w:val="16"/>
                <w:szCs w:val="16"/>
                <w:lang w:val="es-ES_tradnl" w:eastAsia="ja-JP"/>
              </w:rPr>
              <w:t>Seminario Subregional OMPI-ASEAN sobre la adhesión al Acta de Ginebra del Arreglo de La Haya</w:t>
            </w:r>
          </w:p>
        </w:tc>
        <w:tc>
          <w:tcPr>
            <w:tcW w:w="1137" w:type="dxa"/>
            <w:tcBorders>
              <w:top w:val="nil"/>
              <w:bottom w:val="nil"/>
            </w:tcBorders>
          </w:tcPr>
          <w:p w:rsidR="00B070BF" w:rsidRPr="009577DE" w:rsidRDefault="00B070BF" w:rsidP="00C33D4A">
            <w:pPr>
              <w:widowControl w:val="0"/>
              <w:autoSpaceDE w:val="0"/>
              <w:autoSpaceDN w:val="0"/>
              <w:adjustRightInd w:val="0"/>
              <w:spacing w:before="120" w:after="120"/>
              <w:rPr>
                <w:sz w:val="16"/>
                <w:szCs w:val="16"/>
                <w:lang w:val="es-ES_tradnl" w:eastAsia="ja-JP"/>
              </w:rPr>
            </w:pPr>
            <w:r>
              <w:rPr>
                <w:sz w:val="16"/>
                <w:szCs w:val="16"/>
                <w:lang w:val="es-ES_tradnl" w:eastAsia="ja-JP"/>
              </w:rPr>
              <w:t>19 y 20 de diciembre de 2012</w:t>
            </w:r>
          </w:p>
        </w:tc>
        <w:tc>
          <w:tcPr>
            <w:tcW w:w="2552" w:type="dxa"/>
            <w:tcBorders>
              <w:top w:val="nil"/>
              <w:bottom w:val="nil"/>
            </w:tcBorders>
          </w:tcPr>
          <w:p w:rsidR="00B070BF" w:rsidRPr="009577DE" w:rsidRDefault="00B070BF" w:rsidP="00C33D4A">
            <w:pPr>
              <w:widowControl w:val="0"/>
              <w:autoSpaceDE w:val="0"/>
              <w:autoSpaceDN w:val="0"/>
              <w:adjustRightInd w:val="0"/>
              <w:spacing w:before="120" w:after="120"/>
              <w:rPr>
                <w:sz w:val="16"/>
                <w:szCs w:val="16"/>
                <w:lang w:val="es-ES_tradnl" w:eastAsia="ja-JP"/>
              </w:rPr>
            </w:pPr>
            <w:r>
              <w:rPr>
                <w:sz w:val="16"/>
                <w:szCs w:val="16"/>
                <w:lang w:val="es-ES_tradnl" w:eastAsia="ja-JP"/>
              </w:rPr>
              <w:t>Filipinas</w:t>
            </w:r>
          </w:p>
        </w:tc>
        <w:tc>
          <w:tcPr>
            <w:tcW w:w="3543" w:type="dxa"/>
            <w:tcBorders>
              <w:top w:val="nil"/>
              <w:bottom w:val="nil"/>
              <w:right w:val="single" w:sz="4" w:space="0" w:color="auto"/>
            </w:tcBorders>
          </w:tcPr>
          <w:p w:rsidR="00B070BF" w:rsidRPr="009577DE" w:rsidRDefault="00B070BF" w:rsidP="00C33D4A">
            <w:pPr>
              <w:widowControl w:val="0"/>
              <w:autoSpaceDE w:val="0"/>
              <w:autoSpaceDN w:val="0"/>
              <w:adjustRightInd w:val="0"/>
              <w:spacing w:before="120" w:after="120"/>
              <w:rPr>
                <w:sz w:val="16"/>
                <w:szCs w:val="16"/>
                <w:lang w:val="es-ES_tradnl"/>
              </w:rPr>
            </w:pPr>
            <w:r>
              <w:rPr>
                <w:sz w:val="16"/>
                <w:szCs w:val="16"/>
                <w:lang w:val="es-ES_tradnl"/>
              </w:rPr>
              <w:t>i) Brindar a los participantes de Estados miembros de la ASEAN, que no son parte en el Arreglo de La Haya, la oportunidad de conocer los procedimientos prácticos del sistema de La Haya;  ii) examinar la carga de trabajo total y las tareas que supone la administración del sistema de La Haya;  y iii) difundir las ventajas que supone la adhesión al sistema de La Haya, y las condiciones para ello.</w:t>
            </w:r>
          </w:p>
        </w:tc>
      </w:tr>
      <w:tr w:rsidR="00B070BF" w:rsidRPr="009577DE" w:rsidTr="00C33D4A">
        <w:trPr>
          <w:cantSplit/>
          <w:trHeight w:val="697"/>
        </w:trPr>
        <w:tc>
          <w:tcPr>
            <w:tcW w:w="1843" w:type="dxa"/>
            <w:tcBorders>
              <w:top w:val="nil"/>
              <w:left w:val="single" w:sz="4" w:space="0" w:color="auto"/>
              <w:bottom w:val="single" w:sz="4" w:space="0" w:color="auto"/>
            </w:tcBorders>
          </w:tcPr>
          <w:p w:rsidR="00B070BF" w:rsidRPr="009577DE" w:rsidRDefault="00B070BF" w:rsidP="00C33D4A">
            <w:pPr>
              <w:widowControl w:val="0"/>
              <w:autoSpaceDE w:val="0"/>
              <w:autoSpaceDN w:val="0"/>
              <w:adjustRightInd w:val="0"/>
              <w:spacing w:before="120" w:after="120"/>
              <w:rPr>
                <w:sz w:val="16"/>
                <w:szCs w:val="16"/>
                <w:lang w:val="es-ES_tradnl" w:eastAsia="ja-JP" w:bidi="th-TH"/>
              </w:rPr>
            </w:pPr>
            <w:r w:rsidRPr="009577DE">
              <w:rPr>
                <w:sz w:val="16"/>
                <w:szCs w:val="16"/>
                <w:lang w:val="es-ES_tradnl" w:eastAsia="ja-JP"/>
              </w:rPr>
              <w:t>Suministro de material de referencia sobre P.I.</w:t>
            </w:r>
          </w:p>
        </w:tc>
        <w:tc>
          <w:tcPr>
            <w:tcW w:w="1137" w:type="dxa"/>
            <w:tcBorders>
              <w:top w:val="nil"/>
              <w:bottom w:val="single" w:sz="4" w:space="0" w:color="auto"/>
            </w:tcBorders>
          </w:tcPr>
          <w:p w:rsidR="00B070BF" w:rsidRPr="009577DE" w:rsidRDefault="00B070BF" w:rsidP="00C33D4A">
            <w:pPr>
              <w:widowControl w:val="0"/>
              <w:autoSpaceDE w:val="0"/>
              <w:autoSpaceDN w:val="0"/>
              <w:adjustRightInd w:val="0"/>
              <w:spacing w:before="120" w:after="120"/>
              <w:rPr>
                <w:sz w:val="16"/>
                <w:szCs w:val="16"/>
                <w:lang w:val="es-ES_tradnl" w:eastAsia="ja-JP" w:bidi="th-TH"/>
              </w:rPr>
            </w:pPr>
            <w:r w:rsidRPr="009577DE">
              <w:rPr>
                <w:sz w:val="16"/>
                <w:szCs w:val="16"/>
                <w:lang w:val="es-ES_tradnl" w:eastAsia="ja-JP"/>
              </w:rPr>
              <w:t>Septiembre de 2012</w:t>
            </w:r>
          </w:p>
        </w:tc>
        <w:tc>
          <w:tcPr>
            <w:tcW w:w="2552" w:type="dxa"/>
            <w:tcBorders>
              <w:top w:val="nil"/>
              <w:bottom w:val="single" w:sz="4" w:space="0" w:color="auto"/>
            </w:tcBorders>
          </w:tcPr>
          <w:p w:rsidR="00B070BF" w:rsidRPr="009577DE" w:rsidRDefault="00B070BF" w:rsidP="00C33D4A">
            <w:pPr>
              <w:widowControl w:val="0"/>
              <w:autoSpaceDE w:val="0"/>
              <w:autoSpaceDN w:val="0"/>
              <w:adjustRightInd w:val="0"/>
              <w:spacing w:before="120" w:after="120"/>
              <w:rPr>
                <w:sz w:val="16"/>
                <w:szCs w:val="16"/>
                <w:lang w:val="es-ES_tradnl" w:eastAsia="ja-JP" w:bidi="th-TH"/>
              </w:rPr>
            </w:pPr>
            <w:r w:rsidRPr="009577DE">
              <w:rPr>
                <w:sz w:val="16"/>
                <w:szCs w:val="16"/>
                <w:lang w:val="es-ES_tradnl" w:eastAsia="ja-JP"/>
              </w:rPr>
              <w:t>Indonesia</w:t>
            </w:r>
          </w:p>
        </w:tc>
        <w:tc>
          <w:tcPr>
            <w:tcW w:w="3543" w:type="dxa"/>
            <w:tcBorders>
              <w:top w:val="nil"/>
              <w:bottom w:val="single" w:sz="4" w:space="0" w:color="auto"/>
              <w:right w:val="single" w:sz="4" w:space="0" w:color="auto"/>
            </w:tcBorders>
          </w:tcPr>
          <w:p w:rsidR="00B070BF" w:rsidRPr="009577DE" w:rsidRDefault="00B070BF" w:rsidP="00C33D4A">
            <w:pPr>
              <w:widowControl w:val="0"/>
              <w:autoSpaceDE w:val="0"/>
              <w:autoSpaceDN w:val="0"/>
              <w:adjustRightInd w:val="0"/>
              <w:spacing w:before="120" w:after="120"/>
              <w:rPr>
                <w:sz w:val="16"/>
                <w:szCs w:val="16"/>
                <w:lang w:val="es-ES_tradnl" w:eastAsia="ja-JP" w:bidi="th-TH"/>
              </w:rPr>
            </w:pPr>
            <w:r w:rsidRPr="009577DE">
              <w:rPr>
                <w:sz w:val="16"/>
                <w:szCs w:val="16"/>
                <w:lang w:val="es-ES_tradnl"/>
              </w:rPr>
              <w:t>Mejorar la capacidad de los estudiantes/investigadores para examinar y analizar cuestiones de P.I.</w:t>
            </w:r>
          </w:p>
        </w:tc>
      </w:tr>
    </w:tbl>
    <w:p w:rsidR="00B070BF" w:rsidRPr="009577DE" w:rsidRDefault="00B070BF" w:rsidP="00B070BF">
      <w:pPr>
        <w:widowControl w:val="0"/>
        <w:rPr>
          <w:b/>
          <w:sz w:val="20"/>
          <w:lang w:val="es-ES_tradnl"/>
        </w:rPr>
      </w:pPr>
    </w:p>
    <w:p w:rsidR="00B070BF" w:rsidRPr="009577DE" w:rsidRDefault="00B070BF" w:rsidP="00B070BF">
      <w:pPr>
        <w:widowControl w:val="0"/>
        <w:rPr>
          <w:b/>
          <w:sz w:val="20"/>
          <w:lang w:val="es-ES_tradnl"/>
        </w:rPr>
      </w:pPr>
    </w:p>
    <w:p w:rsidR="00B070BF" w:rsidRPr="009577DE" w:rsidRDefault="00B070BF" w:rsidP="00B070BF">
      <w:pPr>
        <w:widowControl w:val="0"/>
        <w:rPr>
          <w:b/>
          <w:sz w:val="20"/>
          <w:lang w:val="es-ES_tradnl"/>
        </w:rPr>
      </w:pPr>
      <w:r w:rsidRPr="009577DE">
        <w:rPr>
          <w:b/>
          <w:sz w:val="20"/>
          <w:lang w:val="es-ES_tradnl"/>
        </w:rPr>
        <w:t>JAPÓN – PROPIEDAD INDUSTRIAL – Contribuciones de donantes y gastos en 2012</w:t>
      </w:r>
      <w:r w:rsidRPr="009577DE">
        <w:rPr>
          <w:b/>
          <w:sz w:val="20"/>
          <w:vertAlign w:val="superscript"/>
          <w:lang w:val="es-ES_tradnl"/>
        </w:rPr>
        <w:t>1</w:t>
      </w:r>
    </w:p>
    <w:p w:rsidR="00B070BF" w:rsidRPr="009577DE" w:rsidRDefault="00B070BF" w:rsidP="00B070BF">
      <w:pPr>
        <w:widowControl w:val="0"/>
        <w:rPr>
          <w:sz w:val="20"/>
          <w:lang w:val="es-ES_tradn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0"/>
        <w:gridCol w:w="1516"/>
        <w:gridCol w:w="1781"/>
        <w:gridCol w:w="1685"/>
        <w:gridCol w:w="2278"/>
      </w:tblGrid>
      <w:tr w:rsidR="00B070BF" w:rsidRPr="009577DE" w:rsidTr="00C33D4A">
        <w:trPr>
          <w:trHeight w:val="567"/>
        </w:trPr>
        <w:tc>
          <w:tcPr>
            <w:tcW w:w="1870" w:type="dxa"/>
            <w:shd w:val="clear" w:color="auto" w:fill="CCFFFF"/>
            <w:vAlign w:val="center"/>
          </w:tcPr>
          <w:p w:rsidR="00B070BF" w:rsidRPr="009577DE" w:rsidRDefault="00B070BF" w:rsidP="00C33D4A">
            <w:pPr>
              <w:widowControl w:val="0"/>
              <w:spacing w:after="220"/>
              <w:jc w:val="center"/>
              <w:rPr>
                <w:b/>
                <w:sz w:val="16"/>
                <w:szCs w:val="16"/>
                <w:lang w:val="es-ES_tradnl"/>
              </w:rPr>
            </w:pPr>
            <w:r w:rsidRPr="009577DE">
              <w:rPr>
                <w:b/>
                <w:sz w:val="16"/>
                <w:szCs w:val="16"/>
                <w:lang w:val="es-ES_tradnl"/>
              </w:rPr>
              <w:t>Balance a 31 de diciembre de 2011</w:t>
            </w:r>
          </w:p>
        </w:tc>
        <w:tc>
          <w:tcPr>
            <w:tcW w:w="1516" w:type="dxa"/>
            <w:shd w:val="clear" w:color="auto" w:fill="CCFFFF"/>
            <w:vAlign w:val="center"/>
          </w:tcPr>
          <w:p w:rsidR="00B070BF" w:rsidRPr="009577DE" w:rsidRDefault="00B070BF" w:rsidP="00C33D4A">
            <w:pPr>
              <w:widowControl w:val="0"/>
              <w:spacing w:after="220"/>
              <w:jc w:val="center"/>
              <w:rPr>
                <w:b/>
                <w:sz w:val="16"/>
                <w:szCs w:val="16"/>
                <w:lang w:val="es-ES_tradnl"/>
              </w:rPr>
            </w:pPr>
            <w:r w:rsidRPr="009577DE">
              <w:rPr>
                <w:b/>
                <w:sz w:val="16"/>
                <w:szCs w:val="16"/>
                <w:lang w:val="es-ES_tradnl"/>
              </w:rPr>
              <w:t>Ingresos en 2012</w:t>
            </w:r>
          </w:p>
        </w:tc>
        <w:tc>
          <w:tcPr>
            <w:tcW w:w="1781" w:type="dxa"/>
            <w:shd w:val="clear" w:color="auto" w:fill="CCFFFF"/>
            <w:vAlign w:val="center"/>
          </w:tcPr>
          <w:p w:rsidR="00B070BF" w:rsidRPr="009577DE" w:rsidRDefault="00B070BF" w:rsidP="00C33D4A">
            <w:pPr>
              <w:widowControl w:val="0"/>
              <w:spacing w:after="220"/>
              <w:jc w:val="center"/>
              <w:rPr>
                <w:b/>
                <w:sz w:val="16"/>
                <w:szCs w:val="16"/>
                <w:lang w:val="es-ES_tradnl"/>
              </w:rPr>
            </w:pPr>
            <w:r w:rsidRPr="009577DE">
              <w:rPr>
                <w:b/>
                <w:sz w:val="16"/>
                <w:szCs w:val="16"/>
                <w:lang w:val="es-ES_tradnl"/>
              </w:rPr>
              <w:t>Gastos en 2012</w:t>
            </w:r>
          </w:p>
        </w:tc>
        <w:tc>
          <w:tcPr>
            <w:tcW w:w="1685" w:type="dxa"/>
            <w:shd w:val="clear" w:color="auto" w:fill="CCFFFF"/>
            <w:vAlign w:val="center"/>
          </w:tcPr>
          <w:p w:rsidR="00B070BF" w:rsidRPr="009577DE" w:rsidRDefault="00B070BF" w:rsidP="00C33D4A">
            <w:pPr>
              <w:widowControl w:val="0"/>
              <w:spacing w:after="220"/>
              <w:jc w:val="center"/>
              <w:rPr>
                <w:b/>
                <w:sz w:val="16"/>
                <w:szCs w:val="16"/>
                <w:lang w:val="es-ES_tradnl"/>
              </w:rPr>
            </w:pPr>
            <w:r w:rsidRPr="009577DE">
              <w:rPr>
                <w:b/>
                <w:sz w:val="16"/>
                <w:szCs w:val="16"/>
                <w:lang w:val="es-ES_tradnl"/>
              </w:rPr>
              <w:t>Reembolsos</w:t>
            </w:r>
          </w:p>
        </w:tc>
        <w:tc>
          <w:tcPr>
            <w:tcW w:w="2278" w:type="dxa"/>
            <w:shd w:val="clear" w:color="auto" w:fill="CCFFFF"/>
            <w:vAlign w:val="center"/>
          </w:tcPr>
          <w:p w:rsidR="00B070BF" w:rsidRPr="009577DE" w:rsidRDefault="00B070BF" w:rsidP="00C33D4A">
            <w:pPr>
              <w:widowControl w:val="0"/>
              <w:spacing w:after="220"/>
              <w:jc w:val="center"/>
              <w:rPr>
                <w:b/>
                <w:sz w:val="16"/>
                <w:szCs w:val="16"/>
                <w:lang w:val="es-ES_tradnl"/>
              </w:rPr>
            </w:pPr>
            <w:r w:rsidRPr="009577DE">
              <w:rPr>
                <w:b/>
                <w:sz w:val="16"/>
                <w:szCs w:val="16"/>
                <w:lang w:val="es-ES_tradnl"/>
              </w:rPr>
              <w:t>Balance a 31 de diciembre de 2012</w:t>
            </w:r>
          </w:p>
        </w:tc>
      </w:tr>
      <w:tr w:rsidR="00B070BF" w:rsidRPr="009577DE" w:rsidTr="00C33D4A">
        <w:trPr>
          <w:trHeight w:val="567"/>
        </w:trPr>
        <w:tc>
          <w:tcPr>
            <w:tcW w:w="1870" w:type="dxa"/>
            <w:shd w:val="clear" w:color="auto" w:fill="auto"/>
            <w:vAlign w:val="center"/>
          </w:tcPr>
          <w:p w:rsidR="00B070BF" w:rsidRPr="009577DE" w:rsidRDefault="00B070BF" w:rsidP="00C33D4A">
            <w:pPr>
              <w:widowControl w:val="0"/>
              <w:autoSpaceDE w:val="0"/>
              <w:autoSpaceDN w:val="0"/>
              <w:adjustRightInd w:val="0"/>
              <w:spacing w:after="220"/>
              <w:jc w:val="center"/>
              <w:rPr>
                <w:rFonts w:eastAsia="MS Mincho"/>
                <w:sz w:val="16"/>
                <w:szCs w:val="16"/>
                <w:lang w:val="es-ES_tradnl" w:eastAsia="ja-JP" w:bidi="th-TH"/>
              </w:rPr>
            </w:pPr>
            <w:r w:rsidRPr="009577DE">
              <w:rPr>
                <w:rFonts w:eastAsia="MS Mincho"/>
                <w:sz w:val="16"/>
                <w:szCs w:val="16"/>
                <w:lang w:val="es-ES_tradnl" w:eastAsia="ja-JP" w:bidi="th-TH"/>
              </w:rPr>
              <w:t>1.916.603</w:t>
            </w:r>
          </w:p>
        </w:tc>
        <w:tc>
          <w:tcPr>
            <w:tcW w:w="1516" w:type="dxa"/>
            <w:shd w:val="clear" w:color="auto" w:fill="auto"/>
            <w:vAlign w:val="center"/>
          </w:tcPr>
          <w:p w:rsidR="00B070BF" w:rsidRPr="009577DE" w:rsidRDefault="00B070BF" w:rsidP="00C33D4A">
            <w:pPr>
              <w:widowControl w:val="0"/>
              <w:autoSpaceDE w:val="0"/>
              <w:autoSpaceDN w:val="0"/>
              <w:adjustRightInd w:val="0"/>
              <w:spacing w:after="220"/>
              <w:jc w:val="center"/>
              <w:rPr>
                <w:rFonts w:eastAsia="MS Mincho"/>
                <w:sz w:val="16"/>
                <w:szCs w:val="16"/>
                <w:lang w:val="es-ES_tradnl" w:eastAsia="ja-JP" w:bidi="th-TH"/>
              </w:rPr>
            </w:pPr>
            <w:r w:rsidRPr="009577DE">
              <w:rPr>
                <w:rFonts w:eastAsia="MS Mincho"/>
                <w:sz w:val="16"/>
                <w:szCs w:val="16"/>
                <w:lang w:val="es-ES_tradnl" w:eastAsia="ja-JP" w:bidi="th-TH"/>
              </w:rPr>
              <w:t>1.830.815</w:t>
            </w:r>
          </w:p>
        </w:tc>
        <w:tc>
          <w:tcPr>
            <w:tcW w:w="1781" w:type="dxa"/>
            <w:shd w:val="clear" w:color="auto" w:fill="auto"/>
            <w:vAlign w:val="center"/>
          </w:tcPr>
          <w:p w:rsidR="00B070BF" w:rsidRPr="009577DE" w:rsidRDefault="00B070BF" w:rsidP="00C33D4A">
            <w:pPr>
              <w:widowControl w:val="0"/>
              <w:autoSpaceDE w:val="0"/>
              <w:autoSpaceDN w:val="0"/>
              <w:adjustRightInd w:val="0"/>
              <w:spacing w:after="220"/>
              <w:jc w:val="center"/>
              <w:rPr>
                <w:rFonts w:eastAsia="MS Mincho"/>
                <w:sz w:val="16"/>
                <w:szCs w:val="16"/>
                <w:lang w:val="es-ES_tradnl" w:eastAsia="ja-JP" w:bidi="th-TH"/>
              </w:rPr>
            </w:pPr>
            <w:r w:rsidRPr="009577DE">
              <w:rPr>
                <w:rFonts w:eastAsia="MS Mincho"/>
                <w:sz w:val="16"/>
                <w:szCs w:val="16"/>
                <w:lang w:val="es-ES_tradnl" w:eastAsia="ja-JP" w:bidi="th-TH"/>
              </w:rPr>
              <w:t>1.833.242</w:t>
            </w:r>
          </w:p>
        </w:tc>
        <w:tc>
          <w:tcPr>
            <w:tcW w:w="1685" w:type="dxa"/>
            <w:shd w:val="clear" w:color="auto" w:fill="auto"/>
            <w:vAlign w:val="center"/>
          </w:tcPr>
          <w:p w:rsidR="00B070BF" w:rsidRPr="009577DE" w:rsidRDefault="00B070BF" w:rsidP="00C33D4A">
            <w:pPr>
              <w:widowControl w:val="0"/>
              <w:autoSpaceDE w:val="0"/>
              <w:autoSpaceDN w:val="0"/>
              <w:adjustRightInd w:val="0"/>
              <w:spacing w:after="220"/>
              <w:jc w:val="center"/>
              <w:rPr>
                <w:rFonts w:eastAsia="MS Mincho"/>
                <w:sz w:val="16"/>
                <w:szCs w:val="16"/>
                <w:lang w:val="es-ES_tradnl" w:eastAsia="ja-JP" w:bidi="th-TH"/>
              </w:rPr>
            </w:pPr>
            <w:r w:rsidRPr="009577DE">
              <w:rPr>
                <w:rFonts w:eastAsia="MS Mincho"/>
                <w:sz w:val="16"/>
                <w:szCs w:val="16"/>
                <w:lang w:val="es-ES_tradnl" w:eastAsia="ja-JP" w:bidi="th-TH"/>
              </w:rPr>
              <w:t>–</w:t>
            </w:r>
          </w:p>
        </w:tc>
        <w:tc>
          <w:tcPr>
            <w:tcW w:w="2278" w:type="dxa"/>
            <w:shd w:val="clear" w:color="auto" w:fill="auto"/>
            <w:vAlign w:val="center"/>
          </w:tcPr>
          <w:p w:rsidR="00B070BF" w:rsidRPr="009577DE" w:rsidRDefault="00B070BF" w:rsidP="00C33D4A">
            <w:pPr>
              <w:widowControl w:val="0"/>
              <w:autoSpaceDE w:val="0"/>
              <w:autoSpaceDN w:val="0"/>
              <w:adjustRightInd w:val="0"/>
              <w:spacing w:after="220"/>
              <w:jc w:val="center"/>
              <w:rPr>
                <w:rFonts w:eastAsia="MS Mincho"/>
                <w:sz w:val="16"/>
                <w:szCs w:val="16"/>
                <w:lang w:val="es-ES_tradnl" w:eastAsia="ja-JP" w:bidi="th-TH"/>
              </w:rPr>
            </w:pPr>
            <w:r w:rsidRPr="009577DE">
              <w:rPr>
                <w:rFonts w:eastAsia="MS Mincho"/>
                <w:sz w:val="16"/>
                <w:szCs w:val="16"/>
                <w:lang w:val="es-ES_tradnl" w:eastAsia="ja-JP" w:bidi="th-TH"/>
              </w:rPr>
              <w:t>1.914.176</w:t>
            </w:r>
          </w:p>
        </w:tc>
      </w:tr>
    </w:tbl>
    <w:p w:rsidR="00B070BF" w:rsidRPr="009577DE" w:rsidRDefault="00B070BF" w:rsidP="00B070BF">
      <w:pPr>
        <w:widowControl w:val="0"/>
        <w:spacing w:before="120"/>
        <w:rPr>
          <w:szCs w:val="22"/>
          <w:lang w:val="es-ES_tradnl"/>
        </w:rPr>
      </w:pPr>
      <w:r w:rsidRPr="009577DE">
        <w:rPr>
          <w:i/>
          <w:iCs/>
          <w:sz w:val="16"/>
          <w:szCs w:val="16"/>
          <w:vertAlign w:val="superscript"/>
          <w:lang w:val="es-ES_tradnl"/>
        </w:rPr>
        <w:t xml:space="preserve">1 </w:t>
      </w:r>
      <w:r w:rsidRPr="009577DE">
        <w:rPr>
          <w:i/>
          <w:iCs/>
          <w:sz w:val="16"/>
          <w:szCs w:val="16"/>
          <w:lang w:val="es-ES_tradnl"/>
        </w:rPr>
        <w:t>Estados financieros de la OMPI de 2012 (Anexo III)</w:t>
      </w:r>
    </w:p>
    <w:p w:rsidR="00B070BF" w:rsidRPr="009577DE" w:rsidRDefault="00B070BF" w:rsidP="00B070BF">
      <w:pPr>
        <w:widowControl w:val="0"/>
        <w:rPr>
          <w:b/>
          <w:sz w:val="20"/>
          <w:lang w:val="es-ES_tradnl"/>
        </w:rPr>
      </w:pPr>
    </w:p>
    <w:p w:rsidR="00B070BF" w:rsidRPr="009577DE" w:rsidRDefault="00B070BF" w:rsidP="00B070BF">
      <w:pPr>
        <w:widowControl w:val="0"/>
        <w:rPr>
          <w:b/>
          <w:sz w:val="20"/>
          <w:lang w:val="es-ES_tradnl"/>
        </w:rPr>
      </w:pPr>
    </w:p>
    <w:p w:rsidR="00B070BF" w:rsidRPr="009577DE" w:rsidRDefault="00B070BF" w:rsidP="00B070BF">
      <w:pPr>
        <w:keepNext/>
        <w:widowControl w:val="0"/>
        <w:rPr>
          <w:b/>
          <w:sz w:val="20"/>
          <w:lang w:val="es-ES_tradnl"/>
        </w:rPr>
      </w:pPr>
      <w:r w:rsidRPr="009577DE">
        <w:rPr>
          <w:b/>
          <w:sz w:val="20"/>
          <w:lang w:val="es-ES_tradnl"/>
        </w:rPr>
        <w:t>JAPÓN – P.I./ÁFRICA–PMA</w:t>
      </w:r>
    </w:p>
    <w:p w:rsidR="00B070BF" w:rsidRPr="009577DE" w:rsidRDefault="00B070BF" w:rsidP="00B070BF">
      <w:pPr>
        <w:keepNext/>
        <w:widowControl w:val="0"/>
        <w:rPr>
          <w:b/>
          <w:sz w:val="20"/>
          <w:lang w:val="es-ES_tradnl"/>
        </w:rPr>
      </w:pPr>
    </w:p>
    <w:tbl>
      <w:tblPr>
        <w:tblW w:w="9072" w:type="dxa"/>
        <w:tblInd w:w="108"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1800"/>
        <w:gridCol w:w="43"/>
        <w:gridCol w:w="1134"/>
        <w:gridCol w:w="83"/>
        <w:gridCol w:w="2327"/>
        <w:gridCol w:w="142"/>
        <w:gridCol w:w="141"/>
        <w:gridCol w:w="3402"/>
      </w:tblGrid>
      <w:tr w:rsidR="00B070BF" w:rsidRPr="009577DE" w:rsidTr="00C33D4A">
        <w:tc>
          <w:tcPr>
            <w:tcW w:w="9072" w:type="dxa"/>
            <w:gridSpan w:val="8"/>
            <w:tcBorders>
              <w:top w:val="single" w:sz="4" w:space="0" w:color="000000"/>
              <w:bottom w:val="single" w:sz="4" w:space="0" w:color="000000"/>
            </w:tcBorders>
            <w:shd w:val="clear" w:color="auto" w:fill="CCFFFF"/>
            <w:vAlign w:val="center"/>
          </w:tcPr>
          <w:p w:rsidR="00B070BF" w:rsidRPr="009577DE" w:rsidRDefault="00B070BF" w:rsidP="00C33D4A">
            <w:pPr>
              <w:widowControl w:val="0"/>
              <w:tabs>
                <w:tab w:val="left" w:pos="1740"/>
              </w:tabs>
              <w:spacing w:before="120" w:after="120"/>
              <w:ind w:left="1740" w:hanging="1740"/>
              <w:rPr>
                <w:b/>
                <w:bCs/>
                <w:sz w:val="16"/>
                <w:szCs w:val="16"/>
                <w:lang w:val="es-ES_tradnl"/>
              </w:rPr>
            </w:pPr>
            <w:r w:rsidRPr="009577DE">
              <w:rPr>
                <w:b/>
                <w:bCs/>
                <w:sz w:val="16"/>
                <w:szCs w:val="16"/>
                <w:lang w:val="es-ES_tradnl"/>
              </w:rPr>
              <w:t>RESULTADO:</w:t>
            </w:r>
            <w:r w:rsidRPr="009577DE">
              <w:rPr>
                <w:b/>
                <w:bCs/>
                <w:sz w:val="16"/>
                <w:szCs w:val="16"/>
                <w:lang w:val="es-ES_tradnl"/>
              </w:rPr>
              <w:tab/>
            </w:r>
            <w:r w:rsidRPr="009577DE">
              <w:rPr>
                <w:bCs/>
                <w:sz w:val="16"/>
                <w:szCs w:val="16"/>
                <w:lang w:val="es-ES_tradnl"/>
              </w:rPr>
              <w:t xml:space="preserve">Mejora de las capacidades en el ámbito de los recursos humanos para hacer frente al amplio </w:t>
            </w:r>
            <w:r w:rsidRPr="009577DE">
              <w:rPr>
                <w:bCs/>
                <w:sz w:val="16"/>
                <w:szCs w:val="16"/>
                <w:lang w:val="es-ES_tradnl"/>
              </w:rPr>
              <w:lastRenderedPageBreak/>
              <w:t>espectro de exigencias que supone la utilización eficaz de la P.I. en aras del desarrollo en los países en desarrollo, PMA y países con economías en transición</w:t>
            </w:r>
          </w:p>
        </w:tc>
      </w:tr>
      <w:tr w:rsidR="00B070BF" w:rsidRPr="009577DE" w:rsidTr="00C33D4A">
        <w:tc>
          <w:tcPr>
            <w:tcW w:w="1800" w:type="dxa"/>
            <w:tcBorders>
              <w:top w:val="single" w:sz="4" w:space="0" w:color="000000"/>
            </w:tcBorders>
            <w:vAlign w:val="center"/>
          </w:tcPr>
          <w:p w:rsidR="00B070BF" w:rsidRPr="009577DE" w:rsidRDefault="00B070BF" w:rsidP="00C33D4A">
            <w:pPr>
              <w:widowControl w:val="0"/>
              <w:rPr>
                <w:b/>
                <w:bCs/>
                <w:sz w:val="16"/>
                <w:szCs w:val="16"/>
                <w:lang w:val="es-ES_tradnl"/>
              </w:rPr>
            </w:pPr>
            <w:r w:rsidRPr="009577DE">
              <w:rPr>
                <w:b/>
                <w:bCs/>
                <w:sz w:val="16"/>
                <w:szCs w:val="16"/>
                <w:lang w:val="es-ES_tradnl"/>
              </w:rPr>
              <w:lastRenderedPageBreak/>
              <w:t>Actividad</w:t>
            </w:r>
          </w:p>
        </w:tc>
        <w:tc>
          <w:tcPr>
            <w:tcW w:w="1260" w:type="dxa"/>
            <w:gridSpan w:val="3"/>
            <w:tcBorders>
              <w:top w:val="single" w:sz="4" w:space="0" w:color="000000"/>
            </w:tcBorders>
            <w:shd w:val="clear" w:color="auto" w:fill="auto"/>
            <w:tcMar>
              <w:top w:w="110" w:type="dxa"/>
            </w:tcMar>
            <w:vAlign w:val="center"/>
          </w:tcPr>
          <w:p w:rsidR="00B070BF" w:rsidRPr="009577DE" w:rsidRDefault="00B070BF" w:rsidP="00C33D4A">
            <w:pPr>
              <w:widowControl w:val="0"/>
              <w:rPr>
                <w:sz w:val="16"/>
                <w:szCs w:val="16"/>
                <w:lang w:val="es-ES_tradnl"/>
              </w:rPr>
            </w:pPr>
            <w:r w:rsidRPr="009577DE">
              <w:rPr>
                <w:b/>
                <w:bCs/>
                <w:sz w:val="16"/>
                <w:szCs w:val="16"/>
                <w:lang w:val="es-ES_tradnl"/>
              </w:rPr>
              <w:t>Fecha</w:t>
            </w:r>
          </w:p>
        </w:tc>
        <w:tc>
          <w:tcPr>
            <w:tcW w:w="2327" w:type="dxa"/>
            <w:tcBorders>
              <w:top w:val="single" w:sz="4" w:space="0" w:color="000000"/>
            </w:tcBorders>
            <w:shd w:val="clear" w:color="auto" w:fill="auto"/>
            <w:tcMar>
              <w:top w:w="110" w:type="dxa"/>
            </w:tcMar>
            <w:vAlign w:val="center"/>
          </w:tcPr>
          <w:p w:rsidR="00B070BF" w:rsidRPr="009577DE" w:rsidRDefault="00B070BF" w:rsidP="00C33D4A">
            <w:pPr>
              <w:widowControl w:val="0"/>
              <w:rPr>
                <w:sz w:val="16"/>
                <w:szCs w:val="16"/>
                <w:lang w:val="es-ES_tradnl"/>
              </w:rPr>
            </w:pPr>
            <w:r w:rsidRPr="009577DE">
              <w:rPr>
                <w:b/>
                <w:bCs/>
                <w:sz w:val="16"/>
                <w:szCs w:val="16"/>
                <w:lang w:val="es-ES_tradnl"/>
              </w:rPr>
              <w:t>País anfitrión/Beneficiarios</w:t>
            </w:r>
          </w:p>
        </w:tc>
        <w:tc>
          <w:tcPr>
            <w:tcW w:w="3685" w:type="dxa"/>
            <w:gridSpan w:val="3"/>
            <w:tcBorders>
              <w:top w:val="single" w:sz="4" w:space="0" w:color="000000"/>
            </w:tcBorders>
            <w:shd w:val="clear" w:color="auto" w:fill="FFFFFF"/>
            <w:tcMar>
              <w:top w:w="110" w:type="dxa"/>
            </w:tcMar>
            <w:vAlign w:val="center"/>
          </w:tcPr>
          <w:p w:rsidR="00B070BF" w:rsidRPr="009577DE" w:rsidRDefault="00B070BF" w:rsidP="00C33D4A">
            <w:pPr>
              <w:widowControl w:val="0"/>
              <w:ind w:left="175"/>
              <w:rPr>
                <w:sz w:val="16"/>
                <w:szCs w:val="16"/>
                <w:lang w:val="es-ES_tradnl"/>
              </w:rPr>
            </w:pPr>
            <w:r w:rsidRPr="009577DE">
              <w:rPr>
                <w:b/>
                <w:bCs/>
                <w:sz w:val="16"/>
                <w:szCs w:val="16"/>
                <w:lang w:val="es-ES_tradnl"/>
              </w:rPr>
              <w:t>Propósito/Descripción</w:t>
            </w:r>
          </w:p>
        </w:tc>
      </w:tr>
      <w:tr w:rsidR="00B070BF" w:rsidRPr="009577DE" w:rsidTr="00C33D4A">
        <w:trPr>
          <w:trHeight w:val="2201"/>
        </w:trPr>
        <w:tc>
          <w:tcPr>
            <w:tcW w:w="1800" w:type="dxa"/>
          </w:tcPr>
          <w:p w:rsidR="00B070BF" w:rsidRPr="009577DE" w:rsidRDefault="00B070BF" w:rsidP="00C33D4A">
            <w:pPr>
              <w:widowControl w:val="0"/>
              <w:autoSpaceDE w:val="0"/>
              <w:autoSpaceDN w:val="0"/>
              <w:adjustRightInd w:val="0"/>
              <w:spacing w:before="120" w:after="120"/>
              <w:rPr>
                <w:sz w:val="16"/>
                <w:szCs w:val="16"/>
                <w:lang w:val="es-ES_tradnl"/>
              </w:rPr>
            </w:pPr>
            <w:r w:rsidRPr="009577DE">
              <w:rPr>
                <w:sz w:val="16"/>
                <w:szCs w:val="16"/>
                <w:lang w:val="es-ES_tradnl"/>
              </w:rPr>
              <w:t>Conferencia regional de la OMPI sobre el papel de las oficinas de P.I. en el fomento de la innovación, la competitividad de las empresas y el crecimiento económico.</w:t>
            </w:r>
          </w:p>
        </w:tc>
        <w:tc>
          <w:tcPr>
            <w:tcW w:w="1260" w:type="dxa"/>
            <w:gridSpan w:val="3"/>
          </w:tcPr>
          <w:p w:rsidR="00B070BF" w:rsidRPr="009577DE" w:rsidRDefault="00B070BF" w:rsidP="00C33D4A">
            <w:pPr>
              <w:widowControl w:val="0"/>
              <w:autoSpaceDE w:val="0"/>
              <w:autoSpaceDN w:val="0"/>
              <w:adjustRightInd w:val="0"/>
              <w:spacing w:before="120" w:after="120"/>
              <w:rPr>
                <w:sz w:val="16"/>
                <w:szCs w:val="16"/>
                <w:lang w:val="es-ES_tradnl"/>
              </w:rPr>
            </w:pPr>
            <w:r w:rsidRPr="009577DE">
              <w:rPr>
                <w:sz w:val="16"/>
                <w:szCs w:val="16"/>
                <w:lang w:val="es-ES_tradnl"/>
              </w:rPr>
              <w:t>2 y 3 de febrero de 2012</w:t>
            </w:r>
          </w:p>
        </w:tc>
        <w:tc>
          <w:tcPr>
            <w:tcW w:w="2469" w:type="dxa"/>
            <w:gridSpan w:val="2"/>
          </w:tcPr>
          <w:p w:rsidR="00B070BF" w:rsidRPr="009577DE" w:rsidRDefault="00B070BF" w:rsidP="00C33D4A">
            <w:pPr>
              <w:widowControl w:val="0"/>
              <w:autoSpaceDE w:val="0"/>
              <w:autoSpaceDN w:val="0"/>
              <w:adjustRightInd w:val="0"/>
              <w:spacing w:before="120" w:after="120"/>
              <w:rPr>
                <w:sz w:val="16"/>
                <w:szCs w:val="16"/>
                <w:lang w:val="es-ES_tradnl"/>
              </w:rPr>
            </w:pPr>
            <w:r w:rsidRPr="009577DE">
              <w:rPr>
                <w:sz w:val="16"/>
                <w:szCs w:val="16"/>
                <w:lang w:val="es-ES_tradnl"/>
              </w:rPr>
              <w:t>Japón</w:t>
            </w:r>
          </w:p>
          <w:p w:rsidR="00B070BF" w:rsidRPr="009577DE" w:rsidRDefault="00B070BF" w:rsidP="00C33D4A">
            <w:pPr>
              <w:widowControl w:val="0"/>
              <w:autoSpaceDE w:val="0"/>
              <w:autoSpaceDN w:val="0"/>
              <w:adjustRightInd w:val="0"/>
              <w:spacing w:before="120" w:after="120"/>
              <w:rPr>
                <w:sz w:val="16"/>
                <w:szCs w:val="16"/>
                <w:lang w:val="es-ES_tradnl"/>
              </w:rPr>
            </w:pPr>
            <w:r w:rsidRPr="009577DE">
              <w:rPr>
                <w:sz w:val="16"/>
                <w:szCs w:val="16"/>
                <w:lang w:val="es-ES_tradnl"/>
              </w:rPr>
              <w:t>5 participantes de 5 países africanos</w:t>
            </w:r>
          </w:p>
        </w:tc>
        <w:tc>
          <w:tcPr>
            <w:tcW w:w="3543" w:type="dxa"/>
            <w:gridSpan w:val="2"/>
          </w:tcPr>
          <w:p w:rsidR="00B070BF" w:rsidRPr="009577DE" w:rsidRDefault="00B070BF" w:rsidP="00C33D4A">
            <w:pPr>
              <w:widowControl w:val="0"/>
              <w:autoSpaceDE w:val="0"/>
              <w:autoSpaceDN w:val="0"/>
              <w:adjustRightInd w:val="0"/>
              <w:spacing w:before="120" w:after="120"/>
              <w:rPr>
                <w:b/>
                <w:sz w:val="16"/>
                <w:szCs w:val="16"/>
                <w:lang w:val="es-ES_tradnl"/>
              </w:rPr>
            </w:pPr>
            <w:r w:rsidRPr="009577DE">
              <w:rPr>
                <w:sz w:val="16"/>
                <w:szCs w:val="16"/>
                <w:lang w:val="es-ES_tradnl" w:eastAsia="ja-JP" w:bidi="th-TH"/>
              </w:rPr>
              <w:t xml:space="preserve">Los objetivos fueron los siguientes:  i) dar a los altos directivos de las oficinas de P.I. y los funcionarios gubernamentales encargados de la adopción de políticas económicas y comerciales la oportunidad de mejorar su comprensión del papel que desempeña el </w:t>
            </w:r>
            <w:r w:rsidRPr="009577DE">
              <w:rPr>
                <w:snapToGrid w:val="0"/>
                <w:sz w:val="16"/>
                <w:szCs w:val="16"/>
                <w:lang w:val="es-ES_tradnl" w:eastAsia="ja-JP" w:bidi="th-TH"/>
              </w:rPr>
              <w:t>sistema de P.I. en la promoción y la innovación en pos del crecimiento económico y la competitividad de las empresas</w:t>
            </w:r>
            <w:r w:rsidRPr="009577DE">
              <w:rPr>
                <w:sz w:val="16"/>
                <w:szCs w:val="16"/>
                <w:lang w:val="es-ES_tradnl" w:eastAsia="ja-JP" w:bidi="th-TH"/>
              </w:rPr>
              <w:t>;  ii) compartir experiencias en cuanto a la creación de una política y estrategia nacionales de P.I. que guarden coherencia con las políticas generales económicas y comerciales y contribuyan a ellas;  y iii) intercambiar opiniones sobre el papel que desempeñan las oficinas de P.I. en el logro de las políticas y las metas nacionales en materia de desarrollo.</w:t>
            </w:r>
          </w:p>
        </w:tc>
      </w:tr>
      <w:tr w:rsidR="00B070BF" w:rsidRPr="009577DE" w:rsidTr="00C33D4A">
        <w:trPr>
          <w:trHeight w:val="2093"/>
        </w:trPr>
        <w:tc>
          <w:tcPr>
            <w:tcW w:w="1800" w:type="dxa"/>
            <w:tcBorders>
              <w:bottom w:val="nil"/>
            </w:tcBorders>
          </w:tcPr>
          <w:p w:rsidR="00B070BF" w:rsidRPr="009577DE" w:rsidRDefault="00B070BF" w:rsidP="00C33D4A">
            <w:pPr>
              <w:widowControl w:val="0"/>
              <w:autoSpaceDE w:val="0"/>
              <w:autoSpaceDN w:val="0"/>
              <w:adjustRightInd w:val="0"/>
              <w:spacing w:before="120" w:after="120"/>
              <w:rPr>
                <w:sz w:val="16"/>
                <w:szCs w:val="16"/>
                <w:lang w:val="es-ES_tradnl"/>
              </w:rPr>
            </w:pPr>
            <w:r w:rsidRPr="009577DE">
              <w:rPr>
                <w:sz w:val="16"/>
                <w:szCs w:val="16"/>
                <w:lang w:val="es-ES_tradnl"/>
              </w:rPr>
              <w:t>Taller subregional de la OMPI sobre la adhesión al sistema de Madrid y su utilización eficaz.</w:t>
            </w:r>
          </w:p>
          <w:p w:rsidR="00B070BF" w:rsidRPr="009577DE" w:rsidRDefault="00B070BF" w:rsidP="00C33D4A">
            <w:pPr>
              <w:widowControl w:val="0"/>
              <w:autoSpaceDE w:val="0"/>
              <w:autoSpaceDN w:val="0"/>
              <w:adjustRightInd w:val="0"/>
              <w:spacing w:before="120" w:after="120"/>
              <w:rPr>
                <w:sz w:val="16"/>
                <w:szCs w:val="16"/>
                <w:lang w:val="es-ES_tradnl"/>
              </w:rPr>
            </w:pPr>
          </w:p>
        </w:tc>
        <w:tc>
          <w:tcPr>
            <w:tcW w:w="1260" w:type="dxa"/>
            <w:gridSpan w:val="3"/>
            <w:tcBorders>
              <w:bottom w:val="nil"/>
            </w:tcBorders>
          </w:tcPr>
          <w:p w:rsidR="00B070BF" w:rsidRPr="009577DE" w:rsidRDefault="00B070BF" w:rsidP="00C33D4A">
            <w:pPr>
              <w:widowControl w:val="0"/>
              <w:autoSpaceDE w:val="0"/>
              <w:autoSpaceDN w:val="0"/>
              <w:adjustRightInd w:val="0"/>
              <w:spacing w:before="120" w:after="120"/>
              <w:rPr>
                <w:sz w:val="16"/>
                <w:szCs w:val="16"/>
                <w:lang w:val="es-ES_tradnl"/>
              </w:rPr>
            </w:pPr>
            <w:r w:rsidRPr="009577DE">
              <w:rPr>
                <w:sz w:val="16"/>
                <w:szCs w:val="16"/>
                <w:lang w:val="es-ES_tradnl"/>
              </w:rPr>
              <w:t>8 y 9 de marzo de 2012</w:t>
            </w:r>
          </w:p>
          <w:p w:rsidR="00B070BF" w:rsidRPr="009577DE" w:rsidRDefault="00B070BF" w:rsidP="00C33D4A">
            <w:pPr>
              <w:widowControl w:val="0"/>
              <w:autoSpaceDE w:val="0"/>
              <w:autoSpaceDN w:val="0"/>
              <w:adjustRightInd w:val="0"/>
              <w:spacing w:before="120" w:after="120"/>
              <w:rPr>
                <w:sz w:val="16"/>
                <w:szCs w:val="16"/>
                <w:lang w:val="es-ES_tradnl"/>
              </w:rPr>
            </w:pPr>
          </w:p>
          <w:p w:rsidR="00B070BF" w:rsidRPr="009577DE" w:rsidRDefault="00B070BF" w:rsidP="00C33D4A">
            <w:pPr>
              <w:widowControl w:val="0"/>
              <w:autoSpaceDE w:val="0"/>
              <w:autoSpaceDN w:val="0"/>
              <w:adjustRightInd w:val="0"/>
              <w:spacing w:before="120" w:after="120"/>
              <w:rPr>
                <w:sz w:val="16"/>
                <w:szCs w:val="16"/>
                <w:lang w:val="es-ES_tradnl"/>
              </w:rPr>
            </w:pPr>
          </w:p>
          <w:p w:rsidR="00B070BF" w:rsidRPr="009577DE" w:rsidRDefault="00B070BF" w:rsidP="00C33D4A">
            <w:pPr>
              <w:widowControl w:val="0"/>
              <w:autoSpaceDE w:val="0"/>
              <w:autoSpaceDN w:val="0"/>
              <w:adjustRightInd w:val="0"/>
              <w:spacing w:before="120" w:after="120"/>
              <w:rPr>
                <w:sz w:val="16"/>
                <w:szCs w:val="16"/>
                <w:lang w:val="es-ES_tradnl"/>
              </w:rPr>
            </w:pPr>
          </w:p>
          <w:p w:rsidR="00B070BF" w:rsidRPr="009577DE" w:rsidRDefault="00B070BF" w:rsidP="00C33D4A">
            <w:pPr>
              <w:widowControl w:val="0"/>
              <w:autoSpaceDE w:val="0"/>
              <w:autoSpaceDN w:val="0"/>
              <w:adjustRightInd w:val="0"/>
              <w:spacing w:before="120" w:after="120"/>
              <w:rPr>
                <w:sz w:val="16"/>
                <w:szCs w:val="16"/>
                <w:lang w:val="es-ES_tradnl"/>
              </w:rPr>
            </w:pPr>
          </w:p>
        </w:tc>
        <w:tc>
          <w:tcPr>
            <w:tcW w:w="2469" w:type="dxa"/>
            <w:gridSpan w:val="2"/>
            <w:tcBorders>
              <w:bottom w:val="nil"/>
            </w:tcBorders>
          </w:tcPr>
          <w:p w:rsidR="00B070BF" w:rsidRPr="009577DE" w:rsidRDefault="00B070BF" w:rsidP="00C33D4A">
            <w:pPr>
              <w:widowControl w:val="0"/>
              <w:autoSpaceDE w:val="0"/>
              <w:autoSpaceDN w:val="0"/>
              <w:adjustRightInd w:val="0"/>
              <w:spacing w:before="120" w:after="120"/>
              <w:rPr>
                <w:sz w:val="16"/>
                <w:szCs w:val="16"/>
                <w:lang w:val="es-ES_tradnl"/>
              </w:rPr>
            </w:pPr>
            <w:r w:rsidRPr="009577DE">
              <w:rPr>
                <w:sz w:val="16"/>
                <w:szCs w:val="16"/>
                <w:lang w:val="es-ES_tradnl"/>
              </w:rPr>
              <w:t xml:space="preserve">Japón  </w:t>
            </w:r>
          </w:p>
          <w:p w:rsidR="00B070BF" w:rsidRPr="009577DE" w:rsidRDefault="00B070BF" w:rsidP="00C33D4A">
            <w:pPr>
              <w:widowControl w:val="0"/>
              <w:autoSpaceDE w:val="0"/>
              <w:autoSpaceDN w:val="0"/>
              <w:adjustRightInd w:val="0"/>
              <w:spacing w:before="120" w:after="120"/>
              <w:rPr>
                <w:sz w:val="16"/>
                <w:szCs w:val="16"/>
                <w:lang w:val="es-ES_tradnl"/>
              </w:rPr>
            </w:pPr>
            <w:r w:rsidRPr="009577DE">
              <w:rPr>
                <w:sz w:val="16"/>
                <w:szCs w:val="16"/>
                <w:lang w:val="es-ES_tradnl"/>
              </w:rPr>
              <w:t>2 participantes de 2 países africanos y participantes de la ARIPO (1) y de la OAPI (1)</w:t>
            </w:r>
          </w:p>
        </w:tc>
        <w:tc>
          <w:tcPr>
            <w:tcW w:w="3543" w:type="dxa"/>
            <w:gridSpan w:val="2"/>
            <w:tcBorders>
              <w:bottom w:val="nil"/>
            </w:tcBorders>
          </w:tcPr>
          <w:p w:rsidR="00B070BF" w:rsidRPr="009577DE" w:rsidRDefault="00B070BF" w:rsidP="00C33D4A">
            <w:pPr>
              <w:widowControl w:val="0"/>
              <w:autoSpaceDE w:val="0"/>
              <w:autoSpaceDN w:val="0"/>
              <w:adjustRightInd w:val="0"/>
              <w:spacing w:before="120" w:after="120"/>
              <w:rPr>
                <w:sz w:val="16"/>
                <w:szCs w:val="16"/>
                <w:lang w:val="es-ES_tradnl"/>
              </w:rPr>
            </w:pPr>
            <w:r w:rsidRPr="009577DE">
              <w:rPr>
                <w:sz w:val="16"/>
                <w:szCs w:val="16"/>
                <w:lang w:val="es-ES_tradnl" w:eastAsia="ja-JP" w:bidi="th-TH"/>
              </w:rPr>
              <w:t>Los objetivos fueron los siguientes:  i) dar a los participantes de los Estados que no son miembros del sistema de Madrid la oportunidad de conocer los requisitos de adhesión al sistema y los procedimientos prácticos del mismo;  ii) examinar la carga total de trabajo y las tareas que supone la administración del sistema de Madrid, mediante debates con las personas interesadas, y ello incluye los examinadores y los abogados de marcas del Japón;  y iii) fomentar la comprensión de las ventajas y los requisitos de adhesión al sistema de Madrid.</w:t>
            </w:r>
          </w:p>
        </w:tc>
      </w:tr>
      <w:tr w:rsidR="00B070BF" w:rsidRPr="009577DE" w:rsidTr="00C33D4A">
        <w:tc>
          <w:tcPr>
            <w:tcW w:w="1800" w:type="dxa"/>
            <w:tcBorders>
              <w:top w:val="nil"/>
              <w:bottom w:val="single" w:sz="4" w:space="0" w:color="000000"/>
            </w:tcBorders>
          </w:tcPr>
          <w:p w:rsidR="00B070BF" w:rsidRPr="009577DE" w:rsidRDefault="00B070BF" w:rsidP="00C33D4A">
            <w:pPr>
              <w:widowControl w:val="0"/>
              <w:autoSpaceDE w:val="0"/>
              <w:autoSpaceDN w:val="0"/>
              <w:adjustRightInd w:val="0"/>
              <w:spacing w:before="120" w:after="120"/>
              <w:rPr>
                <w:sz w:val="16"/>
                <w:szCs w:val="16"/>
                <w:lang w:val="es-ES_tradnl"/>
              </w:rPr>
            </w:pPr>
            <w:r w:rsidRPr="009577DE">
              <w:rPr>
                <w:sz w:val="16"/>
                <w:szCs w:val="16"/>
                <w:lang w:val="es-ES_tradnl"/>
              </w:rPr>
              <w:t>Taller subregional sobre las consecuencias sociales y económicas de la falsificación y de otras infracciones de los derechos de P.I.</w:t>
            </w:r>
          </w:p>
        </w:tc>
        <w:tc>
          <w:tcPr>
            <w:tcW w:w="1260" w:type="dxa"/>
            <w:gridSpan w:val="3"/>
            <w:tcBorders>
              <w:top w:val="nil"/>
              <w:bottom w:val="single" w:sz="4" w:space="0" w:color="000000"/>
            </w:tcBorders>
          </w:tcPr>
          <w:p w:rsidR="00B070BF" w:rsidRPr="009577DE" w:rsidRDefault="00B070BF" w:rsidP="00C33D4A">
            <w:pPr>
              <w:keepNext/>
              <w:keepLines/>
              <w:widowControl w:val="0"/>
              <w:autoSpaceDE w:val="0"/>
              <w:autoSpaceDN w:val="0"/>
              <w:adjustRightInd w:val="0"/>
              <w:spacing w:before="120" w:after="120"/>
              <w:rPr>
                <w:sz w:val="16"/>
                <w:szCs w:val="16"/>
                <w:lang w:val="es-ES_tradnl"/>
              </w:rPr>
            </w:pPr>
            <w:r w:rsidRPr="009577DE">
              <w:rPr>
                <w:sz w:val="16"/>
                <w:szCs w:val="16"/>
                <w:lang w:val="es-ES_tradnl"/>
              </w:rPr>
              <w:t>27 a 29 de marzo de 2012</w:t>
            </w:r>
          </w:p>
        </w:tc>
        <w:tc>
          <w:tcPr>
            <w:tcW w:w="2469" w:type="dxa"/>
            <w:gridSpan w:val="2"/>
            <w:tcBorders>
              <w:top w:val="nil"/>
              <w:bottom w:val="single" w:sz="4" w:space="0" w:color="000000"/>
            </w:tcBorders>
          </w:tcPr>
          <w:p w:rsidR="00B070BF" w:rsidRPr="009577DE" w:rsidRDefault="00B070BF" w:rsidP="00C33D4A">
            <w:pPr>
              <w:keepNext/>
              <w:keepLines/>
              <w:widowControl w:val="0"/>
              <w:autoSpaceDE w:val="0"/>
              <w:autoSpaceDN w:val="0"/>
              <w:adjustRightInd w:val="0"/>
              <w:spacing w:before="120" w:after="120"/>
              <w:rPr>
                <w:sz w:val="16"/>
                <w:szCs w:val="16"/>
                <w:lang w:val="es-ES_tradnl"/>
              </w:rPr>
            </w:pPr>
            <w:r w:rsidRPr="009577DE">
              <w:rPr>
                <w:sz w:val="16"/>
                <w:szCs w:val="16"/>
                <w:lang w:val="es-ES_tradnl"/>
              </w:rPr>
              <w:t>Burkina Faso</w:t>
            </w:r>
          </w:p>
          <w:p w:rsidR="00B070BF" w:rsidRPr="009577DE" w:rsidRDefault="00B070BF" w:rsidP="00C33D4A">
            <w:pPr>
              <w:keepNext/>
              <w:keepLines/>
              <w:widowControl w:val="0"/>
              <w:autoSpaceDE w:val="0"/>
              <w:autoSpaceDN w:val="0"/>
              <w:adjustRightInd w:val="0"/>
              <w:spacing w:before="120" w:after="120"/>
              <w:rPr>
                <w:sz w:val="16"/>
                <w:szCs w:val="16"/>
                <w:lang w:val="es-ES_tradnl"/>
              </w:rPr>
            </w:pPr>
            <w:r w:rsidRPr="009577DE">
              <w:rPr>
                <w:sz w:val="16"/>
                <w:szCs w:val="16"/>
                <w:lang w:val="es-ES_tradnl"/>
              </w:rPr>
              <w:t>47 participantes de 8 países africanos</w:t>
            </w:r>
          </w:p>
          <w:p w:rsidR="00B070BF" w:rsidRPr="009577DE" w:rsidRDefault="00B070BF" w:rsidP="00C33D4A">
            <w:pPr>
              <w:keepNext/>
              <w:keepLines/>
              <w:widowControl w:val="0"/>
              <w:autoSpaceDE w:val="0"/>
              <w:autoSpaceDN w:val="0"/>
              <w:adjustRightInd w:val="0"/>
              <w:spacing w:before="120" w:after="120"/>
              <w:rPr>
                <w:sz w:val="16"/>
                <w:szCs w:val="16"/>
                <w:lang w:val="es-ES_tradnl"/>
              </w:rPr>
            </w:pPr>
          </w:p>
        </w:tc>
        <w:tc>
          <w:tcPr>
            <w:tcW w:w="3543" w:type="dxa"/>
            <w:gridSpan w:val="2"/>
            <w:tcBorders>
              <w:top w:val="nil"/>
              <w:bottom w:val="single" w:sz="4" w:space="0" w:color="000000"/>
            </w:tcBorders>
          </w:tcPr>
          <w:p w:rsidR="00B070BF" w:rsidRPr="009577DE" w:rsidRDefault="00B070BF" w:rsidP="00C33D4A">
            <w:pPr>
              <w:keepNext/>
              <w:keepLines/>
              <w:widowControl w:val="0"/>
              <w:autoSpaceDE w:val="0"/>
              <w:autoSpaceDN w:val="0"/>
              <w:adjustRightInd w:val="0"/>
              <w:spacing w:before="120" w:after="120"/>
              <w:rPr>
                <w:sz w:val="16"/>
                <w:szCs w:val="16"/>
                <w:lang w:val="es-ES_tradnl"/>
              </w:rPr>
            </w:pPr>
            <w:r w:rsidRPr="009577DE">
              <w:rPr>
                <w:sz w:val="16"/>
                <w:szCs w:val="16"/>
                <w:lang w:val="es-ES_tradnl"/>
              </w:rPr>
              <w:t>El objetivo del seminario fue fomentar la sensibilización e impartir a los participantes conocimientos sobre derechos de P.I. que les permitan luchar mejor contra la falsificación y la piratería y evaluar las consecuencias sociales y económicas en sus respectivos países, así como en la subregión de la Unión Económica y Monetaria de África Occidental.  La reunión constituyó una oportunidad de intercambiar experiencias entre los jefes de las oficinas de P.I., los magistrados, los abogados y la sociedad civil sobre procedimientos judiciales y administrativos relacionados con la observancia de los derechos de P.I.;  fortalecer las aptitudes para la lucha contra la falsificación y la piratería mediante el reconocimiento de los desafíos que plantean las medidas provisionales de observancia de la P.I. en el marco de la UEMAO, recomendar medidas para someter al examen de la UEMAO, destinadas a armonizar las prácticas relacionadas con la solución de controversias en cuestiones de P.I. entre sus Estados miembros.</w:t>
            </w:r>
          </w:p>
        </w:tc>
      </w:tr>
      <w:tr w:rsidR="00B070BF" w:rsidRPr="009577DE" w:rsidTr="00C33D4A">
        <w:tc>
          <w:tcPr>
            <w:tcW w:w="1800" w:type="dxa"/>
            <w:tcBorders>
              <w:top w:val="single" w:sz="4" w:space="0" w:color="000000"/>
              <w:bottom w:val="nil"/>
            </w:tcBorders>
          </w:tcPr>
          <w:p w:rsidR="00B070BF" w:rsidRPr="009577DE" w:rsidRDefault="00B070BF" w:rsidP="00C33D4A">
            <w:pPr>
              <w:keepNext/>
              <w:widowControl w:val="0"/>
              <w:autoSpaceDE w:val="0"/>
              <w:autoSpaceDN w:val="0"/>
              <w:adjustRightInd w:val="0"/>
              <w:spacing w:before="120" w:after="120"/>
              <w:rPr>
                <w:sz w:val="16"/>
                <w:szCs w:val="16"/>
                <w:lang w:val="es-ES_tradnl"/>
              </w:rPr>
            </w:pPr>
            <w:r w:rsidRPr="009577DE">
              <w:rPr>
                <w:sz w:val="16"/>
                <w:szCs w:val="16"/>
                <w:lang w:val="es-ES_tradnl"/>
              </w:rPr>
              <w:lastRenderedPageBreak/>
              <w:t>Seminario OMPI/ARIPO sobre comercialización de resultados de I+D y competitividad de las pymes.</w:t>
            </w:r>
          </w:p>
        </w:tc>
        <w:tc>
          <w:tcPr>
            <w:tcW w:w="1260" w:type="dxa"/>
            <w:gridSpan w:val="3"/>
            <w:tcBorders>
              <w:top w:val="single" w:sz="4" w:space="0" w:color="000000"/>
              <w:bottom w:val="nil"/>
            </w:tcBorders>
          </w:tcPr>
          <w:p w:rsidR="00B070BF" w:rsidRPr="009577DE" w:rsidRDefault="00B070BF" w:rsidP="00C33D4A">
            <w:pPr>
              <w:keepNext/>
              <w:widowControl w:val="0"/>
              <w:autoSpaceDE w:val="0"/>
              <w:autoSpaceDN w:val="0"/>
              <w:adjustRightInd w:val="0"/>
              <w:spacing w:before="120" w:after="120"/>
              <w:rPr>
                <w:sz w:val="16"/>
                <w:szCs w:val="16"/>
                <w:lang w:val="es-ES_tradnl"/>
              </w:rPr>
            </w:pPr>
            <w:r w:rsidRPr="009577DE">
              <w:rPr>
                <w:sz w:val="16"/>
                <w:szCs w:val="16"/>
                <w:lang w:val="es-ES_tradnl"/>
              </w:rPr>
              <w:t>16 a 20 de abril de 2012</w:t>
            </w:r>
          </w:p>
        </w:tc>
        <w:tc>
          <w:tcPr>
            <w:tcW w:w="2469" w:type="dxa"/>
            <w:gridSpan w:val="2"/>
            <w:tcBorders>
              <w:top w:val="single" w:sz="4" w:space="0" w:color="000000"/>
              <w:bottom w:val="nil"/>
            </w:tcBorders>
          </w:tcPr>
          <w:p w:rsidR="00B070BF" w:rsidRPr="009577DE" w:rsidRDefault="00B070BF" w:rsidP="00C33D4A">
            <w:pPr>
              <w:keepNext/>
              <w:widowControl w:val="0"/>
              <w:autoSpaceDE w:val="0"/>
              <w:autoSpaceDN w:val="0"/>
              <w:adjustRightInd w:val="0"/>
              <w:spacing w:before="120" w:after="120"/>
              <w:rPr>
                <w:sz w:val="16"/>
                <w:szCs w:val="16"/>
                <w:lang w:val="es-ES_tradnl"/>
              </w:rPr>
            </w:pPr>
            <w:r w:rsidRPr="009577DE">
              <w:rPr>
                <w:sz w:val="16"/>
                <w:szCs w:val="16"/>
                <w:lang w:val="es-ES_tradnl"/>
              </w:rPr>
              <w:t xml:space="preserve">Namibia </w:t>
            </w:r>
          </w:p>
          <w:p w:rsidR="00B070BF" w:rsidRPr="009577DE" w:rsidRDefault="00B070BF" w:rsidP="00C33D4A">
            <w:pPr>
              <w:keepNext/>
              <w:widowControl w:val="0"/>
              <w:autoSpaceDE w:val="0"/>
              <w:autoSpaceDN w:val="0"/>
              <w:adjustRightInd w:val="0"/>
              <w:spacing w:before="120" w:after="120"/>
              <w:rPr>
                <w:sz w:val="16"/>
                <w:szCs w:val="16"/>
                <w:lang w:val="es-ES_tradnl"/>
              </w:rPr>
            </w:pPr>
            <w:r w:rsidRPr="009577DE">
              <w:rPr>
                <w:sz w:val="16"/>
                <w:szCs w:val="16"/>
                <w:lang w:val="es-ES_tradnl"/>
              </w:rPr>
              <w:t>12 participantes de 11 países africanos y 13 participantes locales de Namibia</w:t>
            </w:r>
          </w:p>
          <w:p w:rsidR="00B070BF" w:rsidRPr="009577DE" w:rsidRDefault="00B070BF" w:rsidP="00C33D4A">
            <w:pPr>
              <w:keepNext/>
              <w:widowControl w:val="0"/>
              <w:autoSpaceDE w:val="0"/>
              <w:autoSpaceDN w:val="0"/>
              <w:adjustRightInd w:val="0"/>
              <w:spacing w:before="120" w:after="120"/>
              <w:rPr>
                <w:sz w:val="16"/>
                <w:szCs w:val="16"/>
                <w:lang w:val="es-ES_tradnl"/>
              </w:rPr>
            </w:pPr>
          </w:p>
        </w:tc>
        <w:tc>
          <w:tcPr>
            <w:tcW w:w="3543" w:type="dxa"/>
            <w:gridSpan w:val="2"/>
            <w:tcBorders>
              <w:top w:val="single" w:sz="4" w:space="0" w:color="000000"/>
              <w:bottom w:val="nil"/>
            </w:tcBorders>
          </w:tcPr>
          <w:p w:rsidR="00B070BF" w:rsidRPr="009577DE" w:rsidRDefault="00B070BF" w:rsidP="00C33D4A">
            <w:pPr>
              <w:keepNext/>
              <w:widowControl w:val="0"/>
              <w:autoSpaceDE w:val="0"/>
              <w:autoSpaceDN w:val="0"/>
              <w:adjustRightInd w:val="0"/>
              <w:spacing w:before="120" w:after="120"/>
              <w:rPr>
                <w:sz w:val="16"/>
                <w:szCs w:val="16"/>
                <w:lang w:val="es-ES_tradnl"/>
              </w:rPr>
            </w:pPr>
            <w:r w:rsidRPr="009577DE">
              <w:rPr>
                <w:sz w:val="16"/>
                <w:szCs w:val="16"/>
                <w:lang w:val="es-ES_tradnl"/>
              </w:rPr>
              <w:t xml:space="preserve">El objetivo del seminario fue crear la oportunidad de que las instituciones de investigación y las cámaras de comercio, así como los empresarios, los directivos de empresas y las asociaciones se reúnan para examinar los aspectos comerciales de la P.I. en lo que atañe a las pymes y las instituciones de I+D, así como la utilidad del </w:t>
            </w:r>
            <w:r w:rsidRPr="009577DE">
              <w:rPr>
                <w:snapToGrid w:val="0"/>
                <w:sz w:val="16"/>
                <w:szCs w:val="16"/>
                <w:lang w:val="es-ES_tradnl"/>
              </w:rPr>
              <w:t>sistema de P.I. para mejorar la capacidad innovadora y la competitividad de las pymes</w:t>
            </w:r>
            <w:r w:rsidRPr="009577DE">
              <w:rPr>
                <w:sz w:val="16"/>
                <w:szCs w:val="16"/>
                <w:lang w:val="es-ES_tradnl"/>
              </w:rPr>
              <w:t>.  El seminario también ofreció información que permitió entender mejor la forma de utilizar los instrumentos de P.I. para elaborar carteras de P.I. y adquirir competitividad en el mercado.</w:t>
            </w:r>
          </w:p>
        </w:tc>
      </w:tr>
      <w:tr w:rsidR="00B070BF" w:rsidRPr="009577DE" w:rsidTr="00C33D4A">
        <w:trPr>
          <w:trHeight w:val="2335"/>
        </w:trPr>
        <w:tc>
          <w:tcPr>
            <w:tcW w:w="1800" w:type="dxa"/>
            <w:tcBorders>
              <w:top w:val="nil"/>
              <w:bottom w:val="nil"/>
            </w:tcBorders>
          </w:tcPr>
          <w:p w:rsidR="00B070BF" w:rsidRPr="009577DE" w:rsidRDefault="00B070BF" w:rsidP="00C33D4A">
            <w:pPr>
              <w:widowControl w:val="0"/>
              <w:autoSpaceDE w:val="0"/>
              <w:autoSpaceDN w:val="0"/>
              <w:adjustRightInd w:val="0"/>
              <w:spacing w:before="120" w:after="120"/>
              <w:rPr>
                <w:sz w:val="16"/>
                <w:szCs w:val="16"/>
                <w:lang w:val="es-ES_tradnl"/>
              </w:rPr>
            </w:pPr>
            <w:r w:rsidRPr="009577DE">
              <w:rPr>
                <w:sz w:val="16"/>
                <w:szCs w:val="16"/>
                <w:lang w:val="es-ES_tradnl"/>
              </w:rPr>
              <w:t>Conferencia vía satélite OMPI/</w:t>
            </w:r>
            <w:r w:rsidRPr="009577DE">
              <w:rPr>
                <w:i/>
                <w:sz w:val="16"/>
                <w:szCs w:val="16"/>
                <w:lang w:val="es-ES_tradnl"/>
              </w:rPr>
              <w:t xml:space="preserve">Medical </w:t>
            </w:r>
            <w:proofErr w:type="spellStart"/>
            <w:r w:rsidRPr="009577DE">
              <w:rPr>
                <w:i/>
                <w:sz w:val="16"/>
                <w:szCs w:val="16"/>
                <w:lang w:val="es-ES_tradnl"/>
              </w:rPr>
              <w:t>Research</w:t>
            </w:r>
            <w:proofErr w:type="spellEnd"/>
            <w:r w:rsidRPr="009577DE">
              <w:rPr>
                <w:i/>
                <w:sz w:val="16"/>
                <w:szCs w:val="16"/>
                <w:lang w:val="es-ES_tradnl"/>
              </w:rPr>
              <w:t xml:space="preserve"> Council</w:t>
            </w:r>
            <w:r w:rsidRPr="009577DE">
              <w:rPr>
                <w:sz w:val="16"/>
                <w:szCs w:val="16"/>
                <w:lang w:val="es-ES_tradnl"/>
              </w:rPr>
              <w:t xml:space="preserve"> (MRC) con la </w:t>
            </w:r>
            <w:r w:rsidRPr="009577DE">
              <w:rPr>
                <w:i/>
                <w:sz w:val="16"/>
                <w:szCs w:val="16"/>
                <w:lang w:val="es-ES_tradnl"/>
              </w:rPr>
              <w:t xml:space="preserve">Network of </w:t>
            </w:r>
            <w:proofErr w:type="spellStart"/>
            <w:r w:rsidRPr="009577DE">
              <w:rPr>
                <w:i/>
                <w:sz w:val="16"/>
                <w:szCs w:val="16"/>
                <w:lang w:val="es-ES_tradnl"/>
              </w:rPr>
              <w:t>Drug</w:t>
            </w:r>
            <w:proofErr w:type="spellEnd"/>
            <w:r w:rsidRPr="009577DE">
              <w:rPr>
                <w:i/>
                <w:sz w:val="16"/>
                <w:szCs w:val="16"/>
                <w:lang w:val="es-ES_tradnl"/>
              </w:rPr>
              <w:t xml:space="preserve"> and </w:t>
            </w:r>
            <w:proofErr w:type="spellStart"/>
            <w:r w:rsidRPr="009577DE">
              <w:rPr>
                <w:i/>
                <w:sz w:val="16"/>
                <w:szCs w:val="16"/>
                <w:lang w:val="es-ES_tradnl"/>
              </w:rPr>
              <w:t>diagnostics</w:t>
            </w:r>
            <w:proofErr w:type="spellEnd"/>
            <w:r w:rsidRPr="009577DE">
              <w:rPr>
                <w:i/>
                <w:sz w:val="16"/>
                <w:szCs w:val="16"/>
                <w:lang w:val="es-ES_tradnl"/>
              </w:rPr>
              <w:t xml:space="preserve"> </w:t>
            </w:r>
            <w:proofErr w:type="spellStart"/>
            <w:r w:rsidRPr="009577DE">
              <w:rPr>
                <w:i/>
                <w:sz w:val="16"/>
                <w:szCs w:val="16"/>
                <w:lang w:val="es-ES_tradnl"/>
              </w:rPr>
              <w:t>innovation</w:t>
            </w:r>
            <w:proofErr w:type="spellEnd"/>
            <w:r w:rsidRPr="009577DE">
              <w:rPr>
                <w:i/>
                <w:sz w:val="16"/>
                <w:szCs w:val="16"/>
                <w:lang w:val="es-ES_tradnl"/>
              </w:rPr>
              <w:t xml:space="preserve"> (</w:t>
            </w:r>
            <w:r w:rsidRPr="009577DE">
              <w:rPr>
                <w:sz w:val="16"/>
                <w:szCs w:val="16"/>
                <w:lang w:val="es-ES_tradnl"/>
              </w:rPr>
              <w:t>ANDI) sobre innovación compartida para luchar contra las enfermedades tropicales;  Foro Mundial de Investigación para la Salud.</w:t>
            </w:r>
          </w:p>
          <w:p w:rsidR="00B070BF" w:rsidRPr="009577DE" w:rsidRDefault="00B070BF" w:rsidP="00C33D4A">
            <w:pPr>
              <w:widowControl w:val="0"/>
              <w:autoSpaceDE w:val="0"/>
              <w:autoSpaceDN w:val="0"/>
              <w:adjustRightInd w:val="0"/>
              <w:spacing w:before="120" w:after="120"/>
              <w:rPr>
                <w:sz w:val="16"/>
                <w:szCs w:val="16"/>
                <w:lang w:val="es-ES_tradnl"/>
              </w:rPr>
            </w:pPr>
          </w:p>
        </w:tc>
        <w:tc>
          <w:tcPr>
            <w:tcW w:w="1260" w:type="dxa"/>
            <w:gridSpan w:val="3"/>
            <w:tcBorders>
              <w:top w:val="nil"/>
              <w:bottom w:val="nil"/>
            </w:tcBorders>
          </w:tcPr>
          <w:p w:rsidR="00B070BF" w:rsidRPr="009577DE" w:rsidRDefault="00B070BF" w:rsidP="00C33D4A">
            <w:pPr>
              <w:widowControl w:val="0"/>
              <w:autoSpaceDE w:val="0"/>
              <w:autoSpaceDN w:val="0"/>
              <w:adjustRightInd w:val="0"/>
              <w:spacing w:before="120" w:after="120"/>
              <w:rPr>
                <w:sz w:val="16"/>
                <w:szCs w:val="16"/>
                <w:lang w:val="es-ES_tradnl"/>
              </w:rPr>
            </w:pPr>
            <w:r w:rsidRPr="009577DE">
              <w:rPr>
                <w:sz w:val="16"/>
                <w:szCs w:val="16"/>
                <w:lang w:val="es-ES_tradnl"/>
              </w:rPr>
              <w:t xml:space="preserve">23 de abril a 2 de mayo de 2012 </w:t>
            </w:r>
          </w:p>
          <w:p w:rsidR="00B070BF" w:rsidRPr="009577DE" w:rsidRDefault="00B070BF" w:rsidP="00C33D4A">
            <w:pPr>
              <w:widowControl w:val="0"/>
              <w:autoSpaceDE w:val="0"/>
              <w:autoSpaceDN w:val="0"/>
              <w:adjustRightInd w:val="0"/>
              <w:spacing w:before="120" w:after="120"/>
              <w:rPr>
                <w:sz w:val="16"/>
                <w:szCs w:val="16"/>
                <w:lang w:val="es-ES_tradnl"/>
              </w:rPr>
            </w:pPr>
          </w:p>
        </w:tc>
        <w:tc>
          <w:tcPr>
            <w:tcW w:w="2469" w:type="dxa"/>
            <w:gridSpan w:val="2"/>
            <w:tcBorders>
              <w:top w:val="nil"/>
              <w:bottom w:val="nil"/>
            </w:tcBorders>
          </w:tcPr>
          <w:p w:rsidR="00B070BF" w:rsidRPr="009577DE" w:rsidRDefault="00B070BF" w:rsidP="00C33D4A">
            <w:pPr>
              <w:widowControl w:val="0"/>
              <w:autoSpaceDE w:val="0"/>
              <w:autoSpaceDN w:val="0"/>
              <w:adjustRightInd w:val="0"/>
              <w:spacing w:before="120" w:after="120"/>
              <w:rPr>
                <w:sz w:val="16"/>
                <w:szCs w:val="16"/>
                <w:lang w:val="es-ES_tradnl"/>
              </w:rPr>
            </w:pPr>
            <w:r w:rsidRPr="009577DE">
              <w:rPr>
                <w:snapToGrid w:val="0"/>
                <w:sz w:val="16"/>
                <w:szCs w:val="16"/>
                <w:lang w:val="es-ES_tradnl"/>
              </w:rPr>
              <w:t>Sudáfrica</w:t>
            </w:r>
          </w:p>
          <w:p w:rsidR="00B070BF" w:rsidRPr="009577DE" w:rsidRDefault="00B070BF" w:rsidP="00C33D4A">
            <w:pPr>
              <w:widowControl w:val="0"/>
              <w:autoSpaceDE w:val="0"/>
              <w:autoSpaceDN w:val="0"/>
              <w:adjustRightInd w:val="0"/>
              <w:spacing w:before="120" w:after="120"/>
              <w:rPr>
                <w:sz w:val="16"/>
                <w:szCs w:val="16"/>
                <w:lang w:val="es-ES_tradnl"/>
              </w:rPr>
            </w:pPr>
            <w:r w:rsidRPr="009577DE">
              <w:rPr>
                <w:sz w:val="16"/>
                <w:szCs w:val="16"/>
                <w:lang w:val="es-ES_tradnl"/>
              </w:rPr>
              <w:t>10 participantes de 8 países africanos</w:t>
            </w:r>
          </w:p>
          <w:p w:rsidR="00B070BF" w:rsidRPr="009577DE" w:rsidRDefault="00B070BF" w:rsidP="00C33D4A">
            <w:pPr>
              <w:widowControl w:val="0"/>
              <w:autoSpaceDE w:val="0"/>
              <w:autoSpaceDN w:val="0"/>
              <w:adjustRightInd w:val="0"/>
              <w:spacing w:before="120" w:after="120"/>
              <w:rPr>
                <w:sz w:val="16"/>
                <w:szCs w:val="16"/>
                <w:lang w:val="es-ES_tradnl"/>
              </w:rPr>
            </w:pPr>
          </w:p>
        </w:tc>
        <w:tc>
          <w:tcPr>
            <w:tcW w:w="3543" w:type="dxa"/>
            <w:gridSpan w:val="2"/>
            <w:tcBorders>
              <w:top w:val="nil"/>
              <w:bottom w:val="nil"/>
            </w:tcBorders>
          </w:tcPr>
          <w:p w:rsidR="00B070BF" w:rsidRPr="009577DE" w:rsidRDefault="00B070BF" w:rsidP="00C33D4A">
            <w:pPr>
              <w:widowControl w:val="0"/>
              <w:autoSpaceDE w:val="0"/>
              <w:autoSpaceDN w:val="0"/>
              <w:adjustRightInd w:val="0"/>
              <w:spacing w:before="120" w:after="120"/>
              <w:rPr>
                <w:sz w:val="16"/>
                <w:szCs w:val="16"/>
                <w:lang w:val="es-ES_tradnl"/>
              </w:rPr>
            </w:pPr>
            <w:r w:rsidRPr="009577DE">
              <w:rPr>
                <w:sz w:val="16"/>
                <w:szCs w:val="16"/>
                <w:lang w:val="es-ES_tradnl"/>
              </w:rPr>
              <w:t xml:space="preserve">El objetivo del seminario fue:  i) fomentar la sensibilización acerca del proyecto </w:t>
            </w:r>
            <w:r w:rsidRPr="009577DE">
              <w:rPr>
                <w:i/>
                <w:sz w:val="16"/>
                <w:szCs w:val="16"/>
                <w:lang w:val="es-ES_tradnl"/>
              </w:rPr>
              <w:t xml:space="preserve">WIPO </w:t>
            </w:r>
            <w:proofErr w:type="spellStart"/>
            <w:r w:rsidRPr="009577DE">
              <w:rPr>
                <w:i/>
                <w:sz w:val="16"/>
                <w:szCs w:val="16"/>
                <w:lang w:val="es-ES_tradnl"/>
              </w:rPr>
              <w:t>Re:Search</w:t>
            </w:r>
            <w:proofErr w:type="spellEnd"/>
            <w:r w:rsidRPr="009577DE">
              <w:rPr>
                <w:sz w:val="16"/>
                <w:szCs w:val="16"/>
                <w:lang w:val="es-ES_tradnl"/>
              </w:rPr>
              <w:t xml:space="preserve"> entre la comunidad científica y de investigación de África, en particular los centros de excelencia de la </w:t>
            </w:r>
            <w:proofErr w:type="spellStart"/>
            <w:r w:rsidRPr="009577DE">
              <w:rPr>
                <w:i/>
                <w:sz w:val="16"/>
                <w:szCs w:val="16"/>
                <w:lang w:val="es-ES_tradnl"/>
              </w:rPr>
              <w:t>African</w:t>
            </w:r>
            <w:proofErr w:type="spellEnd"/>
            <w:r w:rsidRPr="009577DE">
              <w:rPr>
                <w:i/>
                <w:sz w:val="16"/>
                <w:szCs w:val="16"/>
                <w:lang w:val="es-ES_tradnl"/>
              </w:rPr>
              <w:t xml:space="preserve"> Network </w:t>
            </w:r>
            <w:proofErr w:type="spellStart"/>
            <w:r w:rsidRPr="009577DE">
              <w:rPr>
                <w:i/>
                <w:sz w:val="16"/>
                <w:szCs w:val="16"/>
                <w:lang w:val="es-ES_tradnl"/>
              </w:rPr>
              <w:t>for</w:t>
            </w:r>
            <w:proofErr w:type="spellEnd"/>
            <w:r w:rsidRPr="009577DE">
              <w:rPr>
                <w:i/>
                <w:sz w:val="16"/>
                <w:szCs w:val="16"/>
                <w:lang w:val="es-ES_tradnl"/>
              </w:rPr>
              <w:t xml:space="preserve"> </w:t>
            </w:r>
            <w:proofErr w:type="spellStart"/>
            <w:r w:rsidRPr="009577DE">
              <w:rPr>
                <w:i/>
                <w:sz w:val="16"/>
                <w:szCs w:val="16"/>
                <w:lang w:val="es-ES_tradnl"/>
              </w:rPr>
              <w:t>Drug</w:t>
            </w:r>
            <w:proofErr w:type="spellEnd"/>
            <w:r w:rsidRPr="009577DE">
              <w:rPr>
                <w:i/>
                <w:sz w:val="16"/>
                <w:szCs w:val="16"/>
                <w:lang w:val="es-ES_tradnl"/>
              </w:rPr>
              <w:t xml:space="preserve"> </w:t>
            </w:r>
            <w:proofErr w:type="spellStart"/>
            <w:r w:rsidRPr="009577DE">
              <w:rPr>
                <w:i/>
                <w:sz w:val="16"/>
                <w:szCs w:val="16"/>
                <w:lang w:val="es-ES_tradnl"/>
              </w:rPr>
              <w:t>Innovation</w:t>
            </w:r>
            <w:proofErr w:type="spellEnd"/>
            <w:r w:rsidRPr="009577DE">
              <w:rPr>
                <w:sz w:val="16"/>
                <w:szCs w:val="16"/>
                <w:lang w:val="es-ES_tradnl"/>
              </w:rPr>
              <w:t xml:space="preserve"> (ANDI) y crear una fundación para establecer asociaciones concretas destinadas a la investigación y el desarrollo de medicamentos;  ii) incorporar los centros de excelencia de la ANDI como miembros del programa </w:t>
            </w:r>
            <w:proofErr w:type="spellStart"/>
            <w:r w:rsidRPr="009577DE">
              <w:rPr>
                <w:i/>
                <w:sz w:val="16"/>
                <w:szCs w:val="16"/>
                <w:lang w:val="es-ES_tradnl"/>
              </w:rPr>
              <w:t>Re:Search</w:t>
            </w:r>
            <w:proofErr w:type="spellEnd"/>
            <w:r w:rsidRPr="009577DE">
              <w:rPr>
                <w:sz w:val="16"/>
                <w:szCs w:val="16"/>
                <w:lang w:val="es-ES_tradnl"/>
              </w:rPr>
              <w:t xml:space="preserve">, especialmente como usuarios potenciales;  y iii) crear la fundación para establecer asociaciones concretas entre los proveedores y los centros de excelencia de ANDI y otras instituciones de investigación en salud/ciencia de África, según las condiciones de </w:t>
            </w:r>
            <w:r w:rsidRPr="009577DE">
              <w:rPr>
                <w:i/>
                <w:sz w:val="16"/>
                <w:szCs w:val="16"/>
                <w:lang w:val="es-ES_tradnl"/>
              </w:rPr>
              <w:t xml:space="preserve">WIPO </w:t>
            </w:r>
            <w:proofErr w:type="spellStart"/>
            <w:r w:rsidRPr="009577DE">
              <w:rPr>
                <w:i/>
                <w:sz w:val="16"/>
                <w:szCs w:val="16"/>
                <w:lang w:val="es-ES_tradnl"/>
              </w:rPr>
              <w:t>Re:Search</w:t>
            </w:r>
            <w:proofErr w:type="spellEnd"/>
            <w:r w:rsidRPr="009577DE">
              <w:rPr>
                <w:sz w:val="16"/>
                <w:szCs w:val="16"/>
                <w:lang w:val="es-ES_tradnl"/>
              </w:rPr>
              <w:t>.</w:t>
            </w:r>
          </w:p>
        </w:tc>
      </w:tr>
      <w:tr w:rsidR="00B070BF" w:rsidRPr="009577DE" w:rsidTr="00C33D4A">
        <w:trPr>
          <w:trHeight w:val="1681"/>
        </w:trPr>
        <w:tc>
          <w:tcPr>
            <w:tcW w:w="1800" w:type="dxa"/>
            <w:tcBorders>
              <w:top w:val="nil"/>
              <w:bottom w:val="nil"/>
            </w:tcBorders>
          </w:tcPr>
          <w:p w:rsidR="00B070BF" w:rsidRPr="009577DE" w:rsidRDefault="00B070BF" w:rsidP="00C33D4A">
            <w:pPr>
              <w:widowControl w:val="0"/>
              <w:autoSpaceDE w:val="0"/>
              <w:autoSpaceDN w:val="0"/>
              <w:adjustRightInd w:val="0"/>
              <w:spacing w:before="120" w:after="120"/>
              <w:rPr>
                <w:sz w:val="16"/>
                <w:szCs w:val="16"/>
                <w:lang w:val="es-ES_tradnl"/>
              </w:rPr>
            </w:pPr>
            <w:r w:rsidRPr="009577DE">
              <w:rPr>
                <w:sz w:val="16"/>
                <w:szCs w:val="16"/>
                <w:lang w:val="es-ES_tradnl"/>
              </w:rPr>
              <w:t>Programa de formación en normas de clasificación para los examinadores de marcas.</w:t>
            </w:r>
          </w:p>
          <w:p w:rsidR="00B070BF" w:rsidRPr="009577DE" w:rsidRDefault="00B070BF" w:rsidP="00C33D4A">
            <w:pPr>
              <w:widowControl w:val="0"/>
              <w:autoSpaceDE w:val="0"/>
              <w:autoSpaceDN w:val="0"/>
              <w:adjustRightInd w:val="0"/>
              <w:spacing w:before="120" w:after="120"/>
              <w:rPr>
                <w:sz w:val="16"/>
                <w:szCs w:val="16"/>
                <w:lang w:val="es-ES_tradnl"/>
              </w:rPr>
            </w:pPr>
          </w:p>
        </w:tc>
        <w:tc>
          <w:tcPr>
            <w:tcW w:w="1260" w:type="dxa"/>
            <w:gridSpan w:val="3"/>
            <w:tcBorders>
              <w:top w:val="nil"/>
              <w:bottom w:val="nil"/>
            </w:tcBorders>
          </w:tcPr>
          <w:p w:rsidR="00B070BF" w:rsidRPr="009577DE" w:rsidRDefault="00B070BF" w:rsidP="00C33D4A">
            <w:pPr>
              <w:widowControl w:val="0"/>
              <w:autoSpaceDE w:val="0"/>
              <w:autoSpaceDN w:val="0"/>
              <w:adjustRightInd w:val="0"/>
              <w:spacing w:before="120" w:after="120"/>
              <w:rPr>
                <w:sz w:val="16"/>
                <w:szCs w:val="16"/>
                <w:lang w:val="es-ES_tradnl"/>
              </w:rPr>
            </w:pPr>
            <w:r w:rsidRPr="009577DE">
              <w:rPr>
                <w:sz w:val="16"/>
                <w:szCs w:val="16"/>
                <w:lang w:val="es-ES_tradnl"/>
              </w:rPr>
              <w:t>10 a 12 de julio de 2012</w:t>
            </w:r>
          </w:p>
        </w:tc>
        <w:tc>
          <w:tcPr>
            <w:tcW w:w="2469" w:type="dxa"/>
            <w:gridSpan w:val="2"/>
            <w:tcBorders>
              <w:top w:val="nil"/>
              <w:bottom w:val="nil"/>
            </w:tcBorders>
          </w:tcPr>
          <w:p w:rsidR="00B070BF" w:rsidRPr="009577DE" w:rsidRDefault="00B070BF" w:rsidP="00C33D4A">
            <w:pPr>
              <w:widowControl w:val="0"/>
              <w:autoSpaceDE w:val="0"/>
              <w:autoSpaceDN w:val="0"/>
              <w:adjustRightInd w:val="0"/>
              <w:spacing w:before="120" w:after="120"/>
              <w:rPr>
                <w:sz w:val="16"/>
                <w:szCs w:val="16"/>
                <w:lang w:val="es-ES_tradnl"/>
              </w:rPr>
            </w:pPr>
            <w:proofErr w:type="spellStart"/>
            <w:r w:rsidRPr="009577DE">
              <w:rPr>
                <w:sz w:val="16"/>
                <w:szCs w:val="16"/>
                <w:lang w:val="es-ES_tradnl"/>
              </w:rPr>
              <w:t>Kenya</w:t>
            </w:r>
            <w:proofErr w:type="spellEnd"/>
          </w:p>
          <w:p w:rsidR="00B070BF" w:rsidRPr="009577DE" w:rsidRDefault="00B070BF" w:rsidP="00C33D4A">
            <w:pPr>
              <w:widowControl w:val="0"/>
              <w:autoSpaceDE w:val="0"/>
              <w:autoSpaceDN w:val="0"/>
              <w:adjustRightInd w:val="0"/>
              <w:spacing w:before="120" w:after="120"/>
              <w:rPr>
                <w:sz w:val="16"/>
                <w:szCs w:val="16"/>
                <w:lang w:val="es-ES_tradnl"/>
              </w:rPr>
            </w:pPr>
            <w:r w:rsidRPr="009577DE">
              <w:rPr>
                <w:sz w:val="16"/>
                <w:szCs w:val="16"/>
                <w:lang w:val="es-ES_tradnl"/>
              </w:rPr>
              <w:t>16 participantes de 14 países</w:t>
            </w:r>
          </w:p>
        </w:tc>
        <w:tc>
          <w:tcPr>
            <w:tcW w:w="3543" w:type="dxa"/>
            <w:gridSpan w:val="2"/>
            <w:tcBorders>
              <w:top w:val="nil"/>
              <w:bottom w:val="nil"/>
            </w:tcBorders>
          </w:tcPr>
          <w:p w:rsidR="00B070BF" w:rsidRPr="009577DE" w:rsidRDefault="00B070BF" w:rsidP="00C33D4A">
            <w:pPr>
              <w:widowControl w:val="0"/>
              <w:autoSpaceDE w:val="0"/>
              <w:autoSpaceDN w:val="0"/>
              <w:adjustRightInd w:val="0"/>
              <w:spacing w:before="120" w:after="120"/>
              <w:rPr>
                <w:sz w:val="16"/>
                <w:szCs w:val="16"/>
                <w:lang w:val="es-ES_tradnl"/>
              </w:rPr>
            </w:pPr>
            <w:r w:rsidRPr="009577DE">
              <w:rPr>
                <w:sz w:val="16"/>
                <w:szCs w:val="16"/>
                <w:lang w:val="es-ES_tradnl"/>
              </w:rPr>
              <w:t>El propósito de la formación fue i) desarrollar y fortalecer las aptitudes de los examinadores para mejorar la eficiencia en la tramitación de las solicitudes de registro de marcas;  ii) mejorar las capacidades de las oficinas de propiedad industrial para satisfacer la demanda mundial creciente de solicitudes de registro de marcas;  y iii) dar a los examinadores de marcas de las oficinas participantes la oportunidad de intercambiar información y experiencias sobre las prácticas óptimas.</w:t>
            </w:r>
          </w:p>
        </w:tc>
      </w:tr>
      <w:tr w:rsidR="00B070BF" w:rsidRPr="009577DE" w:rsidTr="00C33D4A">
        <w:tc>
          <w:tcPr>
            <w:tcW w:w="1800" w:type="dxa"/>
            <w:tcBorders>
              <w:top w:val="nil"/>
              <w:bottom w:val="nil"/>
            </w:tcBorders>
          </w:tcPr>
          <w:p w:rsidR="00B070BF" w:rsidRPr="009577DE" w:rsidRDefault="00B070BF" w:rsidP="00C33D4A">
            <w:pPr>
              <w:keepNext/>
              <w:widowControl w:val="0"/>
              <w:autoSpaceDE w:val="0"/>
              <w:autoSpaceDN w:val="0"/>
              <w:adjustRightInd w:val="0"/>
              <w:spacing w:before="120" w:after="120"/>
              <w:rPr>
                <w:sz w:val="16"/>
                <w:szCs w:val="16"/>
                <w:lang w:val="es-ES_tradnl"/>
              </w:rPr>
            </w:pPr>
            <w:r w:rsidRPr="009577DE">
              <w:rPr>
                <w:sz w:val="16"/>
                <w:szCs w:val="16"/>
                <w:lang w:val="es-ES_tradnl"/>
              </w:rPr>
              <w:t>Taller subregional sobre las consecuencias sociales y económicas de la falsificación y otras infracciones de los derechos de P.I. para la Comunidad Económica de los Estados de África Occidental (CDAO).</w:t>
            </w:r>
          </w:p>
        </w:tc>
        <w:tc>
          <w:tcPr>
            <w:tcW w:w="1260" w:type="dxa"/>
            <w:gridSpan w:val="3"/>
            <w:tcBorders>
              <w:top w:val="nil"/>
              <w:bottom w:val="nil"/>
            </w:tcBorders>
          </w:tcPr>
          <w:p w:rsidR="00B070BF" w:rsidRPr="009577DE" w:rsidRDefault="00B070BF" w:rsidP="00C33D4A">
            <w:pPr>
              <w:keepNext/>
              <w:widowControl w:val="0"/>
              <w:autoSpaceDE w:val="0"/>
              <w:autoSpaceDN w:val="0"/>
              <w:adjustRightInd w:val="0"/>
              <w:spacing w:before="120" w:after="120"/>
              <w:rPr>
                <w:sz w:val="16"/>
                <w:szCs w:val="16"/>
                <w:lang w:val="es-ES_tradnl"/>
              </w:rPr>
            </w:pPr>
            <w:r w:rsidRPr="009577DE">
              <w:rPr>
                <w:sz w:val="16"/>
                <w:szCs w:val="16"/>
                <w:lang w:val="es-ES_tradnl"/>
              </w:rPr>
              <w:t>16 a 18 de octubre de 2012</w:t>
            </w:r>
          </w:p>
        </w:tc>
        <w:tc>
          <w:tcPr>
            <w:tcW w:w="2469" w:type="dxa"/>
            <w:gridSpan w:val="2"/>
            <w:tcBorders>
              <w:top w:val="nil"/>
              <w:bottom w:val="nil"/>
            </w:tcBorders>
          </w:tcPr>
          <w:p w:rsidR="00B070BF" w:rsidRPr="009577DE" w:rsidRDefault="00B070BF" w:rsidP="00C33D4A">
            <w:pPr>
              <w:keepNext/>
              <w:widowControl w:val="0"/>
              <w:autoSpaceDE w:val="0"/>
              <w:autoSpaceDN w:val="0"/>
              <w:adjustRightInd w:val="0"/>
              <w:spacing w:before="120" w:after="120"/>
              <w:rPr>
                <w:sz w:val="16"/>
                <w:szCs w:val="16"/>
                <w:lang w:val="es-ES_tradnl"/>
              </w:rPr>
            </w:pPr>
            <w:r>
              <w:rPr>
                <w:sz w:val="16"/>
                <w:szCs w:val="16"/>
                <w:lang w:val="es-ES_tradnl"/>
              </w:rPr>
              <w:t>Dakar, Senegal</w:t>
            </w:r>
          </w:p>
          <w:p w:rsidR="00B070BF" w:rsidRPr="009577DE" w:rsidRDefault="00B070BF" w:rsidP="00C33D4A">
            <w:pPr>
              <w:keepNext/>
              <w:widowControl w:val="0"/>
              <w:autoSpaceDE w:val="0"/>
              <w:autoSpaceDN w:val="0"/>
              <w:adjustRightInd w:val="0"/>
              <w:spacing w:before="120" w:after="120"/>
              <w:rPr>
                <w:sz w:val="16"/>
                <w:szCs w:val="16"/>
                <w:lang w:val="es-ES_tradnl"/>
              </w:rPr>
            </w:pPr>
            <w:r w:rsidRPr="009577DE">
              <w:rPr>
                <w:sz w:val="16"/>
                <w:szCs w:val="16"/>
                <w:lang w:val="es-ES_tradnl"/>
              </w:rPr>
              <w:t>42 participantes de 13 países africanos</w:t>
            </w:r>
          </w:p>
          <w:p w:rsidR="00B070BF" w:rsidRPr="009577DE" w:rsidRDefault="00B070BF" w:rsidP="00C33D4A">
            <w:pPr>
              <w:keepNext/>
              <w:widowControl w:val="0"/>
              <w:autoSpaceDE w:val="0"/>
              <w:autoSpaceDN w:val="0"/>
              <w:adjustRightInd w:val="0"/>
              <w:spacing w:before="120" w:after="120"/>
              <w:rPr>
                <w:sz w:val="16"/>
                <w:szCs w:val="16"/>
                <w:lang w:val="es-ES_tradnl"/>
              </w:rPr>
            </w:pPr>
          </w:p>
        </w:tc>
        <w:tc>
          <w:tcPr>
            <w:tcW w:w="3543" w:type="dxa"/>
            <w:gridSpan w:val="2"/>
            <w:tcBorders>
              <w:top w:val="nil"/>
              <w:bottom w:val="nil"/>
            </w:tcBorders>
          </w:tcPr>
          <w:p w:rsidR="00B070BF" w:rsidRPr="009577DE" w:rsidRDefault="00B070BF" w:rsidP="00C33D4A">
            <w:pPr>
              <w:keepNext/>
              <w:widowControl w:val="0"/>
              <w:autoSpaceDE w:val="0"/>
              <w:autoSpaceDN w:val="0"/>
              <w:adjustRightInd w:val="0"/>
              <w:spacing w:before="120" w:after="120"/>
              <w:rPr>
                <w:sz w:val="16"/>
                <w:szCs w:val="16"/>
                <w:lang w:val="es-ES_tradnl"/>
              </w:rPr>
            </w:pPr>
            <w:r w:rsidRPr="009577DE">
              <w:rPr>
                <w:sz w:val="16"/>
                <w:szCs w:val="16"/>
                <w:lang w:val="es-ES_tradnl"/>
              </w:rPr>
              <w:t>Los objetivos del taller fueron los siguientes:  i) mejorar la comprensión de la P.I. para los funcionarios judiciales, de aduanas y de otras instituciones de observancia, así como los fiscales;  y ii) presentar procedimientos y enfoques, entre otros, los enfoques prácticos del sector, para crear y fortalecer mecanismos eficaces destinados a cultivar el respeto de los derechos de P.I.;  iii) sensibilizar acerca de las consecuencias económicas y sociales de la piratería y la falsificación, en particular en lo que respecta a la salud, la alimentación, los sectores del transporte y la seguridad, y su incidencia en el bienestar general de la sociedad.</w:t>
            </w:r>
          </w:p>
        </w:tc>
      </w:tr>
      <w:tr w:rsidR="00B070BF" w:rsidRPr="009577DE" w:rsidTr="00C33D4A">
        <w:tc>
          <w:tcPr>
            <w:tcW w:w="1800" w:type="dxa"/>
            <w:tcBorders>
              <w:top w:val="nil"/>
              <w:bottom w:val="single" w:sz="4" w:space="0" w:color="000000"/>
            </w:tcBorders>
          </w:tcPr>
          <w:p w:rsidR="00B070BF" w:rsidRPr="009577DE" w:rsidRDefault="00B070BF" w:rsidP="00C33D4A">
            <w:pPr>
              <w:widowControl w:val="0"/>
              <w:autoSpaceDE w:val="0"/>
              <w:autoSpaceDN w:val="0"/>
              <w:adjustRightInd w:val="0"/>
              <w:spacing w:before="120" w:after="120"/>
              <w:rPr>
                <w:sz w:val="16"/>
                <w:szCs w:val="16"/>
                <w:lang w:val="es-ES_tradnl"/>
              </w:rPr>
            </w:pPr>
            <w:r w:rsidRPr="009577DE">
              <w:rPr>
                <w:sz w:val="16"/>
                <w:szCs w:val="16"/>
                <w:lang w:val="es-ES_tradnl"/>
              </w:rPr>
              <w:t xml:space="preserve">Asociación entre la OMPI/ARIPO y la </w:t>
            </w:r>
            <w:proofErr w:type="spellStart"/>
            <w:r w:rsidRPr="009577DE">
              <w:rPr>
                <w:i/>
                <w:sz w:val="16"/>
                <w:szCs w:val="16"/>
                <w:lang w:val="es-ES_tradnl"/>
              </w:rPr>
              <w:t>Africa</w:t>
            </w:r>
            <w:proofErr w:type="spellEnd"/>
            <w:r w:rsidRPr="009577DE">
              <w:rPr>
                <w:i/>
                <w:sz w:val="16"/>
                <w:szCs w:val="16"/>
                <w:lang w:val="es-ES_tradnl"/>
              </w:rPr>
              <w:t xml:space="preserve"> </w:t>
            </w:r>
            <w:proofErr w:type="spellStart"/>
            <w:r w:rsidRPr="009577DE">
              <w:rPr>
                <w:i/>
                <w:sz w:val="16"/>
                <w:szCs w:val="16"/>
                <w:lang w:val="es-ES_tradnl"/>
              </w:rPr>
              <w:t>University</w:t>
            </w:r>
            <w:proofErr w:type="spellEnd"/>
            <w:r w:rsidRPr="009577DE">
              <w:rPr>
                <w:sz w:val="16"/>
                <w:szCs w:val="16"/>
                <w:lang w:val="es-ES_tradnl"/>
              </w:rPr>
              <w:t>, en Mutare (</w:t>
            </w:r>
            <w:proofErr w:type="spellStart"/>
            <w:r w:rsidRPr="009577DE">
              <w:rPr>
                <w:sz w:val="16"/>
                <w:szCs w:val="16"/>
                <w:lang w:val="es-ES_tradnl"/>
              </w:rPr>
              <w:t>Zimbabwe</w:t>
            </w:r>
            <w:proofErr w:type="spellEnd"/>
            <w:r w:rsidRPr="009577DE">
              <w:rPr>
                <w:sz w:val="16"/>
                <w:szCs w:val="16"/>
                <w:lang w:val="es-ES_tradnl"/>
              </w:rPr>
              <w:t>).</w:t>
            </w:r>
          </w:p>
          <w:p w:rsidR="00B070BF" w:rsidRPr="009577DE" w:rsidRDefault="00B070BF" w:rsidP="00C33D4A">
            <w:pPr>
              <w:widowControl w:val="0"/>
              <w:autoSpaceDE w:val="0"/>
              <w:autoSpaceDN w:val="0"/>
              <w:adjustRightInd w:val="0"/>
              <w:spacing w:before="120" w:after="120"/>
              <w:rPr>
                <w:sz w:val="16"/>
                <w:szCs w:val="16"/>
                <w:lang w:val="es-ES_tradnl"/>
              </w:rPr>
            </w:pPr>
          </w:p>
        </w:tc>
        <w:tc>
          <w:tcPr>
            <w:tcW w:w="1260" w:type="dxa"/>
            <w:gridSpan w:val="3"/>
            <w:tcBorders>
              <w:top w:val="nil"/>
              <w:bottom w:val="single" w:sz="4" w:space="0" w:color="000000"/>
            </w:tcBorders>
          </w:tcPr>
          <w:p w:rsidR="00B070BF" w:rsidRPr="009577DE" w:rsidRDefault="00B070BF" w:rsidP="00C33D4A">
            <w:pPr>
              <w:widowControl w:val="0"/>
              <w:autoSpaceDE w:val="0"/>
              <w:autoSpaceDN w:val="0"/>
              <w:adjustRightInd w:val="0"/>
              <w:spacing w:before="120" w:after="120"/>
              <w:rPr>
                <w:sz w:val="16"/>
                <w:szCs w:val="16"/>
                <w:lang w:val="es-ES_tradnl"/>
              </w:rPr>
            </w:pPr>
            <w:r w:rsidRPr="009577DE">
              <w:rPr>
                <w:sz w:val="16"/>
                <w:szCs w:val="16"/>
                <w:lang w:val="es-ES_tradnl"/>
              </w:rPr>
              <w:t xml:space="preserve">De mayo de 2011 a junio de 2012 </w:t>
            </w:r>
          </w:p>
        </w:tc>
        <w:tc>
          <w:tcPr>
            <w:tcW w:w="2469" w:type="dxa"/>
            <w:gridSpan w:val="2"/>
            <w:tcBorders>
              <w:top w:val="nil"/>
              <w:bottom w:val="single" w:sz="4" w:space="0" w:color="000000"/>
            </w:tcBorders>
          </w:tcPr>
          <w:p w:rsidR="00B070BF" w:rsidRPr="009577DE" w:rsidRDefault="00B070BF" w:rsidP="00C33D4A">
            <w:pPr>
              <w:widowControl w:val="0"/>
              <w:autoSpaceDE w:val="0"/>
              <w:autoSpaceDN w:val="0"/>
              <w:adjustRightInd w:val="0"/>
              <w:spacing w:before="120" w:after="120"/>
              <w:rPr>
                <w:sz w:val="16"/>
                <w:szCs w:val="16"/>
                <w:lang w:val="es-ES_tradnl"/>
              </w:rPr>
            </w:pPr>
            <w:proofErr w:type="spellStart"/>
            <w:r w:rsidRPr="009577DE">
              <w:rPr>
                <w:sz w:val="16"/>
                <w:szCs w:val="16"/>
                <w:lang w:val="es-ES_tradnl"/>
              </w:rPr>
              <w:t>Zimbabwe</w:t>
            </w:r>
            <w:proofErr w:type="spellEnd"/>
            <w:r w:rsidRPr="009577DE">
              <w:rPr>
                <w:sz w:val="16"/>
                <w:szCs w:val="16"/>
                <w:lang w:val="es-ES_tradnl"/>
              </w:rPr>
              <w:t xml:space="preserve"> </w:t>
            </w:r>
          </w:p>
          <w:p w:rsidR="00B070BF" w:rsidRPr="009577DE" w:rsidRDefault="00B070BF" w:rsidP="00C33D4A">
            <w:pPr>
              <w:widowControl w:val="0"/>
              <w:autoSpaceDE w:val="0"/>
              <w:autoSpaceDN w:val="0"/>
              <w:adjustRightInd w:val="0"/>
              <w:spacing w:before="120" w:after="120"/>
              <w:rPr>
                <w:sz w:val="16"/>
                <w:szCs w:val="16"/>
                <w:lang w:val="es-ES_tradnl"/>
              </w:rPr>
            </w:pPr>
            <w:r w:rsidRPr="009577DE">
              <w:rPr>
                <w:sz w:val="16"/>
                <w:szCs w:val="16"/>
                <w:lang w:val="es-ES_tradnl"/>
              </w:rPr>
              <w:t>Se concedieron 5 becas a estudiantes de 5 países africanos</w:t>
            </w:r>
          </w:p>
        </w:tc>
        <w:tc>
          <w:tcPr>
            <w:tcW w:w="3543" w:type="dxa"/>
            <w:gridSpan w:val="2"/>
            <w:tcBorders>
              <w:top w:val="nil"/>
              <w:bottom w:val="single" w:sz="4" w:space="0" w:color="000000"/>
            </w:tcBorders>
          </w:tcPr>
          <w:p w:rsidR="00B070BF" w:rsidRPr="009577DE" w:rsidRDefault="00B070BF" w:rsidP="00C33D4A">
            <w:pPr>
              <w:widowControl w:val="0"/>
              <w:autoSpaceDE w:val="0"/>
              <w:autoSpaceDN w:val="0"/>
              <w:adjustRightInd w:val="0"/>
              <w:spacing w:before="120" w:after="120"/>
              <w:rPr>
                <w:sz w:val="16"/>
                <w:szCs w:val="16"/>
                <w:lang w:val="es-ES_tradnl"/>
              </w:rPr>
            </w:pPr>
            <w:r w:rsidRPr="009577DE">
              <w:rPr>
                <w:sz w:val="16"/>
                <w:szCs w:val="16"/>
                <w:lang w:val="es-ES_tradnl"/>
              </w:rPr>
              <w:t>Facilitar una formación sobre P.I. general y especializada a los funcionarios públicos y profesionales de la P.I., en cooperación con la ARIPO y otros institutos regionales de enseñanza, y ofrecer oportunidades para el desarrollo de los recursos humanos y el fortalecimiento de las capacidades mediante la educación en P.I. y la formación de las personas encargadas de la docencia y la investigación en materia de P.I. en las universidades y otras instituciones.</w:t>
            </w:r>
          </w:p>
        </w:tc>
      </w:tr>
      <w:tr w:rsidR="00B070BF" w:rsidRPr="009577DE" w:rsidTr="00C33D4A">
        <w:tc>
          <w:tcPr>
            <w:tcW w:w="1800" w:type="dxa"/>
            <w:tcBorders>
              <w:top w:val="single" w:sz="4" w:space="0" w:color="000000"/>
              <w:bottom w:val="nil"/>
            </w:tcBorders>
          </w:tcPr>
          <w:p w:rsidR="00B070BF" w:rsidRPr="009577DE" w:rsidRDefault="00B070BF" w:rsidP="00C33D4A">
            <w:pPr>
              <w:widowControl w:val="0"/>
              <w:autoSpaceDE w:val="0"/>
              <w:autoSpaceDN w:val="0"/>
              <w:adjustRightInd w:val="0"/>
              <w:spacing w:before="120" w:after="120"/>
              <w:rPr>
                <w:sz w:val="16"/>
                <w:szCs w:val="16"/>
                <w:lang w:val="es-ES_tradnl"/>
              </w:rPr>
            </w:pPr>
            <w:r w:rsidRPr="009577DE">
              <w:rPr>
                <w:sz w:val="16"/>
                <w:szCs w:val="16"/>
                <w:lang w:val="es-ES_tradnl"/>
              </w:rPr>
              <w:t xml:space="preserve">Asociación entre la </w:t>
            </w:r>
            <w:r w:rsidRPr="009577DE">
              <w:rPr>
                <w:sz w:val="16"/>
                <w:szCs w:val="16"/>
                <w:lang w:val="es-ES_tradnl"/>
              </w:rPr>
              <w:lastRenderedPageBreak/>
              <w:t xml:space="preserve">OMPI/la OAPI (Centro de formación Denis </w:t>
            </w:r>
            <w:proofErr w:type="spellStart"/>
            <w:r w:rsidRPr="009577DE">
              <w:rPr>
                <w:sz w:val="16"/>
                <w:szCs w:val="16"/>
                <w:lang w:val="es-ES_tradnl"/>
              </w:rPr>
              <w:t>Ekani</w:t>
            </w:r>
            <w:proofErr w:type="spellEnd"/>
            <w:r w:rsidRPr="009577DE">
              <w:rPr>
                <w:sz w:val="16"/>
                <w:szCs w:val="16"/>
                <w:lang w:val="es-ES_tradnl"/>
              </w:rPr>
              <w:t xml:space="preserve">) y la Universidad de Yaundé II  </w:t>
            </w:r>
          </w:p>
          <w:p w:rsidR="00B070BF" w:rsidRPr="009577DE" w:rsidRDefault="00B070BF" w:rsidP="00C33D4A">
            <w:pPr>
              <w:widowControl w:val="0"/>
              <w:autoSpaceDE w:val="0"/>
              <w:autoSpaceDN w:val="0"/>
              <w:adjustRightInd w:val="0"/>
              <w:spacing w:before="120" w:after="120"/>
              <w:rPr>
                <w:sz w:val="16"/>
                <w:szCs w:val="16"/>
                <w:lang w:val="es-ES_tradnl"/>
              </w:rPr>
            </w:pPr>
          </w:p>
        </w:tc>
        <w:tc>
          <w:tcPr>
            <w:tcW w:w="1260" w:type="dxa"/>
            <w:gridSpan w:val="3"/>
            <w:tcBorders>
              <w:top w:val="single" w:sz="4" w:space="0" w:color="000000"/>
              <w:bottom w:val="nil"/>
            </w:tcBorders>
          </w:tcPr>
          <w:p w:rsidR="00B070BF" w:rsidRPr="009577DE" w:rsidRDefault="00B070BF" w:rsidP="00C33D4A">
            <w:pPr>
              <w:widowControl w:val="0"/>
              <w:autoSpaceDE w:val="0"/>
              <w:autoSpaceDN w:val="0"/>
              <w:adjustRightInd w:val="0"/>
              <w:spacing w:before="120" w:after="120"/>
              <w:rPr>
                <w:sz w:val="16"/>
                <w:szCs w:val="16"/>
                <w:lang w:val="es-ES_tradnl"/>
              </w:rPr>
            </w:pPr>
            <w:r w:rsidRPr="009577DE">
              <w:rPr>
                <w:sz w:val="16"/>
                <w:szCs w:val="16"/>
                <w:lang w:val="es-ES_tradnl"/>
              </w:rPr>
              <w:lastRenderedPageBreak/>
              <w:t xml:space="preserve">Octubre de </w:t>
            </w:r>
            <w:r w:rsidRPr="009577DE">
              <w:rPr>
                <w:sz w:val="16"/>
                <w:szCs w:val="16"/>
                <w:lang w:val="es-ES_tradnl"/>
              </w:rPr>
              <w:lastRenderedPageBreak/>
              <w:t>2011 a mayo de 2012</w:t>
            </w:r>
          </w:p>
          <w:p w:rsidR="00B070BF" w:rsidRPr="009577DE" w:rsidRDefault="00B070BF" w:rsidP="00C33D4A">
            <w:pPr>
              <w:widowControl w:val="0"/>
              <w:autoSpaceDE w:val="0"/>
              <w:autoSpaceDN w:val="0"/>
              <w:adjustRightInd w:val="0"/>
              <w:spacing w:before="120" w:after="120"/>
              <w:rPr>
                <w:sz w:val="16"/>
                <w:szCs w:val="16"/>
                <w:lang w:val="es-ES_tradnl"/>
              </w:rPr>
            </w:pPr>
          </w:p>
        </w:tc>
        <w:tc>
          <w:tcPr>
            <w:tcW w:w="2469" w:type="dxa"/>
            <w:gridSpan w:val="2"/>
            <w:tcBorders>
              <w:top w:val="single" w:sz="4" w:space="0" w:color="000000"/>
              <w:bottom w:val="nil"/>
            </w:tcBorders>
          </w:tcPr>
          <w:p w:rsidR="00B070BF" w:rsidRPr="009577DE" w:rsidRDefault="00B070BF" w:rsidP="00C33D4A">
            <w:pPr>
              <w:widowControl w:val="0"/>
              <w:autoSpaceDE w:val="0"/>
              <w:autoSpaceDN w:val="0"/>
              <w:adjustRightInd w:val="0"/>
              <w:spacing w:before="120" w:after="120"/>
              <w:rPr>
                <w:sz w:val="16"/>
                <w:szCs w:val="16"/>
                <w:lang w:val="es-ES_tradnl"/>
              </w:rPr>
            </w:pPr>
            <w:r w:rsidRPr="009577DE">
              <w:rPr>
                <w:sz w:val="16"/>
                <w:szCs w:val="16"/>
                <w:lang w:val="es-ES_tradnl"/>
              </w:rPr>
              <w:lastRenderedPageBreak/>
              <w:t>Camerún</w:t>
            </w:r>
          </w:p>
          <w:p w:rsidR="00B070BF" w:rsidRPr="009577DE" w:rsidRDefault="00B070BF" w:rsidP="00C33D4A">
            <w:pPr>
              <w:widowControl w:val="0"/>
              <w:autoSpaceDE w:val="0"/>
              <w:autoSpaceDN w:val="0"/>
              <w:adjustRightInd w:val="0"/>
              <w:spacing w:before="120" w:after="120"/>
              <w:rPr>
                <w:sz w:val="16"/>
                <w:szCs w:val="16"/>
                <w:lang w:val="es-ES_tradnl"/>
              </w:rPr>
            </w:pPr>
            <w:r w:rsidRPr="009577DE">
              <w:rPr>
                <w:sz w:val="16"/>
                <w:szCs w:val="16"/>
                <w:lang w:val="es-ES_tradnl"/>
              </w:rPr>
              <w:lastRenderedPageBreak/>
              <w:t>Se otorgaron 10 becas a estudiantes de 10 países africanos</w:t>
            </w:r>
          </w:p>
        </w:tc>
        <w:tc>
          <w:tcPr>
            <w:tcW w:w="3543" w:type="dxa"/>
            <w:gridSpan w:val="2"/>
            <w:tcBorders>
              <w:top w:val="single" w:sz="4" w:space="0" w:color="000000"/>
              <w:bottom w:val="nil"/>
            </w:tcBorders>
          </w:tcPr>
          <w:p w:rsidR="00B070BF" w:rsidRPr="009577DE" w:rsidRDefault="00B070BF" w:rsidP="00C33D4A">
            <w:pPr>
              <w:widowControl w:val="0"/>
              <w:autoSpaceDE w:val="0"/>
              <w:autoSpaceDN w:val="0"/>
              <w:adjustRightInd w:val="0"/>
              <w:spacing w:before="120" w:after="120"/>
              <w:rPr>
                <w:sz w:val="16"/>
                <w:szCs w:val="16"/>
                <w:lang w:val="es-ES_tradnl"/>
              </w:rPr>
            </w:pPr>
            <w:r w:rsidRPr="009577DE">
              <w:rPr>
                <w:sz w:val="16"/>
                <w:szCs w:val="16"/>
                <w:lang w:val="es-ES_tradnl"/>
              </w:rPr>
              <w:lastRenderedPageBreak/>
              <w:t xml:space="preserve">Facilitar una formación sobre P.I. general y </w:t>
            </w:r>
            <w:r w:rsidRPr="009577DE">
              <w:rPr>
                <w:sz w:val="16"/>
                <w:szCs w:val="16"/>
                <w:lang w:val="es-ES_tradnl"/>
              </w:rPr>
              <w:lastRenderedPageBreak/>
              <w:t>especializada a los funcionarios públicos y profesionales de la P.I., en cooperación con la OAPI y otros institutos regionales de enseñanza, y ofrecer oportunidades para el desarrollo de los recursos humanos y el fortalecimiento de las capacidades mediante la educación en P.I. y la formación de las personas encargadas de la docencia y la investigación en materia de P.I. en las universidades y otras instituciones.</w:t>
            </w:r>
          </w:p>
        </w:tc>
      </w:tr>
      <w:tr w:rsidR="00B070BF" w:rsidRPr="009577DE" w:rsidTr="00C33D4A">
        <w:tc>
          <w:tcPr>
            <w:tcW w:w="1800" w:type="dxa"/>
            <w:tcBorders>
              <w:top w:val="nil"/>
              <w:bottom w:val="nil"/>
            </w:tcBorders>
          </w:tcPr>
          <w:p w:rsidR="00B070BF" w:rsidRPr="009577DE" w:rsidRDefault="00B070BF" w:rsidP="00C33D4A">
            <w:pPr>
              <w:widowControl w:val="0"/>
              <w:autoSpaceDE w:val="0"/>
              <w:autoSpaceDN w:val="0"/>
              <w:adjustRightInd w:val="0"/>
              <w:spacing w:before="120" w:after="120"/>
              <w:rPr>
                <w:sz w:val="16"/>
                <w:szCs w:val="16"/>
                <w:lang w:val="es-ES_tradnl"/>
              </w:rPr>
            </w:pPr>
            <w:r w:rsidRPr="009577DE">
              <w:rPr>
                <w:sz w:val="16"/>
                <w:szCs w:val="16"/>
                <w:lang w:val="es-ES_tradnl"/>
              </w:rPr>
              <w:lastRenderedPageBreak/>
              <w:t>Curso de verano OMPI–Sudáfrica sobre propiedad intelectual y transferencia de tecnología, en Ciudad del Cabo (Sudáfrica).</w:t>
            </w:r>
          </w:p>
        </w:tc>
        <w:tc>
          <w:tcPr>
            <w:tcW w:w="1260" w:type="dxa"/>
            <w:gridSpan w:val="3"/>
            <w:tcBorders>
              <w:top w:val="nil"/>
              <w:bottom w:val="nil"/>
            </w:tcBorders>
          </w:tcPr>
          <w:p w:rsidR="00B070BF" w:rsidRPr="009577DE" w:rsidRDefault="00B070BF" w:rsidP="00C33D4A">
            <w:pPr>
              <w:widowControl w:val="0"/>
              <w:autoSpaceDE w:val="0"/>
              <w:autoSpaceDN w:val="0"/>
              <w:adjustRightInd w:val="0"/>
              <w:spacing w:before="120" w:after="120"/>
              <w:rPr>
                <w:sz w:val="16"/>
                <w:szCs w:val="16"/>
                <w:lang w:val="es-ES_tradnl"/>
              </w:rPr>
            </w:pPr>
            <w:r w:rsidRPr="009577DE">
              <w:rPr>
                <w:sz w:val="16"/>
                <w:szCs w:val="16"/>
                <w:lang w:val="es-ES_tradnl"/>
              </w:rPr>
              <w:t>26 de noviembre a 7 de diciembre de 2012</w:t>
            </w:r>
          </w:p>
          <w:p w:rsidR="00B070BF" w:rsidRPr="009577DE" w:rsidRDefault="00B070BF" w:rsidP="00C33D4A">
            <w:pPr>
              <w:widowControl w:val="0"/>
              <w:autoSpaceDE w:val="0"/>
              <w:autoSpaceDN w:val="0"/>
              <w:adjustRightInd w:val="0"/>
              <w:spacing w:before="120" w:after="120"/>
              <w:rPr>
                <w:sz w:val="16"/>
                <w:szCs w:val="16"/>
                <w:lang w:val="es-ES_tradnl"/>
              </w:rPr>
            </w:pPr>
          </w:p>
        </w:tc>
        <w:tc>
          <w:tcPr>
            <w:tcW w:w="2469" w:type="dxa"/>
            <w:gridSpan w:val="2"/>
            <w:tcBorders>
              <w:top w:val="nil"/>
              <w:bottom w:val="nil"/>
            </w:tcBorders>
          </w:tcPr>
          <w:p w:rsidR="00B070BF" w:rsidRPr="009577DE" w:rsidRDefault="00B070BF" w:rsidP="00C33D4A">
            <w:pPr>
              <w:widowControl w:val="0"/>
              <w:autoSpaceDE w:val="0"/>
              <w:autoSpaceDN w:val="0"/>
              <w:adjustRightInd w:val="0"/>
              <w:spacing w:before="120" w:after="120"/>
              <w:rPr>
                <w:sz w:val="16"/>
                <w:szCs w:val="16"/>
                <w:lang w:val="es-ES_tradnl"/>
              </w:rPr>
            </w:pPr>
            <w:r w:rsidRPr="009577DE">
              <w:rPr>
                <w:sz w:val="16"/>
                <w:szCs w:val="16"/>
                <w:lang w:val="es-ES_tradnl"/>
              </w:rPr>
              <w:t>Sudáfrica</w:t>
            </w:r>
          </w:p>
          <w:p w:rsidR="00B070BF" w:rsidRPr="009577DE" w:rsidRDefault="00B070BF" w:rsidP="00C33D4A">
            <w:pPr>
              <w:widowControl w:val="0"/>
              <w:autoSpaceDE w:val="0"/>
              <w:autoSpaceDN w:val="0"/>
              <w:adjustRightInd w:val="0"/>
              <w:spacing w:before="120" w:after="120"/>
              <w:rPr>
                <w:sz w:val="16"/>
                <w:szCs w:val="16"/>
                <w:lang w:val="es-ES_tradnl"/>
              </w:rPr>
            </w:pPr>
            <w:r w:rsidRPr="009577DE">
              <w:rPr>
                <w:sz w:val="16"/>
                <w:szCs w:val="16"/>
                <w:lang w:val="es-ES_tradnl"/>
              </w:rPr>
              <w:t>Se otorgaron 5 becas a estudiantes de 3 países africanos</w:t>
            </w:r>
          </w:p>
        </w:tc>
        <w:tc>
          <w:tcPr>
            <w:tcW w:w="3543" w:type="dxa"/>
            <w:gridSpan w:val="2"/>
            <w:tcBorders>
              <w:top w:val="nil"/>
              <w:bottom w:val="nil"/>
            </w:tcBorders>
          </w:tcPr>
          <w:p w:rsidR="00B070BF" w:rsidRPr="009577DE" w:rsidRDefault="00B070BF" w:rsidP="00C33D4A">
            <w:pPr>
              <w:widowControl w:val="0"/>
              <w:autoSpaceDE w:val="0"/>
              <w:autoSpaceDN w:val="0"/>
              <w:adjustRightInd w:val="0"/>
              <w:spacing w:before="120" w:after="120"/>
              <w:rPr>
                <w:sz w:val="16"/>
                <w:szCs w:val="16"/>
                <w:lang w:val="es-ES_tradnl"/>
              </w:rPr>
            </w:pPr>
            <w:r w:rsidRPr="009577DE">
              <w:rPr>
                <w:sz w:val="16"/>
                <w:szCs w:val="16"/>
                <w:lang w:val="es-ES_tradnl"/>
              </w:rPr>
              <w:t>El programa versó sobre las repercusiones que tiene para la P.I. la transferencia de tecnología y sobre la información de patentes.</w:t>
            </w:r>
          </w:p>
        </w:tc>
      </w:tr>
      <w:tr w:rsidR="00B070BF" w:rsidRPr="009577DE" w:rsidTr="00C33D4A">
        <w:tc>
          <w:tcPr>
            <w:tcW w:w="1800" w:type="dxa"/>
            <w:tcBorders>
              <w:top w:val="nil"/>
              <w:bottom w:val="nil"/>
            </w:tcBorders>
          </w:tcPr>
          <w:p w:rsidR="00B070BF" w:rsidRPr="009577DE" w:rsidRDefault="00B070BF" w:rsidP="00C33D4A">
            <w:pPr>
              <w:widowControl w:val="0"/>
              <w:autoSpaceDE w:val="0"/>
              <w:autoSpaceDN w:val="0"/>
              <w:adjustRightInd w:val="0"/>
              <w:spacing w:before="120" w:after="120"/>
              <w:rPr>
                <w:sz w:val="16"/>
                <w:szCs w:val="16"/>
                <w:lang w:val="es-ES_tradnl"/>
              </w:rPr>
            </w:pPr>
            <w:r w:rsidRPr="009577DE">
              <w:rPr>
                <w:sz w:val="16"/>
                <w:szCs w:val="16"/>
                <w:lang w:val="es-ES_tradnl"/>
              </w:rPr>
              <w:t xml:space="preserve">Programa de formación sobre negociación de licencias tecnológicas (STL) para la </w:t>
            </w:r>
            <w:proofErr w:type="spellStart"/>
            <w:r w:rsidRPr="009577DE">
              <w:rPr>
                <w:i/>
                <w:sz w:val="16"/>
                <w:szCs w:val="16"/>
                <w:lang w:val="es-ES_tradnl"/>
              </w:rPr>
              <w:t>African</w:t>
            </w:r>
            <w:proofErr w:type="spellEnd"/>
            <w:r w:rsidRPr="009577DE">
              <w:rPr>
                <w:i/>
                <w:sz w:val="16"/>
                <w:szCs w:val="16"/>
                <w:lang w:val="es-ES_tradnl"/>
              </w:rPr>
              <w:t xml:space="preserve"> Network </w:t>
            </w:r>
            <w:proofErr w:type="spellStart"/>
            <w:r w:rsidRPr="009577DE">
              <w:rPr>
                <w:i/>
                <w:sz w:val="16"/>
                <w:szCs w:val="16"/>
                <w:lang w:val="es-ES_tradnl"/>
              </w:rPr>
              <w:t>Drug</w:t>
            </w:r>
            <w:proofErr w:type="spellEnd"/>
            <w:r w:rsidRPr="009577DE">
              <w:rPr>
                <w:sz w:val="16"/>
                <w:szCs w:val="16"/>
                <w:lang w:val="es-ES_tradnl"/>
              </w:rPr>
              <w:t xml:space="preserve"> (ANDI)</w:t>
            </w:r>
          </w:p>
        </w:tc>
        <w:tc>
          <w:tcPr>
            <w:tcW w:w="1260" w:type="dxa"/>
            <w:gridSpan w:val="3"/>
            <w:tcBorders>
              <w:top w:val="nil"/>
              <w:bottom w:val="nil"/>
            </w:tcBorders>
          </w:tcPr>
          <w:p w:rsidR="00B070BF" w:rsidRPr="009577DE" w:rsidRDefault="00B070BF" w:rsidP="00C33D4A">
            <w:pPr>
              <w:widowControl w:val="0"/>
              <w:autoSpaceDE w:val="0"/>
              <w:autoSpaceDN w:val="0"/>
              <w:adjustRightInd w:val="0"/>
              <w:spacing w:before="120" w:after="120"/>
              <w:rPr>
                <w:sz w:val="16"/>
                <w:szCs w:val="16"/>
                <w:lang w:val="es-ES_tradnl"/>
              </w:rPr>
            </w:pPr>
            <w:r w:rsidRPr="009577DE">
              <w:rPr>
                <w:sz w:val="16"/>
                <w:szCs w:val="16"/>
                <w:lang w:val="es-ES_tradnl"/>
              </w:rPr>
              <w:t>1 y 2 de noviembre de 2012</w:t>
            </w:r>
          </w:p>
          <w:p w:rsidR="00B070BF" w:rsidRPr="009577DE" w:rsidRDefault="00B070BF" w:rsidP="00C33D4A">
            <w:pPr>
              <w:widowControl w:val="0"/>
              <w:autoSpaceDE w:val="0"/>
              <w:autoSpaceDN w:val="0"/>
              <w:adjustRightInd w:val="0"/>
              <w:spacing w:before="120" w:after="120"/>
              <w:rPr>
                <w:sz w:val="16"/>
                <w:szCs w:val="16"/>
                <w:lang w:val="es-ES_tradnl"/>
              </w:rPr>
            </w:pPr>
          </w:p>
        </w:tc>
        <w:tc>
          <w:tcPr>
            <w:tcW w:w="2469" w:type="dxa"/>
            <w:gridSpan w:val="2"/>
            <w:tcBorders>
              <w:top w:val="nil"/>
              <w:bottom w:val="nil"/>
            </w:tcBorders>
          </w:tcPr>
          <w:p w:rsidR="00B070BF" w:rsidRPr="009577DE" w:rsidRDefault="00B070BF" w:rsidP="00C33D4A">
            <w:pPr>
              <w:widowControl w:val="0"/>
              <w:autoSpaceDE w:val="0"/>
              <w:autoSpaceDN w:val="0"/>
              <w:adjustRightInd w:val="0"/>
              <w:spacing w:before="120" w:after="120"/>
              <w:rPr>
                <w:sz w:val="16"/>
                <w:szCs w:val="16"/>
                <w:lang w:val="es-ES_tradnl"/>
              </w:rPr>
            </w:pPr>
            <w:r w:rsidRPr="009577DE">
              <w:rPr>
                <w:sz w:val="16"/>
                <w:szCs w:val="16"/>
                <w:lang w:val="es-ES_tradnl"/>
              </w:rPr>
              <w:t>Suiza</w:t>
            </w:r>
          </w:p>
          <w:p w:rsidR="00B070BF" w:rsidRPr="009577DE" w:rsidRDefault="00B070BF" w:rsidP="00C33D4A">
            <w:pPr>
              <w:widowControl w:val="0"/>
              <w:autoSpaceDE w:val="0"/>
              <w:autoSpaceDN w:val="0"/>
              <w:adjustRightInd w:val="0"/>
              <w:spacing w:before="120" w:after="120"/>
              <w:rPr>
                <w:sz w:val="16"/>
                <w:szCs w:val="16"/>
                <w:lang w:val="es-ES_tradnl"/>
              </w:rPr>
            </w:pPr>
            <w:r w:rsidRPr="009577DE">
              <w:rPr>
                <w:sz w:val="16"/>
                <w:szCs w:val="16"/>
                <w:lang w:val="es-ES_tradnl"/>
              </w:rPr>
              <w:t>14 participantes de 11 países africanos</w:t>
            </w:r>
          </w:p>
          <w:p w:rsidR="00B070BF" w:rsidRPr="009577DE" w:rsidRDefault="00B070BF" w:rsidP="00C33D4A">
            <w:pPr>
              <w:widowControl w:val="0"/>
              <w:autoSpaceDE w:val="0"/>
              <w:autoSpaceDN w:val="0"/>
              <w:adjustRightInd w:val="0"/>
              <w:spacing w:before="120" w:after="120"/>
              <w:rPr>
                <w:sz w:val="16"/>
                <w:szCs w:val="16"/>
                <w:lang w:val="es-ES_tradnl"/>
              </w:rPr>
            </w:pPr>
          </w:p>
        </w:tc>
        <w:tc>
          <w:tcPr>
            <w:tcW w:w="3543" w:type="dxa"/>
            <w:gridSpan w:val="2"/>
            <w:tcBorders>
              <w:top w:val="nil"/>
              <w:bottom w:val="nil"/>
            </w:tcBorders>
          </w:tcPr>
          <w:p w:rsidR="00B070BF" w:rsidRPr="009577DE" w:rsidRDefault="00B070BF" w:rsidP="00C33D4A">
            <w:pPr>
              <w:widowControl w:val="0"/>
              <w:autoSpaceDE w:val="0"/>
              <w:autoSpaceDN w:val="0"/>
              <w:adjustRightInd w:val="0"/>
              <w:spacing w:before="120" w:after="120"/>
              <w:rPr>
                <w:sz w:val="16"/>
                <w:szCs w:val="16"/>
                <w:lang w:val="es-ES_tradnl"/>
              </w:rPr>
            </w:pPr>
            <w:r w:rsidRPr="009577DE">
              <w:rPr>
                <w:sz w:val="16"/>
                <w:szCs w:val="16"/>
                <w:lang w:val="es-ES_tradnl"/>
              </w:rPr>
              <w:t>El objetivo del programa fue brindar información e impartir formación sobre la concesión de licencias de P.I. en el contexto de la colaboración entre los sectores de investigación y empresarial.  La base del programa fue el programa de STL de la OMPI, y giró en torno a las cuestiones que los propios participantes señalaron como de particular interés para su trabajo.  El programa dio lugar a una comunicación interactiva entre los participantes y los expertos (oradores y formadores), con miras a facilitar el aprendizaje y la aplicación práctica de los conocimientos adquiridos.  En ese contexto, se centró particularmente la atención en un simulacro de negociación de licencia, adaptado para poner en práctica de forma inmediata los “conocimientos adquiridos” durante la parte teórica del curso.</w:t>
            </w:r>
          </w:p>
        </w:tc>
      </w:tr>
      <w:tr w:rsidR="00B070BF" w:rsidRPr="009577DE" w:rsidTr="00C33D4A">
        <w:tc>
          <w:tcPr>
            <w:tcW w:w="1800" w:type="dxa"/>
            <w:tcBorders>
              <w:top w:val="nil"/>
              <w:bottom w:val="nil"/>
            </w:tcBorders>
          </w:tcPr>
          <w:p w:rsidR="00B070BF" w:rsidRPr="009577DE" w:rsidRDefault="00B070BF" w:rsidP="00C33D4A">
            <w:pPr>
              <w:keepNext/>
              <w:keepLines/>
              <w:autoSpaceDE w:val="0"/>
              <w:autoSpaceDN w:val="0"/>
              <w:adjustRightInd w:val="0"/>
              <w:spacing w:before="120" w:after="120"/>
              <w:rPr>
                <w:sz w:val="16"/>
                <w:szCs w:val="16"/>
                <w:lang w:val="es-ES_tradnl"/>
              </w:rPr>
            </w:pPr>
            <w:r w:rsidRPr="009577DE">
              <w:rPr>
                <w:sz w:val="16"/>
                <w:szCs w:val="16"/>
                <w:lang w:val="es-ES_tradnl"/>
              </w:rPr>
              <w:t>Seminario sobre la forma de aprovechar la innovación y los derechos de P.I. para el desarrollo local de los países del África Subsahariana.</w:t>
            </w:r>
          </w:p>
          <w:p w:rsidR="00B070BF" w:rsidRPr="009577DE" w:rsidRDefault="00B070BF" w:rsidP="00C33D4A">
            <w:pPr>
              <w:keepNext/>
              <w:keepLines/>
              <w:autoSpaceDE w:val="0"/>
              <w:autoSpaceDN w:val="0"/>
              <w:adjustRightInd w:val="0"/>
              <w:spacing w:before="120" w:after="120"/>
              <w:rPr>
                <w:sz w:val="16"/>
                <w:szCs w:val="16"/>
                <w:lang w:val="es-ES_tradnl"/>
              </w:rPr>
            </w:pPr>
          </w:p>
        </w:tc>
        <w:tc>
          <w:tcPr>
            <w:tcW w:w="1260" w:type="dxa"/>
            <w:gridSpan w:val="3"/>
            <w:tcBorders>
              <w:top w:val="nil"/>
              <w:bottom w:val="nil"/>
            </w:tcBorders>
          </w:tcPr>
          <w:p w:rsidR="00B070BF" w:rsidRPr="009577DE" w:rsidRDefault="00B070BF" w:rsidP="00C33D4A">
            <w:pPr>
              <w:keepNext/>
              <w:keepLines/>
              <w:autoSpaceDE w:val="0"/>
              <w:autoSpaceDN w:val="0"/>
              <w:adjustRightInd w:val="0"/>
              <w:spacing w:before="120" w:after="120"/>
              <w:rPr>
                <w:sz w:val="16"/>
                <w:szCs w:val="16"/>
                <w:lang w:val="es-ES_tradnl"/>
              </w:rPr>
            </w:pPr>
            <w:r w:rsidRPr="009577DE">
              <w:rPr>
                <w:sz w:val="16"/>
                <w:szCs w:val="16"/>
                <w:lang w:val="es-ES_tradnl"/>
              </w:rPr>
              <w:t>13 a 23 de diciembre de 2012</w:t>
            </w:r>
          </w:p>
          <w:p w:rsidR="00B070BF" w:rsidRPr="009577DE" w:rsidRDefault="00B070BF" w:rsidP="00C33D4A">
            <w:pPr>
              <w:keepNext/>
              <w:keepLines/>
              <w:autoSpaceDE w:val="0"/>
              <w:autoSpaceDN w:val="0"/>
              <w:adjustRightInd w:val="0"/>
              <w:spacing w:before="120" w:after="120"/>
              <w:rPr>
                <w:sz w:val="16"/>
                <w:szCs w:val="16"/>
                <w:lang w:val="es-ES_tradnl"/>
              </w:rPr>
            </w:pPr>
          </w:p>
        </w:tc>
        <w:tc>
          <w:tcPr>
            <w:tcW w:w="2469" w:type="dxa"/>
            <w:gridSpan w:val="2"/>
            <w:tcBorders>
              <w:top w:val="nil"/>
              <w:bottom w:val="nil"/>
            </w:tcBorders>
          </w:tcPr>
          <w:p w:rsidR="00B070BF" w:rsidRPr="009577DE" w:rsidRDefault="00B070BF" w:rsidP="00C33D4A">
            <w:pPr>
              <w:keepNext/>
              <w:keepLines/>
              <w:autoSpaceDE w:val="0"/>
              <w:autoSpaceDN w:val="0"/>
              <w:adjustRightInd w:val="0"/>
              <w:spacing w:before="120" w:after="120"/>
              <w:rPr>
                <w:sz w:val="16"/>
                <w:szCs w:val="16"/>
                <w:lang w:val="es-ES_tradnl"/>
              </w:rPr>
            </w:pPr>
            <w:r w:rsidRPr="009577DE">
              <w:rPr>
                <w:sz w:val="16"/>
                <w:szCs w:val="16"/>
                <w:lang w:val="es-ES_tradnl"/>
              </w:rPr>
              <w:t>Israel</w:t>
            </w:r>
          </w:p>
          <w:p w:rsidR="00B070BF" w:rsidRPr="009577DE" w:rsidRDefault="00B070BF" w:rsidP="00C33D4A">
            <w:pPr>
              <w:keepNext/>
              <w:keepLines/>
              <w:autoSpaceDE w:val="0"/>
              <w:autoSpaceDN w:val="0"/>
              <w:adjustRightInd w:val="0"/>
              <w:spacing w:before="120" w:after="120"/>
              <w:rPr>
                <w:sz w:val="16"/>
                <w:szCs w:val="16"/>
                <w:lang w:val="es-ES_tradnl"/>
              </w:rPr>
            </w:pPr>
            <w:r w:rsidRPr="009577DE">
              <w:rPr>
                <w:sz w:val="16"/>
                <w:szCs w:val="16"/>
                <w:lang w:val="es-ES_tradnl"/>
              </w:rPr>
              <w:t>15 participantes de 15 países africanos</w:t>
            </w:r>
          </w:p>
          <w:p w:rsidR="00B070BF" w:rsidRPr="009577DE" w:rsidRDefault="00B070BF" w:rsidP="00C33D4A">
            <w:pPr>
              <w:keepNext/>
              <w:keepLines/>
              <w:autoSpaceDE w:val="0"/>
              <w:autoSpaceDN w:val="0"/>
              <w:adjustRightInd w:val="0"/>
              <w:spacing w:before="120" w:after="120"/>
              <w:rPr>
                <w:sz w:val="16"/>
                <w:szCs w:val="16"/>
                <w:lang w:val="es-ES_tradnl"/>
              </w:rPr>
            </w:pPr>
          </w:p>
        </w:tc>
        <w:tc>
          <w:tcPr>
            <w:tcW w:w="3543" w:type="dxa"/>
            <w:gridSpan w:val="2"/>
            <w:tcBorders>
              <w:top w:val="nil"/>
              <w:bottom w:val="nil"/>
            </w:tcBorders>
          </w:tcPr>
          <w:p w:rsidR="00B070BF" w:rsidRPr="009577DE" w:rsidRDefault="00B070BF" w:rsidP="00C33D4A">
            <w:pPr>
              <w:keepNext/>
              <w:keepLines/>
              <w:autoSpaceDE w:val="0"/>
              <w:autoSpaceDN w:val="0"/>
              <w:adjustRightInd w:val="0"/>
              <w:spacing w:before="120" w:after="120"/>
              <w:rPr>
                <w:sz w:val="16"/>
                <w:szCs w:val="16"/>
                <w:lang w:val="es-ES_tradnl"/>
              </w:rPr>
            </w:pPr>
            <w:r w:rsidRPr="009577DE">
              <w:rPr>
                <w:sz w:val="16"/>
                <w:szCs w:val="16"/>
                <w:lang w:val="es-ES_tradnl"/>
              </w:rPr>
              <w:t>Los objetivos del seminario fueron los siguientes:  i) fomentar la innovación y los derechos de P.I. para el desarrollo local de los países del África Subsahariana, presentando a los participantes la experiencia de Israel en el aprovechamiento de la innovación y los derechos de P.I.;  ii) proporcionar a los participantes instrumentos y metodologías destinados a fomentar la innovación e intensificar su incidencia en el plano socioeconómico;  y iii) elaborar un plan para la difusión y la aplicación de la experiencia y los conocimientos adquiridos.</w:t>
            </w:r>
          </w:p>
        </w:tc>
      </w:tr>
      <w:tr w:rsidR="00B070BF" w:rsidRPr="009577DE" w:rsidTr="00C33D4A">
        <w:tc>
          <w:tcPr>
            <w:tcW w:w="1800" w:type="dxa"/>
            <w:tcBorders>
              <w:top w:val="nil"/>
              <w:bottom w:val="single" w:sz="4" w:space="0" w:color="000000"/>
            </w:tcBorders>
          </w:tcPr>
          <w:p w:rsidR="00B070BF" w:rsidRPr="009577DE" w:rsidRDefault="00B070BF" w:rsidP="00C33D4A">
            <w:pPr>
              <w:autoSpaceDE w:val="0"/>
              <w:autoSpaceDN w:val="0"/>
              <w:adjustRightInd w:val="0"/>
              <w:spacing w:before="120" w:after="120"/>
              <w:rPr>
                <w:sz w:val="16"/>
                <w:szCs w:val="16"/>
                <w:lang w:val="es-ES_tradnl"/>
              </w:rPr>
            </w:pPr>
            <w:r w:rsidRPr="009577DE">
              <w:rPr>
                <w:sz w:val="16"/>
                <w:szCs w:val="16"/>
                <w:lang w:val="es-ES_tradnl"/>
              </w:rPr>
              <w:t>Observancia de los derechos de propiedad intelectual.</w:t>
            </w:r>
          </w:p>
          <w:p w:rsidR="00B070BF" w:rsidRPr="009577DE" w:rsidRDefault="00B070BF" w:rsidP="00C33D4A">
            <w:pPr>
              <w:keepNext/>
              <w:keepLines/>
              <w:autoSpaceDE w:val="0"/>
              <w:autoSpaceDN w:val="0"/>
              <w:adjustRightInd w:val="0"/>
              <w:spacing w:before="120" w:after="120"/>
              <w:rPr>
                <w:sz w:val="16"/>
                <w:szCs w:val="16"/>
                <w:lang w:val="es-ES_tradnl"/>
              </w:rPr>
            </w:pPr>
          </w:p>
        </w:tc>
        <w:tc>
          <w:tcPr>
            <w:tcW w:w="1260" w:type="dxa"/>
            <w:gridSpan w:val="3"/>
            <w:tcBorders>
              <w:top w:val="nil"/>
              <w:bottom w:val="single" w:sz="4" w:space="0" w:color="000000"/>
            </w:tcBorders>
          </w:tcPr>
          <w:p w:rsidR="00B070BF" w:rsidRPr="009577DE" w:rsidRDefault="00B070BF" w:rsidP="00C33D4A">
            <w:pPr>
              <w:keepNext/>
              <w:keepLines/>
              <w:autoSpaceDE w:val="0"/>
              <w:autoSpaceDN w:val="0"/>
              <w:adjustRightInd w:val="0"/>
              <w:spacing w:before="120" w:after="120"/>
              <w:rPr>
                <w:sz w:val="16"/>
                <w:szCs w:val="16"/>
                <w:lang w:val="es-ES_tradnl"/>
              </w:rPr>
            </w:pPr>
            <w:r w:rsidRPr="009577DE">
              <w:rPr>
                <w:sz w:val="16"/>
                <w:szCs w:val="16"/>
                <w:lang w:val="es-ES_tradnl"/>
              </w:rPr>
              <w:t>5 a 16 de noviembre de 2012</w:t>
            </w:r>
          </w:p>
          <w:p w:rsidR="00B070BF" w:rsidRPr="009577DE" w:rsidRDefault="00B070BF" w:rsidP="00C33D4A">
            <w:pPr>
              <w:keepNext/>
              <w:keepLines/>
              <w:autoSpaceDE w:val="0"/>
              <w:autoSpaceDN w:val="0"/>
              <w:adjustRightInd w:val="0"/>
              <w:spacing w:before="120" w:after="120"/>
              <w:rPr>
                <w:sz w:val="16"/>
                <w:szCs w:val="16"/>
                <w:lang w:val="es-ES_tradnl"/>
              </w:rPr>
            </w:pPr>
          </w:p>
          <w:p w:rsidR="00B070BF" w:rsidRPr="009577DE" w:rsidRDefault="00B070BF" w:rsidP="00C33D4A">
            <w:pPr>
              <w:keepNext/>
              <w:keepLines/>
              <w:autoSpaceDE w:val="0"/>
              <w:autoSpaceDN w:val="0"/>
              <w:adjustRightInd w:val="0"/>
              <w:spacing w:before="120" w:after="120"/>
              <w:rPr>
                <w:sz w:val="16"/>
                <w:szCs w:val="16"/>
                <w:lang w:val="es-ES_tradnl"/>
              </w:rPr>
            </w:pPr>
          </w:p>
        </w:tc>
        <w:tc>
          <w:tcPr>
            <w:tcW w:w="2469" w:type="dxa"/>
            <w:gridSpan w:val="2"/>
            <w:tcBorders>
              <w:top w:val="nil"/>
              <w:bottom w:val="single" w:sz="4" w:space="0" w:color="000000"/>
            </w:tcBorders>
          </w:tcPr>
          <w:p w:rsidR="00B070BF" w:rsidRDefault="00B070BF" w:rsidP="00C33D4A">
            <w:pPr>
              <w:keepNext/>
              <w:keepLines/>
              <w:autoSpaceDE w:val="0"/>
              <w:autoSpaceDN w:val="0"/>
              <w:adjustRightInd w:val="0"/>
              <w:spacing w:before="120" w:after="120"/>
              <w:rPr>
                <w:sz w:val="16"/>
                <w:szCs w:val="16"/>
                <w:lang w:val="es-ES_tradnl"/>
              </w:rPr>
            </w:pPr>
            <w:r>
              <w:rPr>
                <w:sz w:val="16"/>
                <w:szCs w:val="16"/>
                <w:lang w:val="es-ES_tradnl"/>
              </w:rPr>
              <w:t>Japón</w:t>
            </w:r>
          </w:p>
          <w:p w:rsidR="00B070BF" w:rsidRPr="009577DE" w:rsidRDefault="00B070BF" w:rsidP="00C33D4A">
            <w:pPr>
              <w:keepNext/>
              <w:keepLines/>
              <w:autoSpaceDE w:val="0"/>
              <w:autoSpaceDN w:val="0"/>
              <w:adjustRightInd w:val="0"/>
              <w:spacing w:before="120" w:after="120"/>
              <w:rPr>
                <w:sz w:val="16"/>
                <w:szCs w:val="16"/>
                <w:lang w:val="es-ES_tradnl"/>
              </w:rPr>
            </w:pPr>
            <w:r w:rsidRPr="009577DE">
              <w:rPr>
                <w:sz w:val="16"/>
                <w:szCs w:val="16"/>
                <w:lang w:val="es-ES_tradnl"/>
              </w:rPr>
              <w:t>3 participantes de 3 países africanos</w:t>
            </w:r>
          </w:p>
          <w:p w:rsidR="00B070BF" w:rsidRPr="009577DE" w:rsidRDefault="00B070BF" w:rsidP="00C33D4A">
            <w:pPr>
              <w:keepNext/>
              <w:keepLines/>
              <w:autoSpaceDE w:val="0"/>
              <w:autoSpaceDN w:val="0"/>
              <w:adjustRightInd w:val="0"/>
              <w:spacing w:before="120" w:after="120"/>
              <w:rPr>
                <w:sz w:val="16"/>
                <w:szCs w:val="16"/>
                <w:lang w:val="es-ES_tradnl"/>
              </w:rPr>
            </w:pPr>
          </w:p>
        </w:tc>
        <w:tc>
          <w:tcPr>
            <w:tcW w:w="3543" w:type="dxa"/>
            <w:gridSpan w:val="2"/>
            <w:tcBorders>
              <w:top w:val="nil"/>
              <w:bottom w:val="single" w:sz="4" w:space="0" w:color="000000"/>
            </w:tcBorders>
          </w:tcPr>
          <w:p w:rsidR="00B070BF" w:rsidRPr="009577DE" w:rsidRDefault="00B070BF" w:rsidP="00C33D4A">
            <w:pPr>
              <w:keepNext/>
              <w:keepLines/>
              <w:autoSpaceDE w:val="0"/>
              <w:autoSpaceDN w:val="0"/>
              <w:adjustRightInd w:val="0"/>
              <w:spacing w:before="120" w:after="120"/>
              <w:rPr>
                <w:sz w:val="16"/>
                <w:szCs w:val="16"/>
                <w:lang w:val="es-ES_tradnl"/>
              </w:rPr>
            </w:pPr>
            <w:r w:rsidRPr="009577DE">
              <w:rPr>
                <w:sz w:val="16"/>
                <w:szCs w:val="16"/>
                <w:lang w:val="es-ES_tradnl"/>
              </w:rPr>
              <w:t xml:space="preserve">Los objetivos del curso de formación en el marco de la meta estratégica VI de la OMPI fueron los siguientes:  i) examinar varias cuestiones relacionadas con cultivar el respeto de la P.I. y con </w:t>
            </w:r>
            <w:r>
              <w:rPr>
                <w:sz w:val="16"/>
                <w:szCs w:val="16"/>
                <w:lang w:val="es-ES_tradnl"/>
              </w:rPr>
              <w:t>su</w:t>
            </w:r>
            <w:r w:rsidRPr="009577DE">
              <w:rPr>
                <w:sz w:val="16"/>
                <w:szCs w:val="16"/>
                <w:lang w:val="es-ES_tradnl"/>
              </w:rPr>
              <w:t xml:space="preserve"> observancia, por ejemplo, esquemas alternativos para hacer frente a la falsificación y la piratería, y los métodos para disponer de los productos infractores y destruirlos;  ii) examinar las normas mínimas y las flexibilidades contenidas en la parte III del </w:t>
            </w:r>
            <w:r w:rsidRPr="009577DE">
              <w:rPr>
                <w:snapToGrid w:val="0"/>
                <w:sz w:val="16"/>
                <w:szCs w:val="16"/>
                <w:lang w:val="es-ES_tradnl"/>
              </w:rPr>
              <w:t>Acuerdo sobre los ADPIC</w:t>
            </w:r>
            <w:r w:rsidRPr="009577DE">
              <w:rPr>
                <w:sz w:val="16"/>
                <w:szCs w:val="16"/>
                <w:lang w:val="es-ES_tradnl"/>
              </w:rPr>
              <w:t xml:space="preserve">, incluyendo la evolución reciente de la jurisprudencia;  iii) examinar las motivaciones, los elementos, la investigación y el procesamiento de los delitos y las infracciones de P.I., y ello incluye las sentencias y su proporcionalidad;  y iv) analizar el papel que desempeñan los distintos sectores interesados </w:t>
            </w:r>
            <w:r>
              <w:rPr>
                <w:sz w:val="16"/>
                <w:szCs w:val="16"/>
                <w:lang w:val="es-ES_tradnl"/>
              </w:rPr>
              <w:t>de cara</w:t>
            </w:r>
            <w:r w:rsidRPr="009577DE">
              <w:rPr>
                <w:sz w:val="16"/>
                <w:szCs w:val="16"/>
                <w:lang w:val="es-ES_tradnl"/>
              </w:rPr>
              <w:t xml:space="preserve"> a una cooperación estratégica y eficaz.</w:t>
            </w:r>
          </w:p>
        </w:tc>
      </w:tr>
      <w:tr w:rsidR="00B070BF" w:rsidRPr="009577DE" w:rsidTr="00C33D4A">
        <w:tc>
          <w:tcPr>
            <w:tcW w:w="1800" w:type="dxa"/>
            <w:tcBorders>
              <w:top w:val="single" w:sz="4" w:space="0" w:color="000000"/>
              <w:bottom w:val="nil"/>
            </w:tcBorders>
          </w:tcPr>
          <w:p w:rsidR="00B070BF" w:rsidRPr="009577DE" w:rsidRDefault="00B070BF" w:rsidP="00C33D4A">
            <w:pPr>
              <w:keepNext/>
              <w:keepLines/>
              <w:autoSpaceDE w:val="0"/>
              <w:autoSpaceDN w:val="0"/>
              <w:adjustRightInd w:val="0"/>
              <w:spacing w:before="120" w:after="120"/>
              <w:rPr>
                <w:sz w:val="16"/>
                <w:szCs w:val="16"/>
                <w:lang w:val="es-ES_tradnl"/>
              </w:rPr>
            </w:pPr>
            <w:r w:rsidRPr="009577DE">
              <w:rPr>
                <w:sz w:val="16"/>
                <w:szCs w:val="16"/>
                <w:lang w:val="es-ES_tradnl"/>
              </w:rPr>
              <w:lastRenderedPageBreak/>
              <w:t>Uso de las tecnologías de la información para la administración de la propiedad industrial.</w:t>
            </w:r>
          </w:p>
        </w:tc>
        <w:tc>
          <w:tcPr>
            <w:tcW w:w="1260" w:type="dxa"/>
            <w:gridSpan w:val="3"/>
            <w:tcBorders>
              <w:top w:val="single" w:sz="4" w:space="0" w:color="000000"/>
              <w:bottom w:val="nil"/>
            </w:tcBorders>
          </w:tcPr>
          <w:p w:rsidR="00B070BF" w:rsidRPr="009577DE" w:rsidRDefault="00B070BF" w:rsidP="00C33D4A">
            <w:pPr>
              <w:keepNext/>
              <w:keepLines/>
              <w:autoSpaceDE w:val="0"/>
              <w:autoSpaceDN w:val="0"/>
              <w:adjustRightInd w:val="0"/>
              <w:spacing w:before="120" w:after="120"/>
              <w:rPr>
                <w:sz w:val="16"/>
                <w:szCs w:val="16"/>
                <w:lang w:val="es-ES_tradnl"/>
              </w:rPr>
            </w:pPr>
            <w:r w:rsidRPr="009577DE">
              <w:rPr>
                <w:sz w:val="16"/>
                <w:szCs w:val="16"/>
                <w:lang w:val="es-ES_tradnl"/>
              </w:rPr>
              <w:t>3 a 14 de diciembre de 2012</w:t>
            </w:r>
          </w:p>
        </w:tc>
        <w:tc>
          <w:tcPr>
            <w:tcW w:w="2469" w:type="dxa"/>
            <w:gridSpan w:val="2"/>
            <w:tcBorders>
              <w:top w:val="single" w:sz="4" w:space="0" w:color="000000"/>
              <w:bottom w:val="nil"/>
            </w:tcBorders>
          </w:tcPr>
          <w:p w:rsidR="00B070BF" w:rsidRDefault="00B070BF" w:rsidP="00C33D4A">
            <w:pPr>
              <w:keepNext/>
              <w:keepLines/>
              <w:autoSpaceDE w:val="0"/>
              <w:autoSpaceDN w:val="0"/>
              <w:adjustRightInd w:val="0"/>
              <w:spacing w:before="120" w:after="120"/>
              <w:rPr>
                <w:sz w:val="16"/>
                <w:szCs w:val="16"/>
                <w:lang w:val="es-ES_tradnl"/>
              </w:rPr>
            </w:pPr>
            <w:r>
              <w:rPr>
                <w:sz w:val="16"/>
                <w:szCs w:val="16"/>
                <w:lang w:val="es-ES_tradnl"/>
              </w:rPr>
              <w:t>Japón</w:t>
            </w:r>
          </w:p>
          <w:p w:rsidR="00B070BF" w:rsidRPr="009577DE" w:rsidRDefault="00B070BF" w:rsidP="00C33D4A">
            <w:pPr>
              <w:keepNext/>
              <w:keepLines/>
              <w:autoSpaceDE w:val="0"/>
              <w:autoSpaceDN w:val="0"/>
              <w:adjustRightInd w:val="0"/>
              <w:spacing w:before="120" w:after="120"/>
              <w:rPr>
                <w:sz w:val="16"/>
                <w:szCs w:val="16"/>
                <w:lang w:val="es-ES_tradnl"/>
              </w:rPr>
            </w:pPr>
            <w:r w:rsidRPr="009577DE">
              <w:rPr>
                <w:sz w:val="16"/>
                <w:szCs w:val="16"/>
                <w:lang w:val="es-ES_tradnl"/>
              </w:rPr>
              <w:t>2 participantes de 2 países africanos;  1 participante de la Organización Regional Africana de la Propiedad Intelectual (ARIPO) y 1 participante de la Organización Africana de la Propiedad Intelectual (OAPI)</w:t>
            </w:r>
          </w:p>
        </w:tc>
        <w:tc>
          <w:tcPr>
            <w:tcW w:w="3543" w:type="dxa"/>
            <w:gridSpan w:val="2"/>
            <w:tcBorders>
              <w:top w:val="single" w:sz="4" w:space="0" w:color="000000"/>
              <w:bottom w:val="nil"/>
            </w:tcBorders>
          </w:tcPr>
          <w:p w:rsidR="00B070BF" w:rsidRPr="009577DE" w:rsidRDefault="00B070BF" w:rsidP="00C33D4A">
            <w:pPr>
              <w:keepNext/>
              <w:keepLines/>
              <w:autoSpaceDE w:val="0"/>
              <w:autoSpaceDN w:val="0"/>
              <w:adjustRightInd w:val="0"/>
              <w:spacing w:before="120" w:after="120"/>
              <w:rPr>
                <w:sz w:val="16"/>
                <w:szCs w:val="16"/>
                <w:lang w:val="es-ES_tradnl"/>
              </w:rPr>
            </w:pPr>
            <w:r w:rsidRPr="009577DE">
              <w:rPr>
                <w:sz w:val="16"/>
                <w:szCs w:val="16"/>
                <w:lang w:val="es-ES_tradnl"/>
              </w:rPr>
              <w:t xml:space="preserve">La primera parte del curso de formación de dos semanas de duración versó sobre el uso de las tecnologías de la información para la administración de la propiedad intelectual;  la segunda parte del curso giró en torno a la experiencia de la JPO en lo que atañe a la automatización y a los actuales </w:t>
            </w:r>
            <w:r w:rsidRPr="009577DE">
              <w:rPr>
                <w:snapToGrid w:val="0"/>
                <w:sz w:val="16"/>
                <w:szCs w:val="16"/>
                <w:lang w:val="es-ES_tradnl"/>
              </w:rPr>
              <w:t>sistemas de información en materia de P.I</w:t>
            </w:r>
            <w:r w:rsidRPr="009577DE">
              <w:rPr>
                <w:sz w:val="16"/>
                <w:szCs w:val="16"/>
                <w:lang w:val="es-ES_tradnl"/>
              </w:rPr>
              <w:t>.</w:t>
            </w:r>
          </w:p>
        </w:tc>
      </w:tr>
      <w:tr w:rsidR="00B070BF" w:rsidRPr="009577DE" w:rsidTr="00C33D4A">
        <w:tc>
          <w:tcPr>
            <w:tcW w:w="9072" w:type="dxa"/>
            <w:gridSpan w:val="8"/>
            <w:tcBorders>
              <w:top w:val="single" w:sz="4" w:space="0" w:color="auto"/>
              <w:bottom w:val="single" w:sz="4" w:space="0" w:color="000000"/>
            </w:tcBorders>
            <w:shd w:val="clear" w:color="auto" w:fill="CCFFFF"/>
            <w:vAlign w:val="center"/>
          </w:tcPr>
          <w:p w:rsidR="00B070BF" w:rsidRPr="009577DE" w:rsidRDefault="00B070BF" w:rsidP="00C33D4A">
            <w:pPr>
              <w:keepNext/>
              <w:keepLines/>
              <w:tabs>
                <w:tab w:val="left" w:pos="1740"/>
              </w:tabs>
              <w:spacing w:before="120" w:after="120"/>
              <w:ind w:left="1740" w:hanging="1740"/>
              <w:rPr>
                <w:b/>
                <w:bCs/>
                <w:sz w:val="16"/>
                <w:szCs w:val="16"/>
                <w:lang w:val="es-ES_tradnl"/>
              </w:rPr>
            </w:pPr>
            <w:r w:rsidRPr="009577DE">
              <w:rPr>
                <w:b/>
                <w:bCs/>
                <w:sz w:val="16"/>
                <w:szCs w:val="16"/>
                <w:lang w:val="es-ES_tradnl"/>
              </w:rPr>
              <w:t>RESULTADO:</w:t>
            </w:r>
            <w:r w:rsidRPr="009577DE">
              <w:rPr>
                <w:b/>
                <w:bCs/>
                <w:sz w:val="16"/>
                <w:szCs w:val="16"/>
                <w:lang w:val="es-ES_tradnl"/>
              </w:rPr>
              <w:tab/>
            </w:r>
            <w:r w:rsidRPr="009577DE">
              <w:rPr>
                <w:bCs/>
                <w:sz w:val="16"/>
                <w:szCs w:val="16"/>
                <w:lang w:val="es-ES_tradnl"/>
              </w:rPr>
              <w:t>Mejora en la infraestructura técnica y de conocimientos de las oficinas y demás instituciones de P.I. que les permite prestar mejores servicios (más económicos, más rápidos y de mejor calidad) a sus usuarios</w:t>
            </w:r>
          </w:p>
        </w:tc>
      </w:tr>
      <w:tr w:rsidR="00B070BF" w:rsidRPr="009577DE" w:rsidTr="00C33D4A">
        <w:tc>
          <w:tcPr>
            <w:tcW w:w="1843" w:type="dxa"/>
            <w:gridSpan w:val="2"/>
            <w:tcBorders>
              <w:top w:val="single" w:sz="4" w:space="0" w:color="000000"/>
            </w:tcBorders>
            <w:vAlign w:val="center"/>
          </w:tcPr>
          <w:p w:rsidR="00B070BF" w:rsidRPr="009577DE" w:rsidRDefault="00B070BF" w:rsidP="00C33D4A">
            <w:pPr>
              <w:keepNext/>
              <w:keepLines/>
              <w:rPr>
                <w:b/>
                <w:bCs/>
                <w:sz w:val="16"/>
                <w:szCs w:val="16"/>
                <w:lang w:val="es-ES_tradnl"/>
              </w:rPr>
            </w:pPr>
            <w:r w:rsidRPr="009577DE">
              <w:rPr>
                <w:b/>
                <w:bCs/>
                <w:sz w:val="16"/>
                <w:szCs w:val="16"/>
                <w:lang w:val="es-ES_tradnl"/>
              </w:rPr>
              <w:t>Actividad</w:t>
            </w:r>
          </w:p>
        </w:tc>
        <w:tc>
          <w:tcPr>
            <w:tcW w:w="1134" w:type="dxa"/>
            <w:tcBorders>
              <w:top w:val="single" w:sz="4" w:space="0" w:color="000000"/>
            </w:tcBorders>
            <w:shd w:val="clear" w:color="auto" w:fill="auto"/>
            <w:tcMar>
              <w:top w:w="110" w:type="dxa"/>
            </w:tcMar>
            <w:vAlign w:val="center"/>
          </w:tcPr>
          <w:p w:rsidR="00B070BF" w:rsidRPr="009577DE" w:rsidRDefault="00B070BF" w:rsidP="00C33D4A">
            <w:pPr>
              <w:keepNext/>
              <w:keepLines/>
              <w:rPr>
                <w:sz w:val="16"/>
                <w:szCs w:val="16"/>
                <w:lang w:val="es-ES_tradnl"/>
              </w:rPr>
            </w:pPr>
            <w:r w:rsidRPr="009577DE">
              <w:rPr>
                <w:b/>
                <w:bCs/>
                <w:sz w:val="16"/>
                <w:szCs w:val="16"/>
                <w:lang w:val="es-ES_tradnl"/>
              </w:rPr>
              <w:t>Fecha</w:t>
            </w:r>
          </w:p>
        </w:tc>
        <w:tc>
          <w:tcPr>
            <w:tcW w:w="2410" w:type="dxa"/>
            <w:gridSpan w:val="2"/>
            <w:tcBorders>
              <w:top w:val="single" w:sz="4" w:space="0" w:color="000000"/>
            </w:tcBorders>
            <w:shd w:val="clear" w:color="auto" w:fill="auto"/>
            <w:tcMar>
              <w:top w:w="110" w:type="dxa"/>
            </w:tcMar>
            <w:vAlign w:val="center"/>
          </w:tcPr>
          <w:p w:rsidR="00B070BF" w:rsidRPr="009577DE" w:rsidRDefault="00B070BF" w:rsidP="00C33D4A">
            <w:pPr>
              <w:keepNext/>
              <w:keepLines/>
              <w:rPr>
                <w:sz w:val="16"/>
                <w:szCs w:val="16"/>
                <w:lang w:val="es-ES_tradnl"/>
              </w:rPr>
            </w:pPr>
            <w:r w:rsidRPr="009577DE">
              <w:rPr>
                <w:b/>
                <w:bCs/>
                <w:sz w:val="16"/>
                <w:szCs w:val="16"/>
                <w:lang w:val="es-ES_tradnl"/>
              </w:rPr>
              <w:t>País anfitrión/Beneficiarios</w:t>
            </w:r>
          </w:p>
        </w:tc>
        <w:tc>
          <w:tcPr>
            <w:tcW w:w="3685" w:type="dxa"/>
            <w:gridSpan w:val="3"/>
            <w:tcBorders>
              <w:top w:val="single" w:sz="4" w:space="0" w:color="000000"/>
            </w:tcBorders>
            <w:shd w:val="clear" w:color="auto" w:fill="FFFFFF"/>
            <w:tcMar>
              <w:top w:w="110" w:type="dxa"/>
            </w:tcMar>
            <w:vAlign w:val="center"/>
          </w:tcPr>
          <w:p w:rsidR="00B070BF" w:rsidRPr="009577DE" w:rsidRDefault="00B070BF" w:rsidP="00C33D4A">
            <w:pPr>
              <w:keepNext/>
              <w:keepLines/>
              <w:ind w:left="317"/>
              <w:rPr>
                <w:sz w:val="16"/>
                <w:szCs w:val="16"/>
                <w:lang w:val="es-ES_tradnl"/>
              </w:rPr>
            </w:pPr>
            <w:r w:rsidRPr="009577DE">
              <w:rPr>
                <w:b/>
                <w:bCs/>
                <w:sz w:val="16"/>
                <w:szCs w:val="16"/>
                <w:lang w:val="es-ES_tradnl"/>
              </w:rPr>
              <w:t>Propósito/Descripción</w:t>
            </w:r>
          </w:p>
        </w:tc>
      </w:tr>
      <w:tr w:rsidR="00B070BF" w:rsidRPr="009577DE" w:rsidTr="00C33D4A">
        <w:tc>
          <w:tcPr>
            <w:tcW w:w="1843" w:type="dxa"/>
            <w:gridSpan w:val="2"/>
            <w:tcBorders>
              <w:bottom w:val="nil"/>
            </w:tcBorders>
          </w:tcPr>
          <w:p w:rsidR="00B070BF" w:rsidRPr="009577DE" w:rsidRDefault="00B070BF" w:rsidP="00C33D4A">
            <w:pPr>
              <w:autoSpaceDE w:val="0"/>
              <w:autoSpaceDN w:val="0"/>
              <w:adjustRightInd w:val="0"/>
              <w:spacing w:before="120" w:after="120"/>
              <w:rPr>
                <w:sz w:val="16"/>
                <w:szCs w:val="16"/>
                <w:lang w:val="es-ES_tradnl"/>
              </w:rPr>
            </w:pPr>
            <w:r w:rsidRPr="009577DE">
              <w:rPr>
                <w:sz w:val="16"/>
                <w:szCs w:val="16"/>
                <w:lang w:val="es-ES_tradnl"/>
              </w:rPr>
              <w:t>Centros de apoyo a la tecnología y la innovación (CATI) de la OMPI – Curso regional de formación sobre estrategias y técnicas de búsqueda de patentes para los Estados miembros de la OAPI.</w:t>
            </w:r>
          </w:p>
        </w:tc>
        <w:tc>
          <w:tcPr>
            <w:tcW w:w="1134" w:type="dxa"/>
            <w:tcBorders>
              <w:bottom w:val="nil"/>
            </w:tcBorders>
          </w:tcPr>
          <w:p w:rsidR="00B070BF" w:rsidRPr="009577DE" w:rsidRDefault="00B070BF" w:rsidP="00C33D4A">
            <w:pPr>
              <w:autoSpaceDE w:val="0"/>
              <w:autoSpaceDN w:val="0"/>
              <w:adjustRightInd w:val="0"/>
              <w:spacing w:before="120" w:after="120"/>
              <w:rPr>
                <w:sz w:val="16"/>
                <w:szCs w:val="16"/>
                <w:lang w:val="es-ES_tradnl"/>
              </w:rPr>
            </w:pPr>
            <w:r w:rsidRPr="009577DE">
              <w:rPr>
                <w:sz w:val="16"/>
                <w:szCs w:val="16"/>
                <w:lang w:val="es-ES_tradnl"/>
              </w:rPr>
              <w:t>23 y 24 de abril de 2012</w:t>
            </w:r>
          </w:p>
        </w:tc>
        <w:tc>
          <w:tcPr>
            <w:tcW w:w="2693" w:type="dxa"/>
            <w:gridSpan w:val="4"/>
            <w:tcBorders>
              <w:bottom w:val="nil"/>
            </w:tcBorders>
          </w:tcPr>
          <w:p w:rsidR="00B070BF" w:rsidRPr="009577DE" w:rsidRDefault="00B070BF" w:rsidP="00C33D4A">
            <w:pPr>
              <w:autoSpaceDE w:val="0"/>
              <w:autoSpaceDN w:val="0"/>
              <w:adjustRightInd w:val="0"/>
              <w:spacing w:before="120" w:after="120"/>
              <w:rPr>
                <w:sz w:val="16"/>
                <w:szCs w:val="16"/>
                <w:lang w:val="es-ES_tradnl"/>
              </w:rPr>
            </w:pPr>
            <w:r w:rsidRPr="009577DE">
              <w:rPr>
                <w:sz w:val="16"/>
                <w:szCs w:val="16"/>
                <w:lang w:val="es-ES_tradnl"/>
              </w:rPr>
              <w:t>Camerún</w:t>
            </w:r>
          </w:p>
          <w:p w:rsidR="00B070BF" w:rsidRPr="009577DE" w:rsidRDefault="00B070BF" w:rsidP="00C33D4A">
            <w:pPr>
              <w:autoSpaceDE w:val="0"/>
              <w:autoSpaceDN w:val="0"/>
              <w:adjustRightInd w:val="0"/>
              <w:spacing w:before="120" w:after="120"/>
              <w:rPr>
                <w:sz w:val="16"/>
                <w:szCs w:val="16"/>
                <w:lang w:val="es-ES_tradnl"/>
              </w:rPr>
            </w:pPr>
            <w:r w:rsidRPr="009577DE">
              <w:rPr>
                <w:sz w:val="16"/>
                <w:szCs w:val="16"/>
                <w:lang w:val="es-ES_tradnl"/>
              </w:rPr>
              <w:t>16 participantes de 8 países africanos y 11 participantes locales</w:t>
            </w:r>
          </w:p>
          <w:p w:rsidR="00B070BF" w:rsidRPr="009577DE" w:rsidRDefault="00B070BF" w:rsidP="00C33D4A">
            <w:pPr>
              <w:autoSpaceDE w:val="0"/>
              <w:autoSpaceDN w:val="0"/>
              <w:adjustRightInd w:val="0"/>
              <w:spacing w:before="120" w:after="120"/>
              <w:rPr>
                <w:sz w:val="16"/>
                <w:szCs w:val="16"/>
                <w:lang w:val="es-ES_tradnl"/>
              </w:rPr>
            </w:pPr>
          </w:p>
        </w:tc>
        <w:tc>
          <w:tcPr>
            <w:tcW w:w="3402" w:type="dxa"/>
            <w:tcBorders>
              <w:bottom w:val="nil"/>
            </w:tcBorders>
          </w:tcPr>
          <w:p w:rsidR="00B070BF" w:rsidRPr="009577DE" w:rsidRDefault="00B070BF" w:rsidP="00C33D4A">
            <w:pPr>
              <w:spacing w:before="120" w:after="120"/>
              <w:rPr>
                <w:sz w:val="16"/>
                <w:szCs w:val="16"/>
                <w:lang w:val="es-ES_tradnl"/>
              </w:rPr>
            </w:pPr>
            <w:r w:rsidRPr="009577DE">
              <w:rPr>
                <w:sz w:val="16"/>
                <w:szCs w:val="16"/>
                <w:lang w:val="es-ES_tradnl"/>
              </w:rPr>
              <w:t>El objetivo del curso de formación fue fortalecer la capacidad de los Estados miembros para fomentar la innovación y abordar la utilidad, el valor y la difusión de la información sobre patentes para el desarrollo de los sectores comercial, académico y tecnológico.  En el programa de formación se enseñaron estrategias y técnicas de búsqueda de patentes;  se mantuvieron debates sobre el establecimiento de redes de apoyo a la tecnología y la innovación en África.</w:t>
            </w:r>
          </w:p>
        </w:tc>
      </w:tr>
      <w:tr w:rsidR="00B070BF" w:rsidRPr="009577DE" w:rsidTr="00C33D4A">
        <w:tc>
          <w:tcPr>
            <w:tcW w:w="1843" w:type="dxa"/>
            <w:gridSpan w:val="2"/>
            <w:tcBorders>
              <w:top w:val="nil"/>
              <w:bottom w:val="nil"/>
            </w:tcBorders>
          </w:tcPr>
          <w:p w:rsidR="00B070BF" w:rsidRPr="009577DE" w:rsidRDefault="00B070BF" w:rsidP="00C33D4A">
            <w:pPr>
              <w:autoSpaceDE w:val="0"/>
              <w:autoSpaceDN w:val="0"/>
              <w:adjustRightInd w:val="0"/>
              <w:spacing w:before="120" w:after="120"/>
              <w:rPr>
                <w:sz w:val="16"/>
                <w:szCs w:val="16"/>
                <w:lang w:val="es-ES_tradnl"/>
              </w:rPr>
            </w:pPr>
            <w:r w:rsidRPr="009577DE">
              <w:rPr>
                <w:sz w:val="16"/>
                <w:szCs w:val="16"/>
                <w:lang w:val="es-ES_tradnl"/>
              </w:rPr>
              <w:t>Formación sobre estrategias y técnicas de búsqueda de patentes.</w:t>
            </w:r>
          </w:p>
        </w:tc>
        <w:tc>
          <w:tcPr>
            <w:tcW w:w="1134" w:type="dxa"/>
            <w:tcBorders>
              <w:top w:val="nil"/>
              <w:bottom w:val="nil"/>
            </w:tcBorders>
          </w:tcPr>
          <w:p w:rsidR="00B070BF" w:rsidRPr="009577DE" w:rsidRDefault="00B070BF" w:rsidP="00C33D4A">
            <w:pPr>
              <w:keepNext/>
              <w:keepLines/>
              <w:autoSpaceDE w:val="0"/>
              <w:autoSpaceDN w:val="0"/>
              <w:adjustRightInd w:val="0"/>
              <w:spacing w:before="120" w:after="120"/>
              <w:rPr>
                <w:sz w:val="16"/>
                <w:szCs w:val="16"/>
                <w:lang w:val="es-ES_tradnl"/>
              </w:rPr>
            </w:pPr>
            <w:r w:rsidRPr="009577DE">
              <w:rPr>
                <w:sz w:val="16"/>
                <w:szCs w:val="16"/>
                <w:lang w:val="es-ES_tradnl"/>
              </w:rPr>
              <w:t>13 a 15 de junio de 2012</w:t>
            </w:r>
          </w:p>
          <w:p w:rsidR="00B070BF" w:rsidRPr="009577DE" w:rsidRDefault="00B070BF" w:rsidP="00C33D4A">
            <w:pPr>
              <w:keepNext/>
              <w:keepLines/>
              <w:autoSpaceDE w:val="0"/>
              <w:autoSpaceDN w:val="0"/>
              <w:adjustRightInd w:val="0"/>
              <w:spacing w:before="120" w:after="120"/>
              <w:rPr>
                <w:sz w:val="16"/>
                <w:szCs w:val="16"/>
                <w:lang w:val="es-ES_tradnl"/>
              </w:rPr>
            </w:pPr>
          </w:p>
        </w:tc>
        <w:tc>
          <w:tcPr>
            <w:tcW w:w="2693" w:type="dxa"/>
            <w:gridSpan w:val="4"/>
            <w:tcBorders>
              <w:top w:val="nil"/>
              <w:bottom w:val="nil"/>
            </w:tcBorders>
          </w:tcPr>
          <w:p w:rsidR="00B070BF" w:rsidRPr="009577DE" w:rsidRDefault="00B070BF" w:rsidP="00C33D4A">
            <w:pPr>
              <w:keepNext/>
              <w:keepLines/>
              <w:autoSpaceDE w:val="0"/>
              <w:autoSpaceDN w:val="0"/>
              <w:adjustRightInd w:val="0"/>
              <w:spacing w:before="120" w:after="120"/>
              <w:rPr>
                <w:sz w:val="16"/>
                <w:szCs w:val="16"/>
                <w:lang w:val="es-ES_tradnl"/>
              </w:rPr>
            </w:pPr>
            <w:proofErr w:type="spellStart"/>
            <w:r w:rsidRPr="009577DE">
              <w:rPr>
                <w:sz w:val="16"/>
                <w:szCs w:val="16"/>
                <w:lang w:val="es-ES_tradnl"/>
              </w:rPr>
              <w:t>Côte</w:t>
            </w:r>
            <w:proofErr w:type="spellEnd"/>
            <w:r w:rsidRPr="009577DE">
              <w:rPr>
                <w:sz w:val="16"/>
                <w:szCs w:val="16"/>
                <w:lang w:val="es-ES_tradnl"/>
              </w:rPr>
              <w:t xml:space="preserve"> </w:t>
            </w:r>
            <w:proofErr w:type="spellStart"/>
            <w:r w:rsidRPr="009577DE">
              <w:rPr>
                <w:sz w:val="16"/>
                <w:szCs w:val="16"/>
                <w:lang w:val="es-ES_tradnl"/>
              </w:rPr>
              <w:t>d’Ivoire</w:t>
            </w:r>
            <w:proofErr w:type="spellEnd"/>
          </w:p>
          <w:p w:rsidR="00B070BF" w:rsidRPr="009577DE" w:rsidRDefault="00B070BF" w:rsidP="00C33D4A">
            <w:pPr>
              <w:keepNext/>
              <w:keepLines/>
              <w:autoSpaceDE w:val="0"/>
              <w:autoSpaceDN w:val="0"/>
              <w:adjustRightInd w:val="0"/>
              <w:spacing w:before="120" w:after="120"/>
              <w:rPr>
                <w:sz w:val="16"/>
                <w:szCs w:val="16"/>
                <w:lang w:val="es-ES_tradnl"/>
              </w:rPr>
            </w:pPr>
            <w:r w:rsidRPr="009577DE">
              <w:rPr>
                <w:sz w:val="16"/>
                <w:szCs w:val="16"/>
                <w:lang w:val="es-ES_tradnl"/>
              </w:rPr>
              <w:t>70 participantes locales</w:t>
            </w:r>
          </w:p>
          <w:p w:rsidR="00B070BF" w:rsidRPr="009577DE" w:rsidRDefault="00B070BF" w:rsidP="00C33D4A">
            <w:pPr>
              <w:keepNext/>
              <w:keepLines/>
              <w:autoSpaceDE w:val="0"/>
              <w:autoSpaceDN w:val="0"/>
              <w:adjustRightInd w:val="0"/>
              <w:spacing w:before="120" w:after="120"/>
              <w:rPr>
                <w:sz w:val="16"/>
                <w:szCs w:val="16"/>
                <w:lang w:val="es-ES_tradnl"/>
              </w:rPr>
            </w:pPr>
          </w:p>
        </w:tc>
        <w:tc>
          <w:tcPr>
            <w:tcW w:w="3402" w:type="dxa"/>
            <w:tcBorders>
              <w:top w:val="nil"/>
              <w:bottom w:val="nil"/>
            </w:tcBorders>
          </w:tcPr>
          <w:p w:rsidR="00B070BF" w:rsidRPr="009577DE" w:rsidRDefault="00B070BF" w:rsidP="00C33D4A">
            <w:pPr>
              <w:keepNext/>
              <w:keepLines/>
              <w:autoSpaceDE w:val="0"/>
              <w:autoSpaceDN w:val="0"/>
              <w:adjustRightInd w:val="0"/>
              <w:spacing w:before="120" w:after="120"/>
              <w:rPr>
                <w:sz w:val="16"/>
                <w:szCs w:val="16"/>
                <w:lang w:val="es-ES_tradnl"/>
              </w:rPr>
            </w:pPr>
            <w:r w:rsidRPr="009577DE">
              <w:rPr>
                <w:sz w:val="16"/>
                <w:szCs w:val="16"/>
                <w:lang w:val="es-ES_tradnl"/>
              </w:rPr>
              <w:t>El objetivo del curso de formación fue permitir al personal de los CATI, así como a los sectores interesados procedentes de centros de investigación, universidades, asociaciones de inventores y pymes, realizar búsquedas de patentes y otra documentación para obtener información de patentes y otro material bibliográfico.</w:t>
            </w:r>
          </w:p>
        </w:tc>
      </w:tr>
      <w:tr w:rsidR="00B070BF" w:rsidRPr="009577DE" w:rsidTr="00C33D4A">
        <w:tc>
          <w:tcPr>
            <w:tcW w:w="1843" w:type="dxa"/>
            <w:gridSpan w:val="2"/>
            <w:tcBorders>
              <w:top w:val="nil"/>
              <w:bottom w:val="single" w:sz="4" w:space="0" w:color="auto"/>
            </w:tcBorders>
          </w:tcPr>
          <w:p w:rsidR="00B070BF" w:rsidRPr="009577DE" w:rsidRDefault="00B070BF" w:rsidP="00C33D4A">
            <w:pPr>
              <w:keepNext/>
              <w:keepLines/>
              <w:autoSpaceDE w:val="0"/>
              <w:autoSpaceDN w:val="0"/>
              <w:adjustRightInd w:val="0"/>
              <w:spacing w:before="120" w:after="120"/>
              <w:rPr>
                <w:sz w:val="16"/>
                <w:szCs w:val="16"/>
                <w:lang w:val="es-ES_tradnl"/>
              </w:rPr>
            </w:pPr>
            <w:r w:rsidRPr="009577DE">
              <w:rPr>
                <w:sz w:val="16"/>
                <w:szCs w:val="16"/>
                <w:lang w:val="es-ES_tradnl"/>
              </w:rPr>
              <w:t>Taller Regional para examinadores de patentes de países de habla inglesa sobre utilización de resultados de examen de otras oficinas de P.I.</w:t>
            </w:r>
          </w:p>
          <w:p w:rsidR="00B070BF" w:rsidRPr="009577DE" w:rsidRDefault="00B070BF" w:rsidP="00C33D4A">
            <w:pPr>
              <w:keepNext/>
              <w:keepLines/>
              <w:autoSpaceDE w:val="0"/>
              <w:autoSpaceDN w:val="0"/>
              <w:adjustRightInd w:val="0"/>
              <w:spacing w:before="120" w:after="120"/>
              <w:rPr>
                <w:sz w:val="16"/>
                <w:szCs w:val="16"/>
                <w:lang w:val="es-ES_tradnl"/>
              </w:rPr>
            </w:pPr>
          </w:p>
        </w:tc>
        <w:tc>
          <w:tcPr>
            <w:tcW w:w="1134" w:type="dxa"/>
            <w:tcBorders>
              <w:top w:val="nil"/>
              <w:bottom w:val="single" w:sz="4" w:space="0" w:color="auto"/>
            </w:tcBorders>
          </w:tcPr>
          <w:p w:rsidR="00B070BF" w:rsidRPr="009577DE" w:rsidRDefault="00B070BF" w:rsidP="00C33D4A">
            <w:pPr>
              <w:keepNext/>
              <w:keepLines/>
              <w:autoSpaceDE w:val="0"/>
              <w:autoSpaceDN w:val="0"/>
              <w:adjustRightInd w:val="0"/>
              <w:spacing w:before="120" w:after="120"/>
              <w:rPr>
                <w:sz w:val="16"/>
                <w:szCs w:val="16"/>
                <w:lang w:val="es-ES_tradnl"/>
              </w:rPr>
            </w:pPr>
            <w:r w:rsidRPr="009577DE">
              <w:rPr>
                <w:sz w:val="16"/>
                <w:szCs w:val="16"/>
                <w:lang w:val="es-ES_tradnl"/>
              </w:rPr>
              <w:t>10 a 12 de julio de 2012</w:t>
            </w:r>
          </w:p>
          <w:p w:rsidR="00B070BF" w:rsidRPr="009577DE" w:rsidRDefault="00B070BF" w:rsidP="00C33D4A">
            <w:pPr>
              <w:keepNext/>
              <w:keepLines/>
              <w:autoSpaceDE w:val="0"/>
              <w:autoSpaceDN w:val="0"/>
              <w:adjustRightInd w:val="0"/>
              <w:spacing w:before="120" w:after="120"/>
              <w:rPr>
                <w:sz w:val="16"/>
                <w:szCs w:val="16"/>
                <w:lang w:val="es-ES_tradnl"/>
              </w:rPr>
            </w:pPr>
          </w:p>
        </w:tc>
        <w:tc>
          <w:tcPr>
            <w:tcW w:w="2693" w:type="dxa"/>
            <w:gridSpan w:val="4"/>
            <w:tcBorders>
              <w:top w:val="nil"/>
              <w:bottom w:val="single" w:sz="4" w:space="0" w:color="auto"/>
            </w:tcBorders>
          </w:tcPr>
          <w:p w:rsidR="00B070BF" w:rsidRPr="009577DE" w:rsidRDefault="00B070BF" w:rsidP="00C33D4A">
            <w:pPr>
              <w:keepNext/>
              <w:keepLines/>
              <w:autoSpaceDE w:val="0"/>
              <w:autoSpaceDN w:val="0"/>
              <w:adjustRightInd w:val="0"/>
              <w:spacing w:before="120" w:after="120"/>
              <w:rPr>
                <w:sz w:val="16"/>
                <w:szCs w:val="16"/>
                <w:lang w:val="es-ES_tradnl"/>
              </w:rPr>
            </w:pPr>
            <w:proofErr w:type="spellStart"/>
            <w:r w:rsidRPr="009577DE">
              <w:rPr>
                <w:sz w:val="16"/>
                <w:szCs w:val="16"/>
                <w:lang w:val="es-ES_tradnl"/>
              </w:rPr>
              <w:t>Zimbabwe</w:t>
            </w:r>
            <w:proofErr w:type="spellEnd"/>
          </w:p>
          <w:p w:rsidR="00B070BF" w:rsidRPr="009577DE" w:rsidRDefault="00B070BF" w:rsidP="00C33D4A">
            <w:pPr>
              <w:keepNext/>
              <w:keepLines/>
              <w:autoSpaceDE w:val="0"/>
              <w:autoSpaceDN w:val="0"/>
              <w:adjustRightInd w:val="0"/>
              <w:spacing w:before="120" w:after="120"/>
              <w:rPr>
                <w:sz w:val="16"/>
                <w:szCs w:val="16"/>
                <w:lang w:val="es-ES_tradnl"/>
              </w:rPr>
            </w:pPr>
            <w:r w:rsidRPr="009577DE">
              <w:rPr>
                <w:sz w:val="16"/>
                <w:szCs w:val="16"/>
                <w:lang w:val="es-ES_tradnl"/>
              </w:rPr>
              <w:t>17 participantes de 15 países africanos</w:t>
            </w:r>
          </w:p>
          <w:p w:rsidR="00B070BF" w:rsidRPr="009577DE" w:rsidRDefault="00B070BF" w:rsidP="00C33D4A">
            <w:pPr>
              <w:keepNext/>
              <w:keepLines/>
              <w:autoSpaceDE w:val="0"/>
              <w:autoSpaceDN w:val="0"/>
              <w:adjustRightInd w:val="0"/>
              <w:spacing w:before="120" w:after="120"/>
              <w:rPr>
                <w:sz w:val="16"/>
                <w:szCs w:val="16"/>
                <w:lang w:val="es-ES_tradnl"/>
              </w:rPr>
            </w:pPr>
          </w:p>
        </w:tc>
        <w:tc>
          <w:tcPr>
            <w:tcW w:w="3402" w:type="dxa"/>
            <w:tcBorders>
              <w:top w:val="nil"/>
              <w:bottom w:val="single" w:sz="4" w:space="0" w:color="auto"/>
            </w:tcBorders>
          </w:tcPr>
          <w:p w:rsidR="00B070BF" w:rsidRPr="009577DE" w:rsidRDefault="00B070BF" w:rsidP="00C33D4A">
            <w:pPr>
              <w:keepNext/>
              <w:keepLines/>
              <w:autoSpaceDE w:val="0"/>
              <w:autoSpaceDN w:val="0"/>
              <w:adjustRightInd w:val="0"/>
              <w:spacing w:before="120" w:after="120"/>
              <w:rPr>
                <w:sz w:val="16"/>
                <w:szCs w:val="16"/>
                <w:lang w:val="es-ES_tradnl"/>
              </w:rPr>
            </w:pPr>
            <w:r w:rsidRPr="009577DE">
              <w:rPr>
                <w:sz w:val="16"/>
                <w:szCs w:val="16"/>
                <w:lang w:val="es-ES_tradnl"/>
              </w:rPr>
              <w:t xml:space="preserve">Los objetivos del Taller fueron los siguientes:  i) ofrecer a los participantes la oportunidad de comprender la eficacia de utilizar los resultados del examen preliminar (informes de búsqueda y/o examen) preparados por otras oficinas de P.I. en la fase nacional del PCT, o los resultados del examen final (reivindicaciones concedidas o rechazadas) para reducir el volumen de trabajo de las oficinas y agilizar los procedimientos de obtención de patentes;  ii) desarrollar técnicas para utilizar servicios como el de cooperación internacional en el examen, de la OMPI, y la </w:t>
            </w:r>
            <w:proofErr w:type="spellStart"/>
            <w:r w:rsidRPr="009577DE">
              <w:rPr>
                <w:i/>
                <w:sz w:val="16"/>
                <w:szCs w:val="16"/>
                <w:lang w:val="es-ES_tradnl"/>
              </w:rPr>
              <w:t>Advanced</w:t>
            </w:r>
            <w:proofErr w:type="spellEnd"/>
            <w:r w:rsidRPr="009577DE">
              <w:rPr>
                <w:i/>
                <w:sz w:val="16"/>
                <w:szCs w:val="16"/>
                <w:lang w:val="es-ES_tradnl"/>
              </w:rPr>
              <w:t xml:space="preserve"> Industrial </w:t>
            </w:r>
            <w:proofErr w:type="spellStart"/>
            <w:r w:rsidRPr="009577DE">
              <w:rPr>
                <w:i/>
                <w:sz w:val="16"/>
                <w:szCs w:val="16"/>
                <w:lang w:val="es-ES_tradnl"/>
              </w:rPr>
              <w:t>Property</w:t>
            </w:r>
            <w:proofErr w:type="spellEnd"/>
            <w:r w:rsidRPr="009577DE">
              <w:rPr>
                <w:i/>
                <w:sz w:val="16"/>
                <w:szCs w:val="16"/>
                <w:lang w:val="es-ES_tradnl"/>
              </w:rPr>
              <w:t xml:space="preserve"> Network</w:t>
            </w:r>
            <w:r w:rsidRPr="009577DE">
              <w:rPr>
                <w:sz w:val="16"/>
                <w:szCs w:val="16"/>
                <w:lang w:val="es-ES_tradnl"/>
              </w:rPr>
              <w:t xml:space="preserve"> de la Oficina Japonesa de Patentes;  y iii) intercambiar las prácticas óptimas de distintas oficinas de P.I. y examinadores sobre los problemas a los que se enfrentan al agilizar los procesos de examen y mejorar la calidad de las patentes.</w:t>
            </w:r>
          </w:p>
        </w:tc>
      </w:tr>
    </w:tbl>
    <w:p w:rsidR="00B070BF" w:rsidRPr="009577DE" w:rsidRDefault="00B070BF" w:rsidP="00B070BF">
      <w:pPr>
        <w:rPr>
          <w:b/>
          <w:sz w:val="20"/>
          <w:lang w:val="es-ES_tradnl"/>
        </w:rPr>
      </w:pPr>
    </w:p>
    <w:p w:rsidR="00B070BF" w:rsidRPr="009577DE" w:rsidRDefault="00B070BF" w:rsidP="00B070BF">
      <w:pPr>
        <w:rPr>
          <w:b/>
          <w:sz w:val="18"/>
          <w:szCs w:val="18"/>
          <w:lang w:val="es-ES_tradnl"/>
        </w:rPr>
      </w:pPr>
    </w:p>
    <w:p w:rsidR="00B070BF" w:rsidRPr="009577DE" w:rsidRDefault="00B070BF" w:rsidP="00B070BF">
      <w:pPr>
        <w:rPr>
          <w:b/>
          <w:sz w:val="18"/>
          <w:szCs w:val="18"/>
          <w:lang w:val="es-ES_tradnl"/>
        </w:rPr>
      </w:pPr>
      <w:r w:rsidRPr="009577DE">
        <w:rPr>
          <w:b/>
          <w:sz w:val="20"/>
          <w:lang w:val="es-ES_tradnl"/>
        </w:rPr>
        <w:t>JAPÓN – P.I./ÁFRICA–PMA</w:t>
      </w:r>
      <w:r w:rsidRPr="009577DE">
        <w:rPr>
          <w:b/>
          <w:sz w:val="18"/>
          <w:szCs w:val="18"/>
          <w:lang w:val="es-ES_tradnl"/>
        </w:rPr>
        <w:t xml:space="preserve"> – Contribuciones de donantes y gastos en 2012</w:t>
      </w:r>
      <w:r w:rsidRPr="009577DE">
        <w:rPr>
          <w:b/>
          <w:sz w:val="18"/>
          <w:szCs w:val="18"/>
          <w:vertAlign w:val="superscript"/>
          <w:lang w:val="es-ES_tradnl"/>
        </w:rPr>
        <w:t>1</w:t>
      </w:r>
    </w:p>
    <w:p w:rsidR="00B070BF" w:rsidRPr="009577DE" w:rsidRDefault="00B070BF" w:rsidP="00B070BF">
      <w:pPr>
        <w:rPr>
          <w:sz w:val="20"/>
          <w:lang w:val="es-ES_tradn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0"/>
        <w:gridCol w:w="1650"/>
        <w:gridCol w:w="1870"/>
        <w:gridCol w:w="1650"/>
        <w:gridCol w:w="1980"/>
      </w:tblGrid>
      <w:tr w:rsidR="00B070BF" w:rsidRPr="009577DE" w:rsidTr="00C33D4A">
        <w:trPr>
          <w:trHeight w:val="567"/>
        </w:trPr>
        <w:tc>
          <w:tcPr>
            <w:tcW w:w="1870" w:type="dxa"/>
            <w:shd w:val="clear" w:color="auto" w:fill="CCFFFF"/>
            <w:vAlign w:val="center"/>
          </w:tcPr>
          <w:p w:rsidR="00B070BF" w:rsidRPr="009577DE" w:rsidRDefault="00B070BF" w:rsidP="00C33D4A">
            <w:pPr>
              <w:spacing w:after="220"/>
              <w:jc w:val="center"/>
              <w:rPr>
                <w:b/>
                <w:sz w:val="16"/>
                <w:szCs w:val="16"/>
                <w:lang w:val="es-ES_tradnl"/>
              </w:rPr>
            </w:pPr>
            <w:r w:rsidRPr="009577DE">
              <w:rPr>
                <w:b/>
                <w:sz w:val="16"/>
                <w:szCs w:val="16"/>
                <w:lang w:val="es-ES_tradnl"/>
              </w:rPr>
              <w:t>Balance a 31 de diciembre de 2011</w:t>
            </w:r>
          </w:p>
        </w:tc>
        <w:tc>
          <w:tcPr>
            <w:tcW w:w="1650" w:type="dxa"/>
            <w:shd w:val="clear" w:color="auto" w:fill="CCFFFF"/>
            <w:vAlign w:val="center"/>
          </w:tcPr>
          <w:p w:rsidR="00B070BF" w:rsidRPr="009577DE" w:rsidRDefault="00B070BF" w:rsidP="00C33D4A">
            <w:pPr>
              <w:spacing w:after="220"/>
              <w:jc w:val="center"/>
              <w:rPr>
                <w:b/>
                <w:sz w:val="16"/>
                <w:szCs w:val="16"/>
                <w:lang w:val="es-ES_tradnl"/>
              </w:rPr>
            </w:pPr>
            <w:r w:rsidRPr="009577DE">
              <w:rPr>
                <w:b/>
                <w:sz w:val="16"/>
                <w:szCs w:val="16"/>
                <w:lang w:val="es-ES_tradnl"/>
              </w:rPr>
              <w:t>Ingresos en 2012</w:t>
            </w:r>
          </w:p>
        </w:tc>
        <w:tc>
          <w:tcPr>
            <w:tcW w:w="1870" w:type="dxa"/>
            <w:shd w:val="clear" w:color="auto" w:fill="CCFFFF"/>
            <w:vAlign w:val="center"/>
          </w:tcPr>
          <w:p w:rsidR="00B070BF" w:rsidRPr="009577DE" w:rsidRDefault="00B070BF" w:rsidP="00C33D4A">
            <w:pPr>
              <w:spacing w:after="220"/>
              <w:jc w:val="center"/>
              <w:rPr>
                <w:b/>
                <w:sz w:val="16"/>
                <w:szCs w:val="16"/>
                <w:lang w:val="es-ES_tradnl"/>
              </w:rPr>
            </w:pPr>
            <w:r w:rsidRPr="009577DE">
              <w:rPr>
                <w:b/>
                <w:sz w:val="16"/>
                <w:szCs w:val="16"/>
                <w:lang w:val="es-ES_tradnl"/>
              </w:rPr>
              <w:t>Gastos en 2012</w:t>
            </w:r>
          </w:p>
        </w:tc>
        <w:tc>
          <w:tcPr>
            <w:tcW w:w="1650" w:type="dxa"/>
            <w:shd w:val="clear" w:color="auto" w:fill="CCFFFF"/>
            <w:vAlign w:val="center"/>
          </w:tcPr>
          <w:p w:rsidR="00B070BF" w:rsidRPr="009577DE" w:rsidRDefault="00B070BF" w:rsidP="00C33D4A">
            <w:pPr>
              <w:spacing w:after="220"/>
              <w:jc w:val="center"/>
              <w:rPr>
                <w:b/>
                <w:sz w:val="16"/>
                <w:szCs w:val="16"/>
                <w:lang w:val="es-ES_tradnl"/>
              </w:rPr>
            </w:pPr>
            <w:r w:rsidRPr="009577DE">
              <w:rPr>
                <w:b/>
                <w:sz w:val="16"/>
                <w:szCs w:val="16"/>
                <w:lang w:val="es-ES_tradnl"/>
              </w:rPr>
              <w:t>Reembolsos</w:t>
            </w:r>
          </w:p>
        </w:tc>
        <w:tc>
          <w:tcPr>
            <w:tcW w:w="1980" w:type="dxa"/>
            <w:shd w:val="clear" w:color="auto" w:fill="CCFFFF"/>
            <w:vAlign w:val="center"/>
          </w:tcPr>
          <w:p w:rsidR="00B070BF" w:rsidRPr="009577DE" w:rsidRDefault="00B070BF" w:rsidP="00C33D4A">
            <w:pPr>
              <w:spacing w:after="220"/>
              <w:jc w:val="center"/>
              <w:rPr>
                <w:b/>
                <w:sz w:val="16"/>
                <w:szCs w:val="16"/>
                <w:lang w:val="es-ES_tradnl"/>
              </w:rPr>
            </w:pPr>
            <w:r w:rsidRPr="009577DE">
              <w:rPr>
                <w:b/>
                <w:sz w:val="16"/>
                <w:szCs w:val="16"/>
                <w:lang w:val="es-ES_tradnl"/>
              </w:rPr>
              <w:t>Balance a 31 de diciembre de 2012</w:t>
            </w:r>
          </w:p>
        </w:tc>
      </w:tr>
      <w:tr w:rsidR="00B070BF" w:rsidRPr="009577DE" w:rsidTr="00C33D4A">
        <w:trPr>
          <w:trHeight w:val="567"/>
        </w:trPr>
        <w:tc>
          <w:tcPr>
            <w:tcW w:w="1870" w:type="dxa"/>
            <w:shd w:val="clear" w:color="auto" w:fill="auto"/>
            <w:vAlign w:val="center"/>
          </w:tcPr>
          <w:p w:rsidR="00B070BF" w:rsidRPr="009577DE" w:rsidRDefault="00B070BF" w:rsidP="00C33D4A">
            <w:pPr>
              <w:autoSpaceDE w:val="0"/>
              <w:autoSpaceDN w:val="0"/>
              <w:adjustRightInd w:val="0"/>
              <w:spacing w:after="220"/>
              <w:jc w:val="center"/>
              <w:rPr>
                <w:rFonts w:eastAsia="MS Mincho"/>
                <w:sz w:val="16"/>
                <w:szCs w:val="16"/>
                <w:lang w:val="es-ES_tradnl" w:eastAsia="ja-JP" w:bidi="th-TH"/>
              </w:rPr>
            </w:pPr>
            <w:r w:rsidRPr="009577DE">
              <w:rPr>
                <w:rFonts w:eastAsia="MS Mincho"/>
                <w:sz w:val="16"/>
                <w:szCs w:val="16"/>
                <w:lang w:val="es-ES_tradnl" w:eastAsia="ja-JP" w:bidi="th-TH"/>
              </w:rPr>
              <w:t>1.518.458</w:t>
            </w:r>
          </w:p>
        </w:tc>
        <w:tc>
          <w:tcPr>
            <w:tcW w:w="1650" w:type="dxa"/>
            <w:shd w:val="clear" w:color="auto" w:fill="auto"/>
            <w:vAlign w:val="center"/>
          </w:tcPr>
          <w:p w:rsidR="00B070BF" w:rsidRPr="009577DE" w:rsidRDefault="00B070BF" w:rsidP="00C33D4A">
            <w:pPr>
              <w:autoSpaceDE w:val="0"/>
              <w:autoSpaceDN w:val="0"/>
              <w:adjustRightInd w:val="0"/>
              <w:spacing w:after="220"/>
              <w:jc w:val="center"/>
              <w:rPr>
                <w:rFonts w:eastAsia="MS Mincho"/>
                <w:sz w:val="16"/>
                <w:szCs w:val="16"/>
                <w:lang w:val="es-ES_tradnl" w:eastAsia="ja-JP" w:bidi="th-TH"/>
              </w:rPr>
            </w:pPr>
            <w:r>
              <w:rPr>
                <w:rFonts w:eastAsia="MS Mincho"/>
                <w:sz w:val="16"/>
                <w:szCs w:val="16"/>
                <w:lang w:val="es-ES_tradnl" w:eastAsia="ja-JP" w:bidi="th-TH"/>
              </w:rPr>
              <w:t>1.098.445</w:t>
            </w:r>
          </w:p>
        </w:tc>
        <w:tc>
          <w:tcPr>
            <w:tcW w:w="1870" w:type="dxa"/>
            <w:shd w:val="clear" w:color="auto" w:fill="auto"/>
            <w:vAlign w:val="center"/>
          </w:tcPr>
          <w:p w:rsidR="00B070BF" w:rsidRPr="009577DE" w:rsidRDefault="00B070BF" w:rsidP="00C33D4A">
            <w:pPr>
              <w:autoSpaceDE w:val="0"/>
              <w:autoSpaceDN w:val="0"/>
              <w:adjustRightInd w:val="0"/>
              <w:spacing w:after="220"/>
              <w:jc w:val="center"/>
              <w:rPr>
                <w:rFonts w:eastAsia="MS Mincho"/>
                <w:sz w:val="16"/>
                <w:szCs w:val="16"/>
                <w:lang w:val="es-ES_tradnl" w:eastAsia="ja-JP" w:bidi="th-TH"/>
              </w:rPr>
            </w:pPr>
            <w:r w:rsidRPr="009577DE">
              <w:rPr>
                <w:rFonts w:eastAsia="MS Mincho"/>
                <w:sz w:val="16"/>
                <w:szCs w:val="16"/>
                <w:lang w:val="es-ES_tradnl" w:eastAsia="ja-JP" w:bidi="th-TH"/>
              </w:rPr>
              <w:t>1.109.103</w:t>
            </w:r>
          </w:p>
        </w:tc>
        <w:tc>
          <w:tcPr>
            <w:tcW w:w="1650" w:type="dxa"/>
            <w:shd w:val="clear" w:color="auto" w:fill="auto"/>
            <w:vAlign w:val="center"/>
          </w:tcPr>
          <w:p w:rsidR="00B070BF" w:rsidRPr="009577DE" w:rsidRDefault="00B070BF" w:rsidP="00C33D4A">
            <w:pPr>
              <w:autoSpaceDE w:val="0"/>
              <w:autoSpaceDN w:val="0"/>
              <w:adjustRightInd w:val="0"/>
              <w:spacing w:after="220"/>
              <w:jc w:val="center"/>
              <w:rPr>
                <w:rFonts w:eastAsia="MS Mincho"/>
                <w:sz w:val="16"/>
                <w:szCs w:val="16"/>
                <w:lang w:val="es-ES_tradnl" w:eastAsia="ja-JP" w:bidi="th-TH"/>
              </w:rPr>
            </w:pPr>
            <w:r w:rsidRPr="009577DE">
              <w:rPr>
                <w:rFonts w:eastAsia="MS Mincho"/>
                <w:sz w:val="16"/>
                <w:szCs w:val="16"/>
                <w:lang w:val="es-ES_tradnl" w:eastAsia="ja-JP" w:bidi="th-TH"/>
              </w:rPr>
              <w:t>–</w:t>
            </w:r>
          </w:p>
        </w:tc>
        <w:tc>
          <w:tcPr>
            <w:tcW w:w="1980" w:type="dxa"/>
            <w:shd w:val="clear" w:color="auto" w:fill="auto"/>
            <w:vAlign w:val="center"/>
          </w:tcPr>
          <w:p w:rsidR="00B070BF" w:rsidRPr="009577DE" w:rsidRDefault="00B070BF" w:rsidP="00C33D4A">
            <w:pPr>
              <w:autoSpaceDE w:val="0"/>
              <w:autoSpaceDN w:val="0"/>
              <w:adjustRightInd w:val="0"/>
              <w:spacing w:after="220"/>
              <w:jc w:val="center"/>
              <w:rPr>
                <w:rFonts w:eastAsia="MS Mincho"/>
                <w:sz w:val="16"/>
                <w:szCs w:val="16"/>
                <w:lang w:val="es-ES_tradnl" w:eastAsia="ja-JP" w:bidi="th-TH"/>
              </w:rPr>
            </w:pPr>
            <w:r w:rsidRPr="009577DE">
              <w:rPr>
                <w:rFonts w:eastAsia="MS Mincho"/>
                <w:sz w:val="16"/>
                <w:szCs w:val="16"/>
                <w:lang w:val="es-ES_tradnl" w:eastAsia="ja-JP" w:bidi="th-TH"/>
              </w:rPr>
              <w:t>1.507.801</w:t>
            </w:r>
          </w:p>
        </w:tc>
      </w:tr>
    </w:tbl>
    <w:p w:rsidR="00B070BF" w:rsidRPr="009577DE" w:rsidRDefault="00B070BF" w:rsidP="00B070BF">
      <w:pPr>
        <w:spacing w:before="120"/>
        <w:rPr>
          <w:szCs w:val="22"/>
          <w:lang w:val="es-ES_tradnl"/>
        </w:rPr>
      </w:pPr>
      <w:r w:rsidRPr="009577DE">
        <w:rPr>
          <w:i/>
          <w:iCs/>
          <w:sz w:val="16"/>
          <w:szCs w:val="16"/>
          <w:vertAlign w:val="superscript"/>
          <w:lang w:val="es-ES_tradnl"/>
        </w:rPr>
        <w:t xml:space="preserve">1 </w:t>
      </w:r>
      <w:r w:rsidRPr="009577DE">
        <w:rPr>
          <w:i/>
          <w:iCs/>
          <w:sz w:val="16"/>
          <w:szCs w:val="16"/>
          <w:lang w:val="es-ES_tradnl"/>
        </w:rPr>
        <w:t>Estados financieros de la OMPI de 2012 (Anexo III)</w:t>
      </w:r>
    </w:p>
    <w:p w:rsidR="00B070BF" w:rsidRPr="009577DE" w:rsidRDefault="00B070BF" w:rsidP="00B070BF">
      <w:pPr>
        <w:rPr>
          <w:lang w:val="es-ES_tradnl"/>
        </w:rPr>
      </w:pPr>
    </w:p>
    <w:p w:rsidR="00B070BF" w:rsidRPr="009577DE" w:rsidRDefault="00B070BF" w:rsidP="00B070BF">
      <w:pPr>
        <w:rPr>
          <w:b/>
          <w:sz w:val="20"/>
          <w:lang w:val="es-ES_tradnl"/>
        </w:rPr>
      </w:pPr>
    </w:p>
    <w:p w:rsidR="00B070BF" w:rsidRPr="009577DE" w:rsidRDefault="00B070BF" w:rsidP="00B070BF">
      <w:pPr>
        <w:rPr>
          <w:b/>
          <w:sz w:val="20"/>
          <w:lang w:val="es-ES_tradnl"/>
        </w:rPr>
      </w:pPr>
      <w:r w:rsidRPr="009577DE">
        <w:rPr>
          <w:b/>
          <w:sz w:val="20"/>
          <w:lang w:val="es-ES_tradnl"/>
        </w:rPr>
        <w:t>MÉXICO</w:t>
      </w:r>
    </w:p>
    <w:p w:rsidR="00B070BF" w:rsidRPr="009577DE" w:rsidRDefault="00B070BF" w:rsidP="00B070BF">
      <w:pPr>
        <w:rPr>
          <w:b/>
          <w:sz w:val="16"/>
          <w:szCs w:val="16"/>
          <w:lang w:val="es-ES_tradnl"/>
        </w:rPr>
      </w:pPr>
    </w:p>
    <w:tbl>
      <w:tblPr>
        <w:tblW w:w="9072" w:type="dxa"/>
        <w:tblInd w:w="108"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1843"/>
        <w:gridCol w:w="1134"/>
        <w:gridCol w:w="2552"/>
        <w:gridCol w:w="141"/>
        <w:gridCol w:w="142"/>
        <w:gridCol w:w="3260"/>
      </w:tblGrid>
      <w:tr w:rsidR="00B070BF" w:rsidRPr="009577DE" w:rsidTr="00C33D4A">
        <w:tc>
          <w:tcPr>
            <w:tcW w:w="9072" w:type="dxa"/>
            <w:gridSpan w:val="6"/>
            <w:tcBorders>
              <w:top w:val="single" w:sz="4" w:space="0" w:color="000000"/>
              <w:bottom w:val="single" w:sz="4" w:space="0" w:color="000000"/>
            </w:tcBorders>
            <w:shd w:val="clear" w:color="auto" w:fill="CCFFFF"/>
            <w:vAlign w:val="center"/>
          </w:tcPr>
          <w:p w:rsidR="00B070BF" w:rsidRPr="009577DE" w:rsidRDefault="00B070BF" w:rsidP="00C33D4A">
            <w:pPr>
              <w:keepNext/>
              <w:keepLines/>
              <w:tabs>
                <w:tab w:val="left" w:pos="1740"/>
              </w:tabs>
              <w:spacing w:before="120" w:after="120"/>
              <w:ind w:left="1740" w:hanging="1740"/>
              <w:rPr>
                <w:b/>
                <w:bCs/>
                <w:sz w:val="16"/>
                <w:szCs w:val="16"/>
                <w:lang w:val="es-ES_tradnl"/>
              </w:rPr>
            </w:pPr>
            <w:r w:rsidRPr="009577DE">
              <w:rPr>
                <w:b/>
                <w:bCs/>
                <w:sz w:val="16"/>
                <w:szCs w:val="16"/>
                <w:lang w:val="es-ES_tradnl"/>
              </w:rPr>
              <w:lastRenderedPageBreak/>
              <w:t>RESULTADO:</w:t>
            </w:r>
            <w:r w:rsidRPr="009577DE">
              <w:rPr>
                <w:bCs/>
                <w:sz w:val="16"/>
                <w:szCs w:val="16"/>
                <w:lang w:val="es-ES_tradnl"/>
              </w:rPr>
              <w:tab/>
              <w:t>Mejora en el acceso a la información y los conocimientos sobre P.I. y su utilización por las instituciones de P.I. y el público, para fomentar la innovación y aumentar el acceso a las obras que son fruto de la creatividad, tanto las que están protegidas como las que se encuentran en el dominio público.</w:t>
            </w:r>
          </w:p>
        </w:tc>
      </w:tr>
      <w:tr w:rsidR="00B070BF" w:rsidRPr="009577DE" w:rsidTr="00C33D4A">
        <w:tc>
          <w:tcPr>
            <w:tcW w:w="1843" w:type="dxa"/>
            <w:tcBorders>
              <w:top w:val="single" w:sz="4" w:space="0" w:color="000000"/>
            </w:tcBorders>
            <w:vAlign w:val="center"/>
          </w:tcPr>
          <w:p w:rsidR="00B070BF" w:rsidRPr="009577DE" w:rsidRDefault="00B070BF" w:rsidP="00C33D4A">
            <w:pPr>
              <w:keepNext/>
              <w:keepLines/>
              <w:rPr>
                <w:b/>
                <w:bCs/>
                <w:sz w:val="16"/>
                <w:szCs w:val="16"/>
                <w:lang w:val="es-ES_tradnl"/>
              </w:rPr>
            </w:pPr>
            <w:r w:rsidRPr="009577DE">
              <w:rPr>
                <w:b/>
                <w:bCs/>
                <w:sz w:val="16"/>
                <w:szCs w:val="16"/>
                <w:lang w:val="es-ES_tradnl"/>
              </w:rPr>
              <w:t>Actividad</w:t>
            </w:r>
          </w:p>
        </w:tc>
        <w:tc>
          <w:tcPr>
            <w:tcW w:w="1134" w:type="dxa"/>
            <w:tcBorders>
              <w:top w:val="single" w:sz="4" w:space="0" w:color="000000"/>
            </w:tcBorders>
            <w:shd w:val="clear" w:color="auto" w:fill="auto"/>
            <w:tcMar>
              <w:top w:w="110" w:type="dxa"/>
            </w:tcMar>
            <w:vAlign w:val="center"/>
          </w:tcPr>
          <w:p w:rsidR="00B070BF" w:rsidRPr="009577DE" w:rsidRDefault="00B070BF" w:rsidP="00C33D4A">
            <w:pPr>
              <w:keepNext/>
              <w:keepLines/>
              <w:rPr>
                <w:sz w:val="16"/>
                <w:szCs w:val="16"/>
                <w:lang w:val="es-ES_tradnl"/>
              </w:rPr>
            </w:pPr>
            <w:r w:rsidRPr="009577DE">
              <w:rPr>
                <w:b/>
                <w:bCs/>
                <w:sz w:val="16"/>
                <w:szCs w:val="16"/>
                <w:lang w:val="es-ES_tradnl"/>
              </w:rPr>
              <w:t>Fecha</w:t>
            </w:r>
          </w:p>
        </w:tc>
        <w:tc>
          <w:tcPr>
            <w:tcW w:w="2552" w:type="dxa"/>
            <w:tcBorders>
              <w:top w:val="single" w:sz="4" w:space="0" w:color="000000"/>
            </w:tcBorders>
            <w:shd w:val="clear" w:color="auto" w:fill="auto"/>
            <w:tcMar>
              <w:top w:w="110" w:type="dxa"/>
            </w:tcMar>
            <w:vAlign w:val="center"/>
          </w:tcPr>
          <w:p w:rsidR="00B070BF" w:rsidRPr="009577DE" w:rsidRDefault="00B070BF" w:rsidP="00C33D4A">
            <w:pPr>
              <w:keepNext/>
              <w:keepLines/>
              <w:rPr>
                <w:sz w:val="16"/>
                <w:szCs w:val="16"/>
                <w:lang w:val="es-ES_tradnl"/>
              </w:rPr>
            </w:pPr>
            <w:r w:rsidRPr="009577DE">
              <w:rPr>
                <w:b/>
                <w:bCs/>
                <w:sz w:val="16"/>
                <w:szCs w:val="16"/>
                <w:lang w:val="es-ES_tradnl"/>
              </w:rPr>
              <w:t>País anfitrión/Beneficiarios</w:t>
            </w:r>
          </w:p>
        </w:tc>
        <w:tc>
          <w:tcPr>
            <w:tcW w:w="3543" w:type="dxa"/>
            <w:gridSpan w:val="3"/>
            <w:tcBorders>
              <w:top w:val="single" w:sz="4" w:space="0" w:color="000000"/>
            </w:tcBorders>
            <w:shd w:val="clear" w:color="auto" w:fill="FFFFFF"/>
            <w:tcMar>
              <w:top w:w="110" w:type="dxa"/>
            </w:tcMar>
            <w:vAlign w:val="center"/>
          </w:tcPr>
          <w:p w:rsidR="00B070BF" w:rsidRPr="009577DE" w:rsidRDefault="00B070BF" w:rsidP="00C33D4A">
            <w:pPr>
              <w:keepNext/>
              <w:keepLines/>
              <w:rPr>
                <w:sz w:val="16"/>
                <w:szCs w:val="16"/>
                <w:lang w:val="es-ES_tradnl"/>
              </w:rPr>
            </w:pPr>
            <w:r w:rsidRPr="009577DE">
              <w:rPr>
                <w:b/>
                <w:bCs/>
                <w:sz w:val="16"/>
                <w:szCs w:val="16"/>
                <w:lang w:val="es-ES_tradnl"/>
              </w:rPr>
              <w:t>Propósito/Descripción</w:t>
            </w:r>
          </w:p>
        </w:tc>
      </w:tr>
      <w:tr w:rsidR="00B070BF" w:rsidRPr="009577DE" w:rsidTr="00C33D4A">
        <w:trPr>
          <w:trHeight w:val="530"/>
        </w:trPr>
        <w:tc>
          <w:tcPr>
            <w:tcW w:w="1843" w:type="dxa"/>
          </w:tcPr>
          <w:p w:rsidR="00B070BF" w:rsidRPr="009577DE" w:rsidRDefault="00B070BF" w:rsidP="00C33D4A">
            <w:pPr>
              <w:autoSpaceDE w:val="0"/>
              <w:autoSpaceDN w:val="0"/>
              <w:adjustRightInd w:val="0"/>
              <w:spacing w:before="120" w:after="120"/>
              <w:rPr>
                <w:sz w:val="16"/>
                <w:szCs w:val="16"/>
                <w:lang w:val="es-ES_tradnl"/>
              </w:rPr>
            </w:pPr>
            <w:r w:rsidRPr="009577DE">
              <w:rPr>
                <w:sz w:val="16"/>
                <w:szCs w:val="16"/>
                <w:lang w:val="es-ES_tradnl"/>
              </w:rPr>
              <w:t>Primera Exposición Internacional sobre innovación y empresas.</w:t>
            </w:r>
          </w:p>
        </w:tc>
        <w:tc>
          <w:tcPr>
            <w:tcW w:w="1134" w:type="dxa"/>
          </w:tcPr>
          <w:p w:rsidR="00B070BF" w:rsidRPr="009577DE" w:rsidRDefault="00B070BF" w:rsidP="00C33D4A">
            <w:pPr>
              <w:autoSpaceDE w:val="0"/>
              <w:autoSpaceDN w:val="0"/>
              <w:adjustRightInd w:val="0"/>
              <w:spacing w:before="120" w:after="120"/>
              <w:rPr>
                <w:sz w:val="16"/>
                <w:szCs w:val="16"/>
                <w:lang w:val="es-ES_tradnl"/>
              </w:rPr>
            </w:pPr>
            <w:r w:rsidRPr="009577DE">
              <w:rPr>
                <w:sz w:val="16"/>
                <w:szCs w:val="16"/>
                <w:lang w:val="es-ES_tradnl"/>
              </w:rPr>
              <w:t>28 de febrero a 1 de marzo de 2012</w:t>
            </w:r>
          </w:p>
        </w:tc>
        <w:tc>
          <w:tcPr>
            <w:tcW w:w="2552" w:type="dxa"/>
          </w:tcPr>
          <w:p w:rsidR="00B070BF" w:rsidRPr="009577DE" w:rsidRDefault="00B070BF" w:rsidP="00C33D4A">
            <w:pPr>
              <w:autoSpaceDE w:val="0"/>
              <w:autoSpaceDN w:val="0"/>
              <w:adjustRightInd w:val="0"/>
              <w:spacing w:before="120" w:after="120"/>
              <w:rPr>
                <w:sz w:val="16"/>
                <w:szCs w:val="16"/>
                <w:lang w:val="es-ES_tradnl"/>
              </w:rPr>
            </w:pPr>
            <w:r w:rsidRPr="009577DE">
              <w:rPr>
                <w:sz w:val="16"/>
                <w:szCs w:val="16"/>
                <w:lang w:val="es-ES_tradnl"/>
              </w:rPr>
              <w:t xml:space="preserve">Argentina, Belice, Brasil, Chile, Colombia, Costa Rica, Cuba, Ecuador, El Salvador, Guatemala, Honduras, México, Nicaragua, Panamá, Paraguay, Perú, República Dominicana, Uruguay, y representantes de la ARIPO establecidos en </w:t>
            </w:r>
            <w:proofErr w:type="spellStart"/>
            <w:r w:rsidRPr="009577DE">
              <w:rPr>
                <w:sz w:val="16"/>
                <w:szCs w:val="16"/>
                <w:lang w:val="es-ES_tradnl"/>
              </w:rPr>
              <w:t>Zimbabwe</w:t>
            </w:r>
            <w:proofErr w:type="spellEnd"/>
          </w:p>
        </w:tc>
        <w:tc>
          <w:tcPr>
            <w:tcW w:w="3543" w:type="dxa"/>
            <w:gridSpan w:val="3"/>
          </w:tcPr>
          <w:p w:rsidR="00B070BF" w:rsidRPr="009577DE" w:rsidRDefault="00B070BF" w:rsidP="00C33D4A">
            <w:pPr>
              <w:autoSpaceDE w:val="0"/>
              <w:autoSpaceDN w:val="0"/>
              <w:adjustRightInd w:val="0"/>
              <w:spacing w:before="120" w:after="120"/>
              <w:rPr>
                <w:sz w:val="16"/>
                <w:szCs w:val="16"/>
                <w:lang w:val="es-ES_tradnl"/>
              </w:rPr>
            </w:pPr>
            <w:r w:rsidRPr="009577DE">
              <w:rPr>
                <w:sz w:val="16"/>
                <w:szCs w:val="16"/>
                <w:lang w:val="es-ES_tradnl"/>
              </w:rPr>
              <w:t>Promover la investigación y el desarrollo (I+D), la innovación y la protección de la P.I., la comercialización de los conocimientos sobre P.I. y el acceso a ellos.</w:t>
            </w:r>
          </w:p>
        </w:tc>
      </w:tr>
      <w:tr w:rsidR="00B070BF" w:rsidRPr="009577DE" w:rsidTr="00C33D4A">
        <w:tc>
          <w:tcPr>
            <w:tcW w:w="9072" w:type="dxa"/>
            <w:gridSpan w:val="6"/>
            <w:tcBorders>
              <w:top w:val="single" w:sz="4" w:space="0" w:color="000000"/>
              <w:bottom w:val="single" w:sz="4" w:space="0" w:color="000000"/>
            </w:tcBorders>
            <w:shd w:val="clear" w:color="auto" w:fill="CCFFFF"/>
            <w:vAlign w:val="center"/>
          </w:tcPr>
          <w:p w:rsidR="00B070BF" w:rsidRPr="009577DE" w:rsidRDefault="00B070BF" w:rsidP="00C33D4A">
            <w:pPr>
              <w:keepLines/>
              <w:tabs>
                <w:tab w:val="left" w:pos="1740"/>
              </w:tabs>
              <w:spacing w:before="120" w:after="120"/>
              <w:ind w:left="1740" w:hanging="1740"/>
              <w:rPr>
                <w:b/>
                <w:bCs/>
                <w:sz w:val="16"/>
                <w:szCs w:val="16"/>
                <w:lang w:val="es-ES_tradnl"/>
              </w:rPr>
            </w:pPr>
            <w:r w:rsidRPr="009577DE">
              <w:rPr>
                <w:b/>
                <w:bCs/>
                <w:sz w:val="16"/>
                <w:szCs w:val="16"/>
                <w:lang w:val="es-ES_tradnl"/>
              </w:rPr>
              <w:t>RESULTADO:</w:t>
            </w:r>
            <w:r w:rsidRPr="009577DE">
              <w:rPr>
                <w:b/>
                <w:bCs/>
                <w:sz w:val="16"/>
                <w:szCs w:val="16"/>
                <w:lang w:val="es-ES_tradnl"/>
              </w:rPr>
              <w:tab/>
            </w:r>
            <w:r w:rsidRPr="009577DE">
              <w:rPr>
                <w:bCs/>
                <w:sz w:val="16"/>
                <w:szCs w:val="16"/>
                <w:lang w:val="es-ES_tradnl"/>
              </w:rPr>
              <w:t>Mejora de las capacidades en el ámbito de los recursos humanos para hacer frente al amplio espectro de exigencias que supone la utilización de la P.I. en aras del desarrollo en los países en desarrollo</w:t>
            </w:r>
          </w:p>
        </w:tc>
      </w:tr>
      <w:tr w:rsidR="00B070BF" w:rsidRPr="009577DE" w:rsidTr="00C33D4A">
        <w:tc>
          <w:tcPr>
            <w:tcW w:w="1843" w:type="dxa"/>
            <w:tcBorders>
              <w:top w:val="single" w:sz="4" w:space="0" w:color="000000"/>
            </w:tcBorders>
            <w:vAlign w:val="center"/>
          </w:tcPr>
          <w:p w:rsidR="00B070BF" w:rsidRPr="009577DE" w:rsidRDefault="00B070BF" w:rsidP="00C33D4A">
            <w:pPr>
              <w:keepLines/>
              <w:rPr>
                <w:b/>
                <w:bCs/>
                <w:sz w:val="16"/>
                <w:szCs w:val="16"/>
                <w:lang w:val="es-ES_tradnl"/>
              </w:rPr>
            </w:pPr>
            <w:r w:rsidRPr="009577DE">
              <w:rPr>
                <w:b/>
                <w:bCs/>
                <w:sz w:val="16"/>
                <w:szCs w:val="16"/>
                <w:lang w:val="es-ES_tradnl"/>
              </w:rPr>
              <w:t>Actividad</w:t>
            </w:r>
          </w:p>
        </w:tc>
        <w:tc>
          <w:tcPr>
            <w:tcW w:w="1134" w:type="dxa"/>
            <w:tcBorders>
              <w:top w:val="single" w:sz="4" w:space="0" w:color="000000"/>
            </w:tcBorders>
            <w:shd w:val="clear" w:color="auto" w:fill="auto"/>
            <w:tcMar>
              <w:top w:w="110" w:type="dxa"/>
            </w:tcMar>
            <w:vAlign w:val="center"/>
          </w:tcPr>
          <w:p w:rsidR="00B070BF" w:rsidRPr="009577DE" w:rsidRDefault="00B070BF" w:rsidP="00C33D4A">
            <w:pPr>
              <w:keepLines/>
              <w:rPr>
                <w:sz w:val="16"/>
                <w:szCs w:val="16"/>
                <w:lang w:val="es-ES_tradnl"/>
              </w:rPr>
            </w:pPr>
            <w:r w:rsidRPr="009577DE">
              <w:rPr>
                <w:b/>
                <w:bCs/>
                <w:sz w:val="16"/>
                <w:szCs w:val="16"/>
                <w:lang w:val="es-ES_tradnl"/>
              </w:rPr>
              <w:t>Fecha</w:t>
            </w:r>
          </w:p>
        </w:tc>
        <w:tc>
          <w:tcPr>
            <w:tcW w:w="2693" w:type="dxa"/>
            <w:gridSpan w:val="2"/>
            <w:tcBorders>
              <w:top w:val="single" w:sz="4" w:space="0" w:color="000000"/>
            </w:tcBorders>
            <w:shd w:val="clear" w:color="auto" w:fill="auto"/>
            <w:tcMar>
              <w:top w:w="110" w:type="dxa"/>
            </w:tcMar>
            <w:vAlign w:val="center"/>
          </w:tcPr>
          <w:p w:rsidR="00B070BF" w:rsidRPr="009577DE" w:rsidRDefault="00B070BF" w:rsidP="00C33D4A">
            <w:pPr>
              <w:keepLines/>
              <w:rPr>
                <w:sz w:val="16"/>
                <w:szCs w:val="16"/>
                <w:lang w:val="es-ES_tradnl"/>
              </w:rPr>
            </w:pPr>
            <w:r w:rsidRPr="009577DE">
              <w:rPr>
                <w:b/>
                <w:bCs/>
                <w:sz w:val="16"/>
                <w:szCs w:val="16"/>
                <w:lang w:val="es-ES_tradnl"/>
              </w:rPr>
              <w:t>País anfitrión/Beneficiarios</w:t>
            </w:r>
          </w:p>
        </w:tc>
        <w:tc>
          <w:tcPr>
            <w:tcW w:w="3402" w:type="dxa"/>
            <w:gridSpan w:val="2"/>
            <w:tcBorders>
              <w:top w:val="single" w:sz="4" w:space="0" w:color="000000"/>
            </w:tcBorders>
            <w:shd w:val="clear" w:color="auto" w:fill="FFFFFF"/>
            <w:tcMar>
              <w:top w:w="110" w:type="dxa"/>
            </w:tcMar>
            <w:vAlign w:val="center"/>
          </w:tcPr>
          <w:p w:rsidR="00B070BF" w:rsidRPr="009577DE" w:rsidRDefault="00B070BF" w:rsidP="00C33D4A">
            <w:pPr>
              <w:keepLines/>
              <w:rPr>
                <w:sz w:val="16"/>
                <w:szCs w:val="16"/>
                <w:lang w:val="es-ES_tradnl"/>
              </w:rPr>
            </w:pPr>
            <w:r w:rsidRPr="009577DE">
              <w:rPr>
                <w:b/>
                <w:bCs/>
                <w:sz w:val="16"/>
                <w:szCs w:val="16"/>
                <w:lang w:val="es-ES_tradnl"/>
              </w:rPr>
              <w:t>Propósito/Descripción</w:t>
            </w:r>
          </w:p>
        </w:tc>
      </w:tr>
      <w:tr w:rsidR="00B070BF" w:rsidRPr="009577DE" w:rsidTr="00C33D4A">
        <w:trPr>
          <w:trHeight w:val="528"/>
        </w:trPr>
        <w:tc>
          <w:tcPr>
            <w:tcW w:w="1843" w:type="dxa"/>
          </w:tcPr>
          <w:p w:rsidR="00B070BF" w:rsidRPr="009577DE" w:rsidRDefault="00B070BF" w:rsidP="00C33D4A">
            <w:pPr>
              <w:autoSpaceDE w:val="0"/>
              <w:autoSpaceDN w:val="0"/>
              <w:adjustRightInd w:val="0"/>
              <w:spacing w:before="120" w:after="120"/>
              <w:rPr>
                <w:sz w:val="16"/>
                <w:szCs w:val="16"/>
                <w:lang w:val="es-ES_tradnl"/>
              </w:rPr>
            </w:pPr>
            <w:r w:rsidRPr="009577DE">
              <w:rPr>
                <w:sz w:val="16"/>
                <w:szCs w:val="16"/>
                <w:lang w:val="es-ES_tradnl"/>
              </w:rPr>
              <w:t>Seminario Internacional sobre procedimientos de oposición</w:t>
            </w:r>
          </w:p>
        </w:tc>
        <w:tc>
          <w:tcPr>
            <w:tcW w:w="1134" w:type="dxa"/>
          </w:tcPr>
          <w:p w:rsidR="00B070BF" w:rsidRPr="009577DE" w:rsidRDefault="00B070BF" w:rsidP="00C33D4A">
            <w:pPr>
              <w:autoSpaceDE w:val="0"/>
              <w:autoSpaceDN w:val="0"/>
              <w:adjustRightInd w:val="0"/>
              <w:spacing w:before="120" w:after="120"/>
              <w:rPr>
                <w:sz w:val="16"/>
                <w:szCs w:val="16"/>
                <w:lang w:val="es-ES_tradnl"/>
              </w:rPr>
            </w:pPr>
            <w:r w:rsidRPr="009577DE">
              <w:rPr>
                <w:sz w:val="16"/>
                <w:szCs w:val="16"/>
                <w:lang w:val="es-ES_tradnl"/>
              </w:rPr>
              <w:t>28 de agosto de 2012</w:t>
            </w:r>
          </w:p>
        </w:tc>
        <w:tc>
          <w:tcPr>
            <w:tcW w:w="2693" w:type="dxa"/>
            <w:gridSpan w:val="2"/>
          </w:tcPr>
          <w:p w:rsidR="00B070BF" w:rsidRPr="009577DE" w:rsidRDefault="00B070BF" w:rsidP="00C33D4A">
            <w:pPr>
              <w:autoSpaceDE w:val="0"/>
              <w:autoSpaceDN w:val="0"/>
              <w:adjustRightInd w:val="0"/>
              <w:spacing w:before="120" w:after="120"/>
              <w:rPr>
                <w:sz w:val="16"/>
                <w:szCs w:val="16"/>
                <w:lang w:val="es-ES_tradnl"/>
              </w:rPr>
            </w:pPr>
            <w:r w:rsidRPr="009577DE">
              <w:rPr>
                <w:sz w:val="16"/>
                <w:szCs w:val="16"/>
                <w:lang w:val="es-ES_tradnl"/>
              </w:rPr>
              <w:t>México</w:t>
            </w:r>
          </w:p>
        </w:tc>
        <w:tc>
          <w:tcPr>
            <w:tcW w:w="3402" w:type="dxa"/>
            <w:gridSpan w:val="2"/>
          </w:tcPr>
          <w:p w:rsidR="00B070BF" w:rsidRPr="009577DE" w:rsidRDefault="00B070BF" w:rsidP="00C33D4A">
            <w:pPr>
              <w:autoSpaceDE w:val="0"/>
              <w:autoSpaceDN w:val="0"/>
              <w:adjustRightInd w:val="0"/>
              <w:spacing w:before="120" w:after="120"/>
              <w:rPr>
                <w:sz w:val="16"/>
                <w:szCs w:val="16"/>
                <w:lang w:val="es-ES_tradnl"/>
              </w:rPr>
            </w:pPr>
            <w:r w:rsidRPr="009577DE">
              <w:rPr>
                <w:sz w:val="16"/>
                <w:szCs w:val="16"/>
                <w:lang w:val="es-ES_tradnl"/>
              </w:rPr>
              <w:t>Mejora de las capacidades en el ámbito de los recursos humanos con el objetivo de facilitar la aplicación del Protocolo de Madrid a comienzos de 2013.</w:t>
            </w:r>
          </w:p>
        </w:tc>
      </w:tr>
      <w:tr w:rsidR="00B070BF" w:rsidRPr="009577DE" w:rsidTr="00C33D4A">
        <w:tc>
          <w:tcPr>
            <w:tcW w:w="9072" w:type="dxa"/>
            <w:gridSpan w:val="6"/>
            <w:tcBorders>
              <w:top w:val="single" w:sz="4" w:space="0" w:color="000000"/>
              <w:bottom w:val="single" w:sz="4" w:space="0" w:color="000000"/>
            </w:tcBorders>
            <w:shd w:val="clear" w:color="auto" w:fill="CCFFFF"/>
            <w:vAlign w:val="center"/>
          </w:tcPr>
          <w:p w:rsidR="00B070BF" w:rsidRPr="009577DE" w:rsidRDefault="00B070BF" w:rsidP="00C33D4A">
            <w:pPr>
              <w:keepNext/>
              <w:keepLines/>
              <w:tabs>
                <w:tab w:val="left" w:pos="1740"/>
              </w:tabs>
              <w:spacing w:before="120" w:after="120"/>
              <w:ind w:left="1740" w:hanging="1740"/>
              <w:rPr>
                <w:b/>
                <w:bCs/>
                <w:sz w:val="16"/>
                <w:szCs w:val="16"/>
                <w:lang w:val="es-ES_tradnl"/>
              </w:rPr>
            </w:pPr>
            <w:r w:rsidRPr="009577DE">
              <w:rPr>
                <w:b/>
                <w:bCs/>
                <w:sz w:val="16"/>
                <w:szCs w:val="16"/>
                <w:lang w:val="es-ES_tradnl"/>
              </w:rPr>
              <w:t>RESULTADO:</w:t>
            </w:r>
            <w:r w:rsidRPr="009577DE">
              <w:rPr>
                <w:bCs/>
                <w:sz w:val="16"/>
                <w:szCs w:val="16"/>
                <w:lang w:val="es-ES_tradnl"/>
              </w:rPr>
              <w:tab/>
              <w:t>Políticas nacionales de innovación y de P.I. claramente definidas y coherentes, estrategias y planes de desarrollo que estén en sintonía con las metas y los objetivos nacionales de desarrollo.</w:t>
            </w:r>
          </w:p>
        </w:tc>
      </w:tr>
      <w:tr w:rsidR="00B070BF" w:rsidRPr="009577DE" w:rsidTr="00C33D4A">
        <w:tc>
          <w:tcPr>
            <w:tcW w:w="1843" w:type="dxa"/>
            <w:tcBorders>
              <w:top w:val="single" w:sz="4" w:space="0" w:color="000000"/>
            </w:tcBorders>
            <w:vAlign w:val="center"/>
          </w:tcPr>
          <w:p w:rsidR="00B070BF" w:rsidRPr="009577DE" w:rsidRDefault="00B070BF" w:rsidP="00C33D4A">
            <w:pPr>
              <w:keepNext/>
              <w:keepLines/>
              <w:rPr>
                <w:b/>
                <w:bCs/>
                <w:sz w:val="16"/>
                <w:szCs w:val="16"/>
                <w:lang w:val="es-ES_tradnl"/>
              </w:rPr>
            </w:pPr>
            <w:r w:rsidRPr="009577DE">
              <w:rPr>
                <w:b/>
                <w:bCs/>
                <w:sz w:val="16"/>
                <w:szCs w:val="16"/>
                <w:lang w:val="es-ES_tradnl"/>
              </w:rPr>
              <w:t>Actividad</w:t>
            </w:r>
          </w:p>
        </w:tc>
        <w:tc>
          <w:tcPr>
            <w:tcW w:w="1134" w:type="dxa"/>
            <w:tcBorders>
              <w:top w:val="single" w:sz="4" w:space="0" w:color="000000"/>
            </w:tcBorders>
            <w:shd w:val="clear" w:color="auto" w:fill="auto"/>
            <w:tcMar>
              <w:top w:w="110" w:type="dxa"/>
            </w:tcMar>
            <w:vAlign w:val="center"/>
          </w:tcPr>
          <w:p w:rsidR="00B070BF" w:rsidRPr="009577DE" w:rsidRDefault="00B070BF" w:rsidP="00C33D4A">
            <w:pPr>
              <w:keepNext/>
              <w:keepLines/>
              <w:rPr>
                <w:sz w:val="16"/>
                <w:szCs w:val="16"/>
                <w:lang w:val="es-ES_tradnl"/>
              </w:rPr>
            </w:pPr>
            <w:r w:rsidRPr="009577DE">
              <w:rPr>
                <w:b/>
                <w:bCs/>
                <w:sz w:val="16"/>
                <w:szCs w:val="16"/>
                <w:lang w:val="es-ES_tradnl"/>
              </w:rPr>
              <w:t>Fecha</w:t>
            </w:r>
          </w:p>
        </w:tc>
        <w:tc>
          <w:tcPr>
            <w:tcW w:w="2835" w:type="dxa"/>
            <w:gridSpan w:val="3"/>
            <w:tcBorders>
              <w:top w:val="single" w:sz="4" w:space="0" w:color="000000"/>
            </w:tcBorders>
            <w:shd w:val="clear" w:color="auto" w:fill="auto"/>
            <w:tcMar>
              <w:top w:w="110" w:type="dxa"/>
            </w:tcMar>
            <w:vAlign w:val="center"/>
          </w:tcPr>
          <w:p w:rsidR="00B070BF" w:rsidRPr="009577DE" w:rsidRDefault="00B070BF" w:rsidP="00C33D4A">
            <w:pPr>
              <w:keepNext/>
              <w:keepLines/>
              <w:rPr>
                <w:sz w:val="16"/>
                <w:szCs w:val="16"/>
                <w:lang w:val="es-ES_tradnl"/>
              </w:rPr>
            </w:pPr>
            <w:r w:rsidRPr="009577DE">
              <w:rPr>
                <w:b/>
                <w:bCs/>
                <w:sz w:val="16"/>
                <w:szCs w:val="16"/>
                <w:lang w:val="es-ES_tradnl"/>
              </w:rPr>
              <w:t>País anfitrión/Beneficiarios</w:t>
            </w:r>
          </w:p>
        </w:tc>
        <w:tc>
          <w:tcPr>
            <w:tcW w:w="3260" w:type="dxa"/>
            <w:tcBorders>
              <w:top w:val="single" w:sz="4" w:space="0" w:color="000000"/>
            </w:tcBorders>
            <w:shd w:val="clear" w:color="auto" w:fill="FFFFFF"/>
            <w:tcMar>
              <w:top w:w="110" w:type="dxa"/>
            </w:tcMar>
            <w:vAlign w:val="center"/>
          </w:tcPr>
          <w:p w:rsidR="00B070BF" w:rsidRPr="009577DE" w:rsidRDefault="00B070BF" w:rsidP="00C33D4A">
            <w:pPr>
              <w:keepNext/>
              <w:keepLines/>
              <w:rPr>
                <w:sz w:val="16"/>
                <w:szCs w:val="16"/>
                <w:lang w:val="es-ES_tradnl"/>
              </w:rPr>
            </w:pPr>
            <w:r w:rsidRPr="009577DE">
              <w:rPr>
                <w:b/>
                <w:bCs/>
                <w:sz w:val="16"/>
                <w:szCs w:val="16"/>
                <w:lang w:val="es-ES_tradnl"/>
              </w:rPr>
              <w:t>Propósito/Descripción</w:t>
            </w:r>
          </w:p>
        </w:tc>
      </w:tr>
      <w:tr w:rsidR="00B070BF" w:rsidRPr="009577DE" w:rsidTr="00C33D4A">
        <w:trPr>
          <w:trHeight w:val="473"/>
        </w:trPr>
        <w:tc>
          <w:tcPr>
            <w:tcW w:w="1843" w:type="dxa"/>
          </w:tcPr>
          <w:p w:rsidR="00B070BF" w:rsidRPr="009577DE" w:rsidRDefault="00B070BF" w:rsidP="00C33D4A">
            <w:pPr>
              <w:keepNext/>
              <w:autoSpaceDE w:val="0"/>
              <w:autoSpaceDN w:val="0"/>
              <w:adjustRightInd w:val="0"/>
              <w:spacing w:before="120" w:after="120"/>
              <w:rPr>
                <w:sz w:val="16"/>
                <w:szCs w:val="16"/>
                <w:lang w:val="es-ES_tradnl"/>
              </w:rPr>
            </w:pPr>
            <w:r w:rsidRPr="009577DE">
              <w:rPr>
                <w:sz w:val="16"/>
                <w:szCs w:val="16"/>
                <w:lang w:val="es-ES_tradnl"/>
              </w:rPr>
              <w:t>Recepción con motivo de la adhesión de México al Protocolo de Madrid.</w:t>
            </w:r>
          </w:p>
        </w:tc>
        <w:tc>
          <w:tcPr>
            <w:tcW w:w="1134" w:type="dxa"/>
          </w:tcPr>
          <w:p w:rsidR="00B070BF" w:rsidRPr="009577DE" w:rsidRDefault="00B070BF" w:rsidP="00C33D4A">
            <w:pPr>
              <w:keepNext/>
              <w:autoSpaceDE w:val="0"/>
              <w:autoSpaceDN w:val="0"/>
              <w:adjustRightInd w:val="0"/>
              <w:spacing w:before="120" w:after="120"/>
              <w:rPr>
                <w:sz w:val="16"/>
                <w:szCs w:val="16"/>
                <w:lang w:val="es-ES_tradnl"/>
              </w:rPr>
            </w:pPr>
            <w:r w:rsidRPr="009577DE">
              <w:rPr>
                <w:sz w:val="16"/>
                <w:szCs w:val="16"/>
                <w:lang w:val="es-ES_tradnl"/>
              </w:rPr>
              <w:t>19 de noviembre de 2012</w:t>
            </w:r>
          </w:p>
        </w:tc>
        <w:tc>
          <w:tcPr>
            <w:tcW w:w="2835" w:type="dxa"/>
            <w:gridSpan w:val="3"/>
          </w:tcPr>
          <w:p w:rsidR="00B070BF" w:rsidRPr="009577DE" w:rsidRDefault="00B070BF" w:rsidP="00C33D4A">
            <w:pPr>
              <w:keepNext/>
              <w:autoSpaceDE w:val="0"/>
              <w:autoSpaceDN w:val="0"/>
              <w:adjustRightInd w:val="0"/>
              <w:spacing w:before="120" w:after="120"/>
              <w:rPr>
                <w:sz w:val="16"/>
                <w:szCs w:val="16"/>
                <w:lang w:val="es-ES_tradnl"/>
              </w:rPr>
            </w:pPr>
            <w:r w:rsidRPr="009577DE">
              <w:rPr>
                <w:sz w:val="16"/>
                <w:szCs w:val="16"/>
                <w:lang w:val="es-ES_tradnl"/>
              </w:rPr>
              <w:t>México</w:t>
            </w:r>
          </w:p>
        </w:tc>
        <w:tc>
          <w:tcPr>
            <w:tcW w:w="3260" w:type="dxa"/>
          </w:tcPr>
          <w:p w:rsidR="00B070BF" w:rsidRPr="009577DE" w:rsidRDefault="00B070BF" w:rsidP="00C33D4A">
            <w:pPr>
              <w:keepNext/>
              <w:autoSpaceDE w:val="0"/>
              <w:autoSpaceDN w:val="0"/>
              <w:adjustRightInd w:val="0"/>
              <w:spacing w:before="120" w:after="120"/>
              <w:rPr>
                <w:sz w:val="16"/>
                <w:szCs w:val="16"/>
                <w:lang w:val="es-ES_tradnl"/>
              </w:rPr>
            </w:pPr>
            <w:r w:rsidRPr="009577DE">
              <w:rPr>
                <w:sz w:val="16"/>
                <w:szCs w:val="16"/>
                <w:lang w:val="es-ES_tradnl"/>
              </w:rPr>
              <w:t>Anunciar formalmente la adhesión de México al Protocolo de Madrid.</w:t>
            </w:r>
          </w:p>
        </w:tc>
      </w:tr>
    </w:tbl>
    <w:p w:rsidR="00B070BF" w:rsidRPr="00CB04A8" w:rsidRDefault="00B070BF" w:rsidP="00B070BF">
      <w:pPr>
        <w:keepNext/>
        <w:keepLines/>
        <w:rPr>
          <w:b/>
          <w:sz w:val="16"/>
          <w:szCs w:val="16"/>
          <w:lang w:val="es-ES_tradnl"/>
        </w:rPr>
      </w:pPr>
    </w:p>
    <w:p w:rsidR="00B070BF" w:rsidRPr="00CB04A8" w:rsidRDefault="00B070BF" w:rsidP="00B070BF">
      <w:pPr>
        <w:rPr>
          <w:b/>
          <w:sz w:val="16"/>
          <w:szCs w:val="16"/>
          <w:lang w:val="es-ES_tradnl"/>
        </w:rPr>
      </w:pPr>
    </w:p>
    <w:p w:rsidR="00B070BF" w:rsidRPr="009577DE" w:rsidRDefault="00B070BF" w:rsidP="00B070BF">
      <w:pPr>
        <w:keepNext/>
        <w:keepLines/>
        <w:rPr>
          <w:b/>
          <w:sz w:val="18"/>
          <w:szCs w:val="18"/>
          <w:lang w:val="es-ES_tradnl"/>
        </w:rPr>
      </w:pPr>
      <w:r w:rsidRPr="009577DE">
        <w:rPr>
          <w:b/>
          <w:sz w:val="20"/>
          <w:lang w:val="es-ES_tradnl"/>
        </w:rPr>
        <w:t>MÉXICO – Contribuciones de donantes y gastos en 2012</w:t>
      </w:r>
      <w:r w:rsidRPr="009577DE">
        <w:rPr>
          <w:b/>
          <w:sz w:val="18"/>
          <w:szCs w:val="18"/>
          <w:vertAlign w:val="superscript"/>
          <w:lang w:val="es-ES_tradnl"/>
        </w:rPr>
        <w:t>1</w:t>
      </w:r>
    </w:p>
    <w:p w:rsidR="00B070BF" w:rsidRPr="009577DE" w:rsidRDefault="00B070BF" w:rsidP="00B070BF">
      <w:pPr>
        <w:rPr>
          <w:sz w:val="16"/>
          <w:szCs w:val="16"/>
          <w:lang w:val="es-ES_tradn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67"/>
        <w:gridCol w:w="1619"/>
        <w:gridCol w:w="1781"/>
        <w:gridCol w:w="1685"/>
        <w:gridCol w:w="2168"/>
      </w:tblGrid>
      <w:tr w:rsidR="00B070BF" w:rsidRPr="009577DE" w:rsidTr="00C33D4A">
        <w:trPr>
          <w:trHeight w:val="567"/>
        </w:trPr>
        <w:tc>
          <w:tcPr>
            <w:tcW w:w="1767" w:type="dxa"/>
            <w:shd w:val="clear" w:color="auto" w:fill="CCFFFF"/>
            <w:vAlign w:val="center"/>
          </w:tcPr>
          <w:p w:rsidR="00B070BF" w:rsidRPr="009577DE" w:rsidRDefault="00B070BF" w:rsidP="00C33D4A">
            <w:pPr>
              <w:spacing w:after="220"/>
              <w:jc w:val="center"/>
              <w:rPr>
                <w:b/>
                <w:sz w:val="16"/>
                <w:szCs w:val="16"/>
                <w:lang w:val="es-ES_tradnl"/>
              </w:rPr>
            </w:pPr>
            <w:r w:rsidRPr="009577DE">
              <w:rPr>
                <w:b/>
                <w:sz w:val="16"/>
                <w:szCs w:val="16"/>
                <w:lang w:val="es-ES_tradnl"/>
              </w:rPr>
              <w:t>Balance a 31 de diciembre de 2011</w:t>
            </w:r>
          </w:p>
        </w:tc>
        <w:tc>
          <w:tcPr>
            <w:tcW w:w="1619" w:type="dxa"/>
            <w:shd w:val="clear" w:color="auto" w:fill="CCFFFF"/>
            <w:vAlign w:val="center"/>
          </w:tcPr>
          <w:p w:rsidR="00B070BF" w:rsidRPr="009577DE" w:rsidRDefault="00B070BF" w:rsidP="00C33D4A">
            <w:pPr>
              <w:spacing w:after="220"/>
              <w:jc w:val="center"/>
              <w:rPr>
                <w:b/>
                <w:sz w:val="16"/>
                <w:szCs w:val="16"/>
                <w:lang w:val="es-ES_tradnl"/>
              </w:rPr>
            </w:pPr>
            <w:r w:rsidRPr="009577DE">
              <w:rPr>
                <w:b/>
                <w:sz w:val="16"/>
                <w:szCs w:val="16"/>
                <w:lang w:val="es-ES_tradnl"/>
              </w:rPr>
              <w:t>Ingresos en 2012</w:t>
            </w:r>
          </w:p>
        </w:tc>
        <w:tc>
          <w:tcPr>
            <w:tcW w:w="1781" w:type="dxa"/>
            <w:shd w:val="clear" w:color="auto" w:fill="CCFFFF"/>
            <w:vAlign w:val="center"/>
          </w:tcPr>
          <w:p w:rsidR="00B070BF" w:rsidRPr="009577DE" w:rsidRDefault="00B070BF" w:rsidP="00C33D4A">
            <w:pPr>
              <w:spacing w:after="220"/>
              <w:jc w:val="center"/>
              <w:rPr>
                <w:b/>
                <w:sz w:val="16"/>
                <w:szCs w:val="16"/>
                <w:lang w:val="es-ES_tradnl"/>
              </w:rPr>
            </w:pPr>
            <w:r w:rsidRPr="009577DE">
              <w:rPr>
                <w:b/>
                <w:sz w:val="16"/>
                <w:szCs w:val="16"/>
                <w:lang w:val="es-ES_tradnl"/>
              </w:rPr>
              <w:t>Gastos en 2012</w:t>
            </w:r>
          </w:p>
        </w:tc>
        <w:tc>
          <w:tcPr>
            <w:tcW w:w="1685" w:type="dxa"/>
            <w:shd w:val="clear" w:color="auto" w:fill="CCFFFF"/>
            <w:vAlign w:val="center"/>
          </w:tcPr>
          <w:p w:rsidR="00B070BF" w:rsidRPr="009577DE" w:rsidRDefault="00B070BF" w:rsidP="00C33D4A">
            <w:pPr>
              <w:spacing w:after="220"/>
              <w:jc w:val="center"/>
              <w:rPr>
                <w:b/>
                <w:sz w:val="16"/>
                <w:szCs w:val="16"/>
                <w:lang w:val="es-ES_tradnl"/>
              </w:rPr>
            </w:pPr>
            <w:r w:rsidRPr="009577DE">
              <w:rPr>
                <w:b/>
                <w:sz w:val="16"/>
                <w:szCs w:val="16"/>
                <w:lang w:val="es-ES_tradnl"/>
              </w:rPr>
              <w:t>Reembolsos</w:t>
            </w:r>
          </w:p>
        </w:tc>
        <w:tc>
          <w:tcPr>
            <w:tcW w:w="2168" w:type="dxa"/>
            <w:shd w:val="clear" w:color="auto" w:fill="CCFFFF"/>
            <w:vAlign w:val="center"/>
          </w:tcPr>
          <w:p w:rsidR="00B070BF" w:rsidRPr="009577DE" w:rsidRDefault="00B070BF" w:rsidP="00C33D4A">
            <w:pPr>
              <w:spacing w:after="220"/>
              <w:jc w:val="center"/>
              <w:rPr>
                <w:b/>
                <w:sz w:val="16"/>
                <w:szCs w:val="16"/>
                <w:lang w:val="es-ES_tradnl"/>
              </w:rPr>
            </w:pPr>
            <w:r w:rsidRPr="009577DE">
              <w:rPr>
                <w:b/>
                <w:sz w:val="16"/>
                <w:szCs w:val="16"/>
                <w:lang w:val="es-ES_tradnl"/>
              </w:rPr>
              <w:t>Balance a 31 de diciembre de 2012</w:t>
            </w:r>
          </w:p>
        </w:tc>
      </w:tr>
      <w:tr w:rsidR="00B070BF" w:rsidRPr="009577DE" w:rsidTr="00C33D4A">
        <w:trPr>
          <w:trHeight w:val="567"/>
        </w:trPr>
        <w:tc>
          <w:tcPr>
            <w:tcW w:w="1767" w:type="dxa"/>
            <w:shd w:val="clear" w:color="auto" w:fill="auto"/>
            <w:vAlign w:val="center"/>
          </w:tcPr>
          <w:p w:rsidR="00B070BF" w:rsidRPr="009577DE" w:rsidRDefault="00B070BF" w:rsidP="00C33D4A">
            <w:pPr>
              <w:autoSpaceDE w:val="0"/>
              <w:autoSpaceDN w:val="0"/>
              <w:adjustRightInd w:val="0"/>
              <w:spacing w:after="220"/>
              <w:jc w:val="center"/>
              <w:rPr>
                <w:rFonts w:eastAsia="MS Mincho"/>
                <w:sz w:val="16"/>
                <w:szCs w:val="16"/>
                <w:lang w:val="es-ES_tradnl" w:eastAsia="ja-JP" w:bidi="th-TH"/>
              </w:rPr>
            </w:pPr>
            <w:r w:rsidRPr="009577DE">
              <w:rPr>
                <w:rFonts w:eastAsia="MS Mincho"/>
                <w:sz w:val="16"/>
                <w:szCs w:val="16"/>
                <w:lang w:val="es-ES_tradnl" w:eastAsia="ja-JP" w:bidi="th-TH"/>
              </w:rPr>
              <w:t>125.330</w:t>
            </w:r>
          </w:p>
        </w:tc>
        <w:tc>
          <w:tcPr>
            <w:tcW w:w="1619" w:type="dxa"/>
            <w:shd w:val="clear" w:color="auto" w:fill="auto"/>
            <w:vAlign w:val="center"/>
          </w:tcPr>
          <w:p w:rsidR="00B070BF" w:rsidRPr="009577DE" w:rsidRDefault="00B070BF" w:rsidP="00C33D4A">
            <w:pPr>
              <w:autoSpaceDE w:val="0"/>
              <w:autoSpaceDN w:val="0"/>
              <w:adjustRightInd w:val="0"/>
              <w:spacing w:after="220"/>
              <w:jc w:val="center"/>
              <w:rPr>
                <w:rFonts w:eastAsia="MS Mincho"/>
                <w:sz w:val="16"/>
                <w:szCs w:val="16"/>
                <w:lang w:val="es-ES_tradnl" w:eastAsia="ja-JP" w:bidi="th-TH"/>
              </w:rPr>
            </w:pPr>
            <w:r w:rsidRPr="009577DE">
              <w:rPr>
                <w:rFonts w:eastAsia="MS Mincho"/>
                <w:sz w:val="16"/>
                <w:szCs w:val="16"/>
                <w:lang w:val="es-ES_tradnl" w:eastAsia="ja-JP" w:bidi="th-TH"/>
              </w:rPr>
              <w:t>65</w:t>
            </w:r>
          </w:p>
        </w:tc>
        <w:tc>
          <w:tcPr>
            <w:tcW w:w="1781" w:type="dxa"/>
            <w:shd w:val="clear" w:color="auto" w:fill="auto"/>
            <w:vAlign w:val="center"/>
          </w:tcPr>
          <w:p w:rsidR="00B070BF" w:rsidRPr="009577DE" w:rsidRDefault="00B070BF" w:rsidP="00C33D4A">
            <w:pPr>
              <w:autoSpaceDE w:val="0"/>
              <w:autoSpaceDN w:val="0"/>
              <w:adjustRightInd w:val="0"/>
              <w:spacing w:after="220"/>
              <w:jc w:val="center"/>
              <w:rPr>
                <w:rFonts w:eastAsia="MS Mincho"/>
                <w:sz w:val="16"/>
                <w:szCs w:val="16"/>
                <w:lang w:val="es-ES_tradnl" w:eastAsia="ja-JP" w:bidi="th-TH"/>
              </w:rPr>
            </w:pPr>
            <w:r w:rsidRPr="009577DE">
              <w:rPr>
                <w:rFonts w:eastAsia="MS Mincho"/>
                <w:sz w:val="16"/>
                <w:szCs w:val="16"/>
                <w:lang w:val="es-ES_tradnl" w:eastAsia="ja-JP" w:bidi="th-TH"/>
              </w:rPr>
              <w:t>100.060</w:t>
            </w:r>
          </w:p>
        </w:tc>
        <w:tc>
          <w:tcPr>
            <w:tcW w:w="1685" w:type="dxa"/>
            <w:shd w:val="clear" w:color="auto" w:fill="auto"/>
            <w:vAlign w:val="center"/>
          </w:tcPr>
          <w:p w:rsidR="00B070BF" w:rsidRPr="009577DE" w:rsidRDefault="00B070BF" w:rsidP="00C33D4A">
            <w:pPr>
              <w:autoSpaceDE w:val="0"/>
              <w:autoSpaceDN w:val="0"/>
              <w:adjustRightInd w:val="0"/>
              <w:spacing w:after="220"/>
              <w:jc w:val="center"/>
              <w:rPr>
                <w:rFonts w:eastAsia="MS Mincho"/>
                <w:sz w:val="16"/>
                <w:szCs w:val="16"/>
                <w:lang w:val="es-ES_tradnl" w:eastAsia="ja-JP" w:bidi="th-TH"/>
              </w:rPr>
            </w:pPr>
            <w:r w:rsidRPr="009577DE">
              <w:rPr>
                <w:rFonts w:eastAsia="MS Mincho"/>
                <w:sz w:val="16"/>
                <w:szCs w:val="16"/>
                <w:lang w:val="es-ES_tradnl" w:eastAsia="ja-JP" w:bidi="th-TH"/>
              </w:rPr>
              <w:t>–</w:t>
            </w:r>
          </w:p>
        </w:tc>
        <w:tc>
          <w:tcPr>
            <w:tcW w:w="2168" w:type="dxa"/>
            <w:shd w:val="clear" w:color="auto" w:fill="auto"/>
            <w:vAlign w:val="center"/>
          </w:tcPr>
          <w:p w:rsidR="00B070BF" w:rsidRPr="009577DE" w:rsidRDefault="00B070BF" w:rsidP="00C33D4A">
            <w:pPr>
              <w:autoSpaceDE w:val="0"/>
              <w:autoSpaceDN w:val="0"/>
              <w:adjustRightInd w:val="0"/>
              <w:spacing w:after="220"/>
              <w:jc w:val="center"/>
              <w:rPr>
                <w:rFonts w:eastAsia="MS Mincho"/>
                <w:sz w:val="16"/>
                <w:szCs w:val="16"/>
                <w:lang w:val="es-ES_tradnl" w:eastAsia="ja-JP" w:bidi="th-TH"/>
              </w:rPr>
            </w:pPr>
            <w:r w:rsidRPr="009577DE">
              <w:rPr>
                <w:rFonts w:eastAsia="MS Mincho"/>
                <w:sz w:val="16"/>
                <w:szCs w:val="16"/>
                <w:lang w:val="es-ES_tradnl" w:eastAsia="ja-JP" w:bidi="th-TH"/>
              </w:rPr>
              <w:t>25.335</w:t>
            </w:r>
          </w:p>
        </w:tc>
      </w:tr>
    </w:tbl>
    <w:p w:rsidR="00B070BF" w:rsidRPr="009577DE" w:rsidRDefault="00B070BF" w:rsidP="00B070BF">
      <w:pPr>
        <w:spacing w:before="120"/>
        <w:rPr>
          <w:szCs w:val="22"/>
          <w:lang w:val="es-ES_tradnl"/>
        </w:rPr>
      </w:pPr>
      <w:r w:rsidRPr="009577DE">
        <w:rPr>
          <w:i/>
          <w:iCs/>
          <w:sz w:val="16"/>
          <w:szCs w:val="16"/>
          <w:vertAlign w:val="superscript"/>
          <w:lang w:val="es-ES_tradnl"/>
        </w:rPr>
        <w:t xml:space="preserve">1 </w:t>
      </w:r>
      <w:r w:rsidRPr="009577DE">
        <w:rPr>
          <w:i/>
          <w:iCs/>
          <w:sz w:val="16"/>
          <w:szCs w:val="16"/>
          <w:lang w:val="es-ES_tradnl"/>
        </w:rPr>
        <w:t>Estados financieros de la OMPI de 2012 (Anexo III)</w:t>
      </w:r>
    </w:p>
    <w:p w:rsidR="00B070BF" w:rsidRPr="009577DE" w:rsidRDefault="00B070BF" w:rsidP="00B070BF">
      <w:pPr>
        <w:rPr>
          <w:b/>
          <w:sz w:val="20"/>
          <w:lang w:val="es-ES_tradnl"/>
        </w:rPr>
      </w:pPr>
    </w:p>
    <w:p w:rsidR="00B070BF" w:rsidRPr="009577DE" w:rsidRDefault="00B070BF" w:rsidP="00B070BF">
      <w:pPr>
        <w:rPr>
          <w:b/>
          <w:sz w:val="20"/>
          <w:lang w:val="es-ES_tradnl"/>
        </w:rPr>
      </w:pPr>
    </w:p>
    <w:p w:rsidR="00B070BF" w:rsidRPr="009577DE" w:rsidRDefault="00B070BF" w:rsidP="00B070BF">
      <w:pPr>
        <w:keepNext/>
        <w:keepLines/>
        <w:rPr>
          <w:b/>
          <w:sz w:val="20"/>
          <w:lang w:val="es-ES_tradnl"/>
        </w:rPr>
      </w:pPr>
      <w:r w:rsidRPr="009577DE">
        <w:rPr>
          <w:b/>
          <w:sz w:val="20"/>
          <w:lang w:val="es-ES_tradnl"/>
        </w:rPr>
        <w:t>REPÚBLICA DE COREA – DERECHO DE AUTOR</w:t>
      </w:r>
    </w:p>
    <w:p w:rsidR="00B070BF" w:rsidRPr="009577DE" w:rsidRDefault="00B070BF" w:rsidP="00B070BF">
      <w:pPr>
        <w:keepNext/>
        <w:keepLines/>
        <w:rPr>
          <w:b/>
          <w:sz w:val="16"/>
          <w:szCs w:val="16"/>
          <w:lang w:val="es-ES_tradnl"/>
        </w:rPr>
      </w:pPr>
    </w:p>
    <w:tbl>
      <w:tblPr>
        <w:tblW w:w="9102" w:type="dxa"/>
        <w:tblInd w:w="78"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1873"/>
        <w:gridCol w:w="1134"/>
        <w:gridCol w:w="2410"/>
        <w:gridCol w:w="3685"/>
      </w:tblGrid>
      <w:tr w:rsidR="00B070BF" w:rsidRPr="009577DE" w:rsidTr="00C33D4A">
        <w:tc>
          <w:tcPr>
            <w:tcW w:w="9102" w:type="dxa"/>
            <w:gridSpan w:val="4"/>
            <w:tcBorders>
              <w:top w:val="single" w:sz="4" w:space="0" w:color="000000"/>
              <w:bottom w:val="single" w:sz="4" w:space="0" w:color="000000"/>
            </w:tcBorders>
            <w:shd w:val="clear" w:color="auto" w:fill="CCFFFF"/>
            <w:vAlign w:val="center"/>
          </w:tcPr>
          <w:p w:rsidR="00B070BF" w:rsidRPr="009577DE" w:rsidRDefault="00B070BF" w:rsidP="00C33D4A">
            <w:pPr>
              <w:keepNext/>
              <w:keepLines/>
              <w:tabs>
                <w:tab w:val="left" w:pos="1740"/>
              </w:tabs>
              <w:spacing w:before="120" w:after="120"/>
              <w:ind w:left="1740" w:hanging="1740"/>
              <w:rPr>
                <w:b/>
                <w:bCs/>
                <w:sz w:val="16"/>
                <w:szCs w:val="16"/>
                <w:lang w:val="es-ES_tradnl"/>
              </w:rPr>
            </w:pPr>
            <w:r w:rsidRPr="009577DE">
              <w:rPr>
                <w:b/>
                <w:bCs/>
                <w:sz w:val="16"/>
                <w:szCs w:val="16"/>
                <w:lang w:val="es-ES_tradnl"/>
              </w:rPr>
              <w:t>RESULTADO:</w:t>
            </w:r>
            <w:r w:rsidRPr="009577DE">
              <w:rPr>
                <w:b/>
                <w:bCs/>
                <w:sz w:val="16"/>
                <w:szCs w:val="16"/>
                <w:lang w:val="es-ES_tradnl"/>
              </w:rPr>
              <w:tab/>
            </w:r>
            <w:r w:rsidRPr="009577DE">
              <w:rPr>
                <w:bCs/>
                <w:sz w:val="16"/>
                <w:szCs w:val="16"/>
                <w:lang w:val="es-ES_tradnl"/>
              </w:rPr>
              <w:t>Mayor sensibilización y capacidad de los Estados miembros en materia de derecho de autor y derechos conexos.</w:t>
            </w:r>
          </w:p>
        </w:tc>
      </w:tr>
      <w:tr w:rsidR="00B070BF" w:rsidRPr="009577DE" w:rsidTr="00C33D4A">
        <w:tc>
          <w:tcPr>
            <w:tcW w:w="1873" w:type="dxa"/>
            <w:tcBorders>
              <w:top w:val="single" w:sz="4" w:space="0" w:color="000000"/>
            </w:tcBorders>
            <w:vAlign w:val="center"/>
          </w:tcPr>
          <w:p w:rsidR="00B070BF" w:rsidRPr="009577DE" w:rsidRDefault="00B070BF" w:rsidP="00C33D4A">
            <w:pPr>
              <w:keepNext/>
              <w:keepLines/>
              <w:rPr>
                <w:b/>
                <w:bCs/>
                <w:sz w:val="16"/>
                <w:szCs w:val="16"/>
                <w:lang w:val="es-ES_tradnl"/>
              </w:rPr>
            </w:pPr>
            <w:r w:rsidRPr="009577DE">
              <w:rPr>
                <w:b/>
                <w:bCs/>
                <w:sz w:val="16"/>
                <w:szCs w:val="16"/>
                <w:lang w:val="es-ES_tradnl"/>
              </w:rPr>
              <w:t>Actividad</w:t>
            </w:r>
          </w:p>
        </w:tc>
        <w:tc>
          <w:tcPr>
            <w:tcW w:w="1134" w:type="dxa"/>
            <w:tcBorders>
              <w:top w:val="single" w:sz="4" w:space="0" w:color="000000"/>
            </w:tcBorders>
            <w:shd w:val="clear" w:color="auto" w:fill="auto"/>
            <w:tcMar>
              <w:top w:w="110" w:type="dxa"/>
            </w:tcMar>
            <w:vAlign w:val="center"/>
          </w:tcPr>
          <w:p w:rsidR="00B070BF" w:rsidRPr="009577DE" w:rsidRDefault="00B070BF" w:rsidP="00C33D4A">
            <w:pPr>
              <w:keepNext/>
              <w:keepLines/>
              <w:rPr>
                <w:sz w:val="16"/>
                <w:szCs w:val="16"/>
                <w:lang w:val="es-ES_tradnl"/>
              </w:rPr>
            </w:pPr>
            <w:r w:rsidRPr="009577DE">
              <w:rPr>
                <w:b/>
                <w:bCs/>
                <w:sz w:val="16"/>
                <w:szCs w:val="16"/>
                <w:lang w:val="es-ES_tradnl"/>
              </w:rPr>
              <w:t>Fecha</w:t>
            </w:r>
          </w:p>
        </w:tc>
        <w:tc>
          <w:tcPr>
            <w:tcW w:w="2410" w:type="dxa"/>
            <w:tcBorders>
              <w:top w:val="single" w:sz="4" w:space="0" w:color="000000"/>
            </w:tcBorders>
            <w:shd w:val="clear" w:color="auto" w:fill="auto"/>
            <w:tcMar>
              <w:top w:w="110" w:type="dxa"/>
            </w:tcMar>
            <w:vAlign w:val="center"/>
          </w:tcPr>
          <w:p w:rsidR="00B070BF" w:rsidRPr="009577DE" w:rsidRDefault="00B070BF" w:rsidP="00C33D4A">
            <w:pPr>
              <w:keepNext/>
              <w:keepLines/>
              <w:rPr>
                <w:sz w:val="16"/>
                <w:szCs w:val="16"/>
                <w:lang w:val="es-ES_tradnl"/>
              </w:rPr>
            </w:pPr>
            <w:r w:rsidRPr="009577DE">
              <w:rPr>
                <w:b/>
                <w:bCs/>
                <w:sz w:val="16"/>
                <w:szCs w:val="16"/>
                <w:lang w:val="es-ES_tradnl"/>
              </w:rPr>
              <w:t>País anfitrión/Beneficiarios</w:t>
            </w:r>
          </w:p>
        </w:tc>
        <w:tc>
          <w:tcPr>
            <w:tcW w:w="3685" w:type="dxa"/>
            <w:tcBorders>
              <w:top w:val="single" w:sz="4" w:space="0" w:color="000000"/>
            </w:tcBorders>
            <w:shd w:val="clear" w:color="auto" w:fill="FFFFFF"/>
            <w:tcMar>
              <w:top w:w="110" w:type="dxa"/>
            </w:tcMar>
            <w:vAlign w:val="center"/>
          </w:tcPr>
          <w:p w:rsidR="00B070BF" w:rsidRPr="009577DE" w:rsidRDefault="00B070BF" w:rsidP="00C33D4A">
            <w:pPr>
              <w:keepNext/>
              <w:keepLines/>
              <w:rPr>
                <w:sz w:val="16"/>
                <w:szCs w:val="16"/>
                <w:lang w:val="es-ES_tradnl"/>
              </w:rPr>
            </w:pPr>
            <w:r w:rsidRPr="009577DE">
              <w:rPr>
                <w:b/>
                <w:bCs/>
                <w:sz w:val="16"/>
                <w:szCs w:val="16"/>
                <w:lang w:val="es-ES_tradnl"/>
              </w:rPr>
              <w:t>Propósito/Descripción</w:t>
            </w:r>
          </w:p>
        </w:tc>
      </w:tr>
      <w:tr w:rsidR="00B070BF" w:rsidRPr="009577DE" w:rsidTr="00C33D4A">
        <w:trPr>
          <w:trHeight w:val="1404"/>
        </w:trPr>
        <w:tc>
          <w:tcPr>
            <w:tcW w:w="1873" w:type="dxa"/>
          </w:tcPr>
          <w:p w:rsidR="00B070BF" w:rsidRPr="009577DE" w:rsidRDefault="00B070BF" w:rsidP="00C33D4A">
            <w:pPr>
              <w:spacing w:before="120" w:after="120"/>
              <w:rPr>
                <w:sz w:val="16"/>
                <w:szCs w:val="16"/>
                <w:lang w:val="es-ES_tradnl"/>
              </w:rPr>
            </w:pPr>
            <w:r w:rsidRPr="009577DE">
              <w:rPr>
                <w:sz w:val="16"/>
                <w:szCs w:val="16"/>
                <w:lang w:val="es-ES_tradnl"/>
              </w:rPr>
              <w:t xml:space="preserve">Misión de expertos para evaluar la necesidad de asistencia técnica;  </w:t>
            </w:r>
            <w:r w:rsidRPr="009577DE">
              <w:rPr>
                <w:snapToGrid w:val="0"/>
                <w:sz w:val="16"/>
                <w:szCs w:val="16"/>
                <w:lang w:val="es-ES_tradnl"/>
              </w:rPr>
              <w:t>proyecto nacional de</w:t>
            </w:r>
            <w:r w:rsidRPr="009577DE">
              <w:rPr>
                <w:sz w:val="16"/>
                <w:szCs w:val="16"/>
                <w:lang w:val="es-ES_tradnl"/>
              </w:rPr>
              <w:t xml:space="preserve"> sensibilización sobre derecho de autor y </w:t>
            </w:r>
            <w:r w:rsidRPr="009577DE">
              <w:rPr>
                <w:snapToGrid w:val="0"/>
                <w:sz w:val="16"/>
                <w:szCs w:val="16"/>
                <w:lang w:val="es-ES_tradnl"/>
              </w:rPr>
              <w:t>derechos conexos</w:t>
            </w:r>
            <w:r w:rsidRPr="009577DE">
              <w:rPr>
                <w:sz w:val="16"/>
                <w:szCs w:val="16"/>
                <w:lang w:val="es-ES_tradnl"/>
              </w:rPr>
              <w:t>.</w:t>
            </w:r>
          </w:p>
        </w:tc>
        <w:tc>
          <w:tcPr>
            <w:tcW w:w="1134" w:type="dxa"/>
          </w:tcPr>
          <w:p w:rsidR="00B070BF" w:rsidRPr="009577DE" w:rsidRDefault="00B070BF" w:rsidP="00C33D4A">
            <w:pPr>
              <w:spacing w:before="120" w:after="120"/>
              <w:rPr>
                <w:sz w:val="16"/>
                <w:szCs w:val="16"/>
                <w:lang w:val="es-ES_tradnl"/>
              </w:rPr>
            </w:pPr>
            <w:r w:rsidRPr="009577DE">
              <w:rPr>
                <w:sz w:val="16"/>
                <w:szCs w:val="16"/>
                <w:lang w:val="es-ES_tradnl"/>
              </w:rPr>
              <w:t xml:space="preserve">30 de enero a 2 de </w:t>
            </w:r>
            <w:proofErr w:type="spellStart"/>
            <w:r w:rsidRPr="009577DE">
              <w:rPr>
                <w:sz w:val="16"/>
                <w:szCs w:val="16"/>
                <w:lang w:val="es-ES_tradnl"/>
              </w:rPr>
              <w:t>febre</w:t>
            </w:r>
            <w:proofErr w:type="spellEnd"/>
            <w:r>
              <w:rPr>
                <w:sz w:val="16"/>
                <w:szCs w:val="16"/>
                <w:lang w:val="es-ES_tradnl"/>
              </w:rPr>
              <w:t>-</w:t>
            </w:r>
            <w:r w:rsidRPr="009577DE">
              <w:rPr>
                <w:sz w:val="16"/>
                <w:szCs w:val="16"/>
                <w:lang w:val="es-ES_tradnl"/>
              </w:rPr>
              <w:t>ro de 2012;  y de febrero a diciembre de 2012</w:t>
            </w:r>
          </w:p>
        </w:tc>
        <w:tc>
          <w:tcPr>
            <w:tcW w:w="2410" w:type="dxa"/>
          </w:tcPr>
          <w:p w:rsidR="00B070BF" w:rsidRPr="009577DE" w:rsidRDefault="00B070BF" w:rsidP="00C33D4A">
            <w:pPr>
              <w:spacing w:before="120" w:after="120"/>
              <w:rPr>
                <w:sz w:val="16"/>
                <w:szCs w:val="16"/>
                <w:lang w:val="es-ES_tradnl"/>
              </w:rPr>
            </w:pPr>
            <w:r w:rsidRPr="009577DE">
              <w:rPr>
                <w:sz w:val="16"/>
                <w:szCs w:val="16"/>
                <w:lang w:val="es-ES_tradnl"/>
              </w:rPr>
              <w:t>Vanuatu</w:t>
            </w:r>
          </w:p>
        </w:tc>
        <w:tc>
          <w:tcPr>
            <w:tcW w:w="3685" w:type="dxa"/>
          </w:tcPr>
          <w:p w:rsidR="00B070BF" w:rsidRPr="009577DE" w:rsidRDefault="00B070BF" w:rsidP="00C33D4A">
            <w:pPr>
              <w:spacing w:before="120" w:after="120"/>
              <w:rPr>
                <w:sz w:val="16"/>
                <w:szCs w:val="16"/>
                <w:lang w:val="es-ES_tradnl"/>
              </w:rPr>
            </w:pPr>
            <w:r w:rsidRPr="009577DE">
              <w:rPr>
                <w:sz w:val="16"/>
                <w:szCs w:val="16"/>
                <w:lang w:val="es-ES_tradnl"/>
              </w:rPr>
              <w:t xml:space="preserve">i) Evaluar las necesidades de asistencia técnica;  y ii) mejorar la capacidad de la oficina de P.I. de Vanuatu, </w:t>
            </w:r>
            <w:r>
              <w:rPr>
                <w:sz w:val="16"/>
                <w:szCs w:val="16"/>
                <w:lang w:val="es-ES_tradnl"/>
              </w:rPr>
              <w:t xml:space="preserve">de </w:t>
            </w:r>
            <w:r w:rsidRPr="009577DE">
              <w:rPr>
                <w:sz w:val="16"/>
                <w:szCs w:val="16"/>
                <w:lang w:val="es-ES_tradnl"/>
              </w:rPr>
              <w:t>reciente</w:t>
            </w:r>
            <w:r>
              <w:rPr>
                <w:sz w:val="16"/>
                <w:szCs w:val="16"/>
                <w:lang w:val="es-ES_tradnl"/>
              </w:rPr>
              <w:t xml:space="preserve"> creación</w:t>
            </w:r>
            <w:r w:rsidRPr="009577DE">
              <w:rPr>
                <w:sz w:val="16"/>
                <w:szCs w:val="16"/>
                <w:lang w:val="es-ES_tradnl"/>
              </w:rPr>
              <w:t>, para fomentar la sensibilización en materia de derecho de autor.</w:t>
            </w:r>
          </w:p>
        </w:tc>
      </w:tr>
      <w:tr w:rsidR="00B070BF" w:rsidRPr="009577DE" w:rsidTr="00C33D4A">
        <w:trPr>
          <w:trHeight w:val="765"/>
        </w:trPr>
        <w:tc>
          <w:tcPr>
            <w:tcW w:w="1873" w:type="dxa"/>
          </w:tcPr>
          <w:p w:rsidR="00B070BF" w:rsidRPr="009577DE" w:rsidRDefault="00B070BF" w:rsidP="00C33D4A">
            <w:pPr>
              <w:spacing w:before="120" w:after="120"/>
              <w:rPr>
                <w:sz w:val="16"/>
                <w:szCs w:val="16"/>
                <w:lang w:val="es-ES_tradnl"/>
              </w:rPr>
            </w:pPr>
            <w:r w:rsidRPr="009577DE">
              <w:rPr>
                <w:sz w:val="16"/>
                <w:szCs w:val="16"/>
                <w:lang w:val="es-ES_tradnl"/>
              </w:rPr>
              <w:t>Seminario nacional sobre el derecho de autor y los derechos conexos.</w:t>
            </w:r>
          </w:p>
        </w:tc>
        <w:tc>
          <w:tcPr>
            <w:tcW w:w="1134" w:type="dxa"/>
          </w:tcPr>
          <w:p w:rsidR="00B070BF" w:rsidRPr="009577DE" w:rsidRDefault="00B070BF" w:rsidP="00C33D4A">
            <w:pPr>
              <w:spacing w:before="120" w:after="120"/>
              <w:rPr>
                <w:sz w:val="16"/>
                <w:szCs w:val="16"/>
                <w:lang w:val="es-ES_tradnl"/>
              </w:rPr>
            </w:pPr>
            <w:r w:rsidRPr="009577DE">
              <w:rPr>
                <w:sz w:val="16"/>
                <w:szCs w:val="16"/>
                <w:lang w:val="es-ES_tradnl"/>
              </w:rPr>
              <w:t>29 y 30 de marzo de 2012</w:t>
            </w:r>
          </w:p>
        </w:tc>
        <w:tc>
          <w:tcPr>
            <w:tcW w:w="2410" w:type="dxa"/>
          </w:tcPr>
          <w:p w:rsidR="00B070BF" w:rsidRPr="009577DE" w:rsidRDefault="00B070BF" w:rsidP="00C33D4A">
            <w:pPr>
              <w:spacing w:before="120" w:after="120"/>
              <w:rPr>
                <w:sz w:val="16"/>
                <w:szCs w:val="16"/>
                <w:lang w:val="es-ES_tradnl"/>
              </w:rPr>
            </w:pPr>
            <w:r w:rsidRPr="009577DE">
              <w:rPr>
                <w:sz w:val="16"/>
                <w:szCs w:val="16"/>
                <w:lang w:val="es-ES_tradnl"/>
              </w:rPr>
              <w:t>Camboya:  65 participantes locales</w:t>
            </w:r>
          </w:p>
        </w:tc>
        <w:tc>
          <w:tcPr>
            <w:tcW w:w="3685" w:type="dxa"/>
          </w:tcPr>
          <w:p w:rsidR="00B070BF" w:rsidRPr="009577DE" w:rsidRDefault="00B070BF" w:rsidP="00C33D4A">
            <w:pPr>
              <w:spacing w:before="120" w:after="120"/>
              <w:rPr>
                <w:sz w:val="16"/>
                <w:szCs w:val="16"/>
                <w:lang w:val="es-ES_tradnl"/>
              </w:rPr>
            </w:pPr>
            <w:r w:rsidRPr="009577DE">
              <w:rPr>
                <w:sz w:val="16"/>
                <w:szCs w:val="16"/>
                <w:lang w:val="es-ES_tradnl"/>
              </w:rPr>
              <w:t xml:space="preserve">i) Lograr una comprensión profunda de las distintas dimensiones del derecho de autor y los </w:t>
            </w:r>
            <w:r w:rsidRPr="009577DE">
              <w:rPr>
                <w:snapToGrid w:val="0"/>
                <w:sz w:val="16"/>
                <w:szCs w:val="16"/>
                <w:lang w:val="es-ES_tradnl"/>
              </w:rPr>
              <w:t>derechos conexos</w:t>
            </w:r>
            <w:r w:rsidRPr="009577DE">
              <w:rPr>
                <w:sz w:val="16"/>
                <w:szCs w:val="16"/>
                <w:lang w:val="es-ES_tradnl"/>
              </w:rPr>
              <w:t xml:space="preserve">;  y ii) sensibilizar acerca de la importancia de la protección y gestión del derecho de autor y los </w:t>
            </w:r>
            <w:r w:rsidRPr="009577DE">
              <w:rPr>
                <w:snapToGrid w:val="0"/>
                <w:sz w:val="16"/>
                <w:szCs w:val="16"/>
                <w:lang w:val="es-ES_tradnl"/>
              </w:rPr>
              <w:t>derechos conexos</w:t>
            </w:r>
            <w:r w:rsidRPr="009577DE">
              <w:rPr>
                <w:sz w:val="16"/>
                <w:szCs w:val="16"/>
                <w:lang w:val="es-ES_tradnl"/>
              </w:rPr>
              <w:t>.</w:t>
            </w:r>
          </w:p>
        </w:tc>
      </w:tr>
      <w:tr w:rsidR="00B070BF" w:rsidRPr="009577DE" w:rsidTr="00C33D4A">
        <w:trPr>
          <w:trHeight w:val="1239"/>
        </w:trPr>
        <w:tc>
          <w:tcPr>
            <w:tcW w:w="1873" w:type="dxa"/>
          </w:tcPr>
          <w:p w:rsidR="00B070BF" w:rsidRPr="009577DE" w:rsidRDefault="00B070BF" w:rsidP="00C33D4A">
            <w:pPr>
              <w:spacing w:before="120" w:after="120"/>
              <w:rPr>
                <w:sz w:val="16"/>
                <w:szCs w:val="16"/>
                <w:lang w:val="es-ES_tradnl"/>
              </w:rPr>
            </w:pPr>
            <w:r w:rsidRPr="009577DE">
              <w:rPr>
                <w:sz w:val="16"/>
                <w:szCs w:val="16"/>
                <w:lang w:val="es-ES_tradnl"/>
              </w:rPr>
              <w:lastRenderedPageBreak/>
              <w:t>Taller nacional sobre el derecho de autor y las industrias creativas.</w:t>
            </w:r>
          </w:p>
        </w:tc>
        <w:tc>
          <w:tcPr>
            <w:tcW w:w="1134" w:type="dxa"/>
          </w:tcPr>
          <w:p w:rsidR="00B070BF" w:rsidRPr="009577DE" w:rsidRDefault="00B070BF" w:rsidP="00C33D4A">
            <w:pPr>
              <w:spacing w:before="120" w:after="120"/>
              <w:rPr>
                <w:sz w:val="16"/>
                <w:szCs w:val="16"/>
                <w:lang w:val="es-ES_tradnl"/>
              </w:rPr>
            </w:pPr>
            <w:r w:rsidRPr="009577DE">
              <w:rPr>
                <w:sz w:val="16"/>
                <w:szCs w:val="16"/>
                <w:lang w:val="es-ES_tradnl"/>
              </w:rPr>
              <w:t>3 y 4 de abril de 2012</w:t>
            </w:r>
          </w:p>
        </w:tc>
        <w:tc>
          <w:tcPr>
            <w:tcW w:w="2410" w:type="dxa"/>
          </w:tcPr>
          <w:p w:rsidR="00B070BF" w:rsidRPr="009577DE" w:rsidRDefault="00B070BF" w:rsidP="00C33D4A">
            <w:pPr>
              <w:spacing w:before="120" w:after="120"/>
              <w:rPr>
                <w:sz w:val="16"/>
                <w:szCs w:val="16"/>
                <w:lang w:val="es-ES_tradnl"/>
              </w:rPr>
            </w:pPr>
            <w:r w:rsidRPr="009577DE">
              <w:rPr>
                <w:sz w:val="16"/>
                <w:szCs w:val="16"/>
                <w:lang w:val="es-ES_tradnl"/>
              </w:rPr>
              <w:t>Indonesia:  80 participantes locales</w:t>
            </w:r>
          </w:p>
          <w:p w:rsidR="00B070BF" w:rsidRPr="009577DE" w:rsidRDefault="00B070BF" w:rsidP="00C33D4A">
            <w:pPr>
              <w:spacing w:before="120" w:after="120"/>
              <w:rPr>
                <w:sz w:val="16"/>
                <w:szCs w:val="16"/>
                <w:lang w:val="es-ES_tradnl"/>
              </w:rPr>
            </w:pPr>
          </w:p>
        </w:tc>
        <w:tc>
          <w:tcPr>
            <w:tcW w:w="3685" w:type="dxa"/>
          </w:tcPr>
          <w:p w:rsidR="00B070BF" w:rsidRPr="009577DE" w:rsidRDefault="00B070BF" w:rsidP="00C33D4A">
            <w:pPr>
              <w:spacing w:before="120" w:after="120"/>
              <w:rPr>
                <w:sz w:val="16"/>
                <w:szCs w:val="16"/>
                <w:lang w:val="es-ES_tradnl"/>
              </w:rPr>
            </w:pPr>
            <w:r w:rsidRPr="009577DE">
              <w:rPr>
                <w:sz w:val="16"/>
                <w:szCs w:val="16"/>
                <w:lang w:val="es-ES_tradnl"/>
              </w:rPr>
              <w:t>i) Sensibilizar a los encargados de la adopción de políticas y los principales sectores interesados acerca de la importancia del derecho de autor para velar por un crecimiento sostenido de las industrias creativas, así como por la prosperidad cultural;  y ii) impartirles conocimientos prácticos que les sirvan para elaborar y mantener políticas y estrategias adecuadas en materia de derecho de autor.</w:t>
            </w:r>
          </w:p>
        </w:tc>
      </w:tr>
      <w:tr w:rsidR="00B070BF" w:rsidRPr="009577DE" w:rsidTr="00C33D4A">
        <w:trPr>
          <w:trHeight w:val="2592"/>
        </w:trPr>
        <w:tc>
          <w:tcPr>
            <w:tcW w:w="1873" w:type="dxa"/>
          </w:tcPr>
          <w:p w:rsidR="00B070BF" w:rsidRPr="009577DE" w:rsidRDefault="00B070BF" w:rsidP="00C33D4A">
            <w:pPr>
              <w:spacing w:before="120" w:after="120"/>
              <w:rPr>
                <w:sz w:val="16"/>
                <w:szCs w:val="16"/>
                <w:lang w:val="es-ES_tradnl"/>
              </w:rPr>
            </w:pPr>
            <w:r w:rsidRPr="009577DE">
              <w:rPr>
                <w:sz w:val="16"/>
                <w:szCs w:val="16"/>
                <w:lang w:val="es-ES_tradnl"/>
              </w:rPr>
              <w:t xml:space="preserve">Seminario regional sobre cuestiones de derechos de autor y </w:t>
            </w:r>
            <w:r w:rsidRPr="009577DE">
              <w:rPr>
                <w:snapToGrid w:val="0"/>
                <w:sz w:val="16"/>
                <w:szCs w:val="16"/>
                <w:lang w:val="es-ES_tradnl"/>
              </w:rPr>
              <w:t>derechos conexos</w:t>
            </w:r>
            <w:r w:rsidRPr="009577DE">
              <w:rPr>
                <w:sz w:val="16"/>
                <w:szCs w:val="16"/>
                <w:lang w:val="es-ES_tradnl"/>
              </w:rPr>
              <w:t xml:space="preserve"> en la industria musical.</w:t>
            </w:r>
          </w:p>
        </w:tc>
        <w:tc>
          <w:tcPr>
            <w:tcW w:w="1134" w:type="dxa"/>
          </w:tcPr>
          <w:p w:rsidR="00B070BF" w:rsidRPr="009577DE" w:rsidRDefault="00B070BF" w:rsidP="00C33D4A">
            <w:pPr>
              <w:spacing w:before="120" w:after="120"/>
              <w:rPr>
                <w:sz w:val="16"/>
                <w:szCs w:val="16"/>
                <w:lang w:val="es-ES_tradnl"/>
              </w:rPr>
            </w:pPr>
            <w:r w:rsidRPr="009577DE">
              <w:rPr>
                <w:sz w:val="16"/>
                <w:szCs w:val="16"/>
                <w:lang w:val="es-ES_tradnl"/>
              </w:rPr>
              <w:t>2 y 3 de mayo de 2012</w:t>
            </w:r>
          </w:p>
        </w:tc>
        <w:tc>
          <w:tcPr>
            <w:tcW w:w="2410" w:type="dxa"/>
          </w:tcPr>
          <w:p w:rsidR="00B070BF" w:rsidRPr="009577DE" w:rsidRDefault="00B070BF" w:rsidP="00C33D4A">
            <w:pPr>
              <w:spacing w:before="120" w:after="120"/>
              <w:rPr>
                <w:sz w:val="16"/>
                <w:szCs w:val="16"/>
                <w:lang w:val="es-ES_tradnl"/>
              </w:rPr>
            </w:pPr>
            <w:r w:rsidRPr="009577DE">
              <w:rPr>
                <w:sz w:val="16"/>
                <w:szCs w:val="16"/>
                <w:lang w:val="es-ES_tradnl"/>
              </w:rPr>
              <w:t xml:space="preserve">Malasia:  28 participantes extranjeros (Bangladesh, </w:t>
            </w:r>
            <w:proofErr w:type="spellStart"/>
            <w:r w:rsidRPr="009577DE">
              <w:rPr>
                <w:sz w:val="16"/>
                <w:szCs w:val="16"/>
                <w:lang w:val="es-ES_tradnl"/>
              </w:rPr>
              <w:t>Bhután</w:t>
            </w:r>
            <w:proofErr w:type="spellEnd"/>
            <w:r w:rsidRPr="009577DE">
              <w:rPr>
                <w:sz w:val="16"/>
                <w:szCs w:val="16"/>
                <w:lang w:val="es-ES_tradnl"/>
              </w:rPr>
              <w:t xml:space="preserve">, Camboya, China, </w:t>
            </w:r>
            <w:proofErr w:type="spellStart"/>
            <w:r w:rsidRPr="009577DE">
              <w:rPr>
                <w:sz w:val="16"/>
                <w:szCs w:val="16"/>
                <w:lang w:val="es-ES_tradnl"/>
              </w:rPr>
              <w:t>Fiji</w:t>
            </w:r>
            <w:proofErr w:type="spellEnd"/>
            <w:r w:rsidRPr="009577DE">
              <w:rPr>
                <w:sz w:val="16"/>
                <w:szCs w:val="16"/>
                <w:lang w:val="es-ES_tradnl"/>
              </w:rPr>
              <w:t xml:space="preserve">, Filipinas, India, Indonesia, Maldivas, Mongolia, Pakistán, </w:t>
            </w:r>
            <w:proofErr w:type="spellStart"/>
            <w:r w:rsidRPr="009577DE">
              <w:rPr>
                <w:sz w:val="16"/>
                <w:szCs w:val="16"/>
                <w:lang w:val="es-ES_tradnl"/>
              </w:rPr>
              <w:t>Papua</w:t>
            </w:r>
            <w:proofErr w:type="spellEnd"/>
            <w:r w:rsidRPr="009577DE">
              <w:rPr>
                <w:sz w:val="16"/>
                <w:szCs w:val="16"/>
                <w:lang w:val="es-ES_tradnl"/>
              </w:rPr>
              <w:t xml:space="preserve"> Nueva Guinea, República de Corea, República Democrática Popular Lao, Samoa, Tailandia, Vanuatu y </w:t>
            </w:r>
            <w:proofErr w:type="spellStart"/>
            <w:r w:rsidRPr="009577DE">
              <w:rPr>
                <w:sz w:val="16"/>
                <w:szCs w:val="16"/>
                <w:lang w:val="es-ES_tradnl"/>
              </w:rPr>
              <w:t>Viet</w:t>
            </w:r>
            <w:proofErr w:type="spellEnd"/>
            <w:r w:rsidRPr="009577DE">
              <w:rPr>
                <w:sz w:val="16"/>
                <w:szCs w:val="16"/>
                <w:lang w:val="es-ES_tradnl"/>
              </w:rPr>
              <w:t> </w:t>
            </w:r>
            <w:proofErr w:type="spellStart"/>
            <w:r w:rsidRPr="009577DE">
              <w:rPr>
                <w:sz w:val="16"/>
                <w:szCs w:val="16"/>
                <w:lang w:val="es-ES_tradnl"/>
              </w:rPr>
              <w:t>Nam</w:t>
            </w:r>
            <w:proofErr w:type="spellEnd"/>
            <w:r w:rsidRPr="009577DE">
              <w:rPr>
                <w:sz w:val="16"/>
                <w:szCs w:val="16"/>
                <w:lang w:val="es-ES_tradnl"/>
              </w:rPr>
              <w:t>) y 50 participantes locales</w:t>
            </w:r>
          </w:p>
        </w:tc>
        <w:tc>
          <w:tcPr>
            <w:tcW w:w="3685" w:type="dxa"/>
          </w:tcPr>
          <w:p w:rsidR="00B070BF" w:rsidRPr="009577DE" w:rsidRDefault="00B070BF" w:rsidP="00C33D4A">
            <w:pPr>
              <w:spacing w:before="120" w:after="120"/>
              <w:rPr>
                <w:sz w:val="16"/>
                <w:szCs w:val="16"/>
                <w:lang w:val="es-ES_tradnl"/>
              </w:rPr>
            </w:pPr>
            <w:r w:rsidRPr="009577DE">
              <w:rPr>
                <w:sz w:val="16"/>
                <w:szCs w:val="16"/>
                <w:lang w:val="es-ES_tradnl"/>
              </w:rPr>
              <w:t xml:space="preserve">Constituir un foro de intercambio de información y opiniones sobre nuevas cuestiones en materia de derecho de autor y </w:t>
            </w:r>
            <w:r w:rsidRPr="009577DE">
              <w:rPr>
                <w:snapToGrid w:val="0"/>
                <w:sz w:val="16"/>
                <w:szCs w:val="16"/>
                <w:lang w:val="es-ES_tradnl"/>
              </w:rPr>
              <w:t>derechos conexos</w:t>
            </w:r>
            <w:r w:rsidRPr="009577DE">
              <w:rPr>
                <w:sz w:val="16"/>
                <w:szCs w:val="16"/>
                <w:lang w:val="es-ES_tradnl"/>
              </w:rPr>
              <w:t xml:space="preserve"> de interés para la industria musical;  y ii) examinar las políticas y las estrategias destinadas a hacer frente a los desafíos que se plantean a los países participantes.</w:t>
            </w:r>
          </w:p>
        </w:tc>
      </w:tr>
      <w:tr w:rsidR="00B070BF" w:rsidRPr="009577DE" w:rsidTr="00C33D4A">
        <w:trPr>
          <w:trHeight w:val="529"/>
        </w:trPr>
        <w:tc>
          <w:tcPr>
            <w:tcW w:w="1873" w:type="dxa"/>
          </w:tcPr>
          <w:p w:rsidR="00B070BF" w:rsidRPr="009577DE" w:rsidRDefault="00B070BF" w:rsidP="00C33D4A">
            <w:pPr>
              <w:keepNext/>
              <w:spacing w:before="120" w:after="120"/>
              <w:rPr>
                <w:sz w:val="16"/>
                <w:szCs w:val="16"/>
                <w:lang w:val="es-ES_tradnl"/>
              </w:rPr>
            </w:pPr>
            <w:r w:rsidRPr="009577DE">
              <w:rPr>
                <w:sz w:val="16"/>
                <w:szCs w:val="16"/>
                <w:lang w:val="es-ES_tradnl"/>
              </w:rPr>
              <w:t xml:space="preserve">Seminario nacional sobre sensibilización en materia de derecho de autor y </w:t>
            </w:r>
            <w:r w:rsidRPr="009577DE">
              <w:rPr>
                <w:snapToGrid w:val="0"/>
                <w:sz w:val="16"/>
                <w:szCs w:val="16"/>
                <w:lang w:val="es-ES_tradnl"/>
              </w:rPr>
              <w:t>derechos conexos</w:t>
            </w:r>
            <w:r w:rsidRPr="009577DE">
              <w:rPr>
                <w:sz w:val="16"/>
                <w:szCs w:val="16"/>
                <w:lang w:val="es-ES_tradnl"/>
              </w:rPr>
              <w:t>.</w:t>
            </w:r>
          </w:p>
        </w:tc>
        <w:tc>
          <w:tcPr>
            <w:tcW w:w="1134" w:type="dxa"/>
          </w:tcPr>
          <w:p w:rsidR="00B070BF" w:rsidRPr="009577DE" w:rsidRDefault="00B070BF" w:rsidP="00C33D4A">
            <w:pPr>
              <w:keepNext/>
              <w:spacing w:before="120" w:after="120"/>
              <w:rPr>
                <w:sz w:val="16"/>
                <w:szCs w:val="16"/>
                <w:lang w:val="es-ES_tradnl"/>
              </w:rPr>
            </w:pPr>
            <w:r w:rsidRPr="009577DE">
              <w:rPr>
                <w:sz w:val="16"/>
                <w:szCs w:val="16"/>
                <w:lang w:val="es-ES_tradnl"/>
              </w:rPr>
              <w:t>5 a 7 de noviembre de 2012</w:t>
            </w:r>
          </w:p>
        </w:tc>
        <w:tc>
          <w:tcPr>
            <w:tcW w:w="2410" w:type="dxa"/>
          </w:tcPr>
          <w:p w:rsidR="00B070BF" w:rsidRPr="009577DE" w:rsidRDefault="00B070BF" w:rsidP="00C33D4A">
            <w:pPr>
              <w:keepNext/>
              <w:spacing w:before="120" w:after="120"/>
              <w:rPr>
                <w:sz w:val="16"/>
                <w:szCs w:val="16"/>
                <w:lang w:val="es-ES_tradnl"/>
              </w:rPr>
            </w:pPr>
            <w:r w:rsidRPr="009577DE">
              <w:rPr>
                <w:sz w:val="16"/>
                <w:szCs w:val="16"/>
                <w:lang w:val="es-ES_tradnl"/>
              </w:rPr>
              <w:t>Maldivas:  70 participantes locales</w:t>
            </w:r>
          </w:p>
          <w:p w:rsidR="00B070BF" w:rsidRPr="009577DE" w:rsidRDefault="00B070BF" w:rsidP="00C33D4A">
            <w:pPr>
              <w:keepNext/>
              <w:spacing w:before="120" w:after="120"/>
              <w:rPr>
                <w:sz w:val="16"/>
                <w:szCs w:val="16"/>
                <w:lang w:val="es-ES_tradnl"/>
              </w:rPr>
            </w:pPr>
          </w:p>
        </w:tc>
        <w:tc>
          <w:tcPr>
            <w:tcW w:w="3685" w:type="dxa"/>
          </w:tcPr>
          <w:p w:rsidR="00B070BF" w:rsidRPr="009577DE" w:rsidRDefault="00B070BF" w:rsidP="00C33D4A">
            <w:pPr>
              <w:keepNext/>
              <w:spacing w:before="120" w:after="120"/>
              <w:rPr>
                <w:sz w:val="16"/>
                <w:szCs w:val="16"/>
                <w:lang w:val="es-ES_tradnl"/>
              </w:rPr>
            </w:pPr>
            <w:r w:rsidRPr="009577DE">
              <w:rPr>
                <w:sz w:val="16"/>
                <w:szCs w:val="16"/>
                <w:lang w:val="es-ES_tradnl"/>
              </w:rPr>
              <w:t xml:space="preserve">Mejorar la comprensión de la importancia del derecho de autor y los </w:t>
            </w:r>
            <w:r w:rsidRPr="009577DE">
              <w:rPr>
                <w:snapToGrid w:val="0"/>
                <w:sz w:val="16"/>
                <w:szCs w:val="16"/>
                <w:lang w:val="es-ES_tradnl"/>
              </w:rPr>
              <w:t>derechos conexos</w:t>
            </w:r>
            <w:r w:rsidRPr="009577DE">
              <w:rPr>
                <w:sz w:val="16"/>
                <w:szCs w:val="16"/>
                <w:lang w:val="es-ES_tradnl"/>
              </w:rPr>
              <w:t xml:space="preserve"> y los métodos y enfoques de fomento de la sensibilización en materia de derecho de autor, especialmente entre los funcionarios gubernamentales, los expertos en derecho y los sectores interesados.</w:t>
            </w:r>
          </w:p>
        </w:tc>
      </w:tr>
      <w:tr w:rsidR="00B070BF" w:rsidRPr="009577DE" w:rsidTr="00C33D4A">
        <w:trPr>
          <w:trHeight w:val="529"/>
        </w:trPr>
        <w:tc>
          <w:tcPr>
            <w:tcW w:w="1873" w:type="dxa"/>
          </w:tcPr>
          <w:p w:rsidR="00B070BF" w:rsidRPr="009577DE" w:rsidRDefault="00B070BF" w:rsidP="00C33D4A">
            <w:pPr>
              <w:spacing w:before="120" w:after="120"/>
              <w:rPr>
                <w:sz w:val="16"/>
                <w:szCs w:val="16"/>
                <w:lang w:val="es-ES_tradnl"/>
              </w:rPr>
            </w:pPr>
            <w:r w:rsidRPr="009577DE">
              <w:rPr>
                <w:sz w:val="16"/>
                <w:szCs w:val="16"/>
                <w:lang w:val="es-ES_tradnl"/>
              </w:rPr>
              <w:t>Visita de estudio a la Comisión de Derecho de Autor de la República de Corea.</w:t>
            </w:r>
          </w:p>
        </w:tc>
        <w:tc>
          <w:tcPr>
            <w:tcW w:w="1134" w:type="dxa"/>
          </w:tcPr>
          <w:p w:rsidR="00B070BF" w:rsidRPr="009577DE" w:rsidRDefault="00B070BF" w:rsidP="00C33D4A">
            <w:pPr>
              <w:spacing w:before="120" w:after="120"/>
              <w:rPr>
                <w:sz w:val="16"/>
                <w:szCs w:val="16"/>
                <w:lang w:val="es-ES_tradnl"/>
              </w:rPr>
            </w:pPr>
            <w:r w:rsidRPr="009577DE">
              <w:rPr>
                <w:sz w:val="16"/>
                <w:szCs w:val="16"/>
                <w:lang w:val="es-ES_tradnl"/>
              </w:rPr>
              <w:t>3 a 7 de diciembre de 2012, en Seúl</w:t>
            </w:r>
          </w:p>
        </w:tc>
        <w:tc>
          <w:tcPr>
            <w:tcW w:w="2410" w:type="dxa"/>
          </w:tcPr>
          <w:p w:rsidR="00B070BF" w:rsidRPr="009577DE" w:rsidRDefault="00B070BF" w:rsidP="00C33D4A">
            <w:pPr>
              <w:spacing w:before="120" w:after="120"/>
              <w:rPr>
                <w:sz w:val="16"/>
                <w:szCs w:val="16"/>
                <w:lang w:val="es-ES_tradnl"/>
              </w:rPr>
            </w:pPr>
            <w:r w:rsidRPr="009577DE">
              <w:rPr>
                <w:sz w:val="16"/>
                <w:szCs w:val="16"/>
                <w:lang w:val="es-ES_tradnl"/>
              </w:rPr>
              <w:t xml:space="preserve">República de Corea:  14 participantes de 13 países (Bangladesh, </w:t>
            </w:r>
            <w:proofErr w:type="spellStart"/>
            <w:r w:rsidRPr="009577DE">
              <w:rPr>
                <w:sz w:val="16"/>
                <w:szCs w:val="16"/>
                <w:lang w:val="es-ES_tradnl"/>
              </w:rPr>
              <w:t>Bhután</w:t>
            </w:r>
            <w:proofErr w:type="spellEnd"/>
            <w:r w:rsidRPr="009577DE">
              <w:rPr>
                <w:sz w:val="16"/>
                <w:szCs w:val="16"/>
                <w:lang w:val="es-ES_tradnl"/>
              </w:rPr>
              <w:t xml:space="preserve">, Camboya, India, </w:t>
            </w:r>
            <w:proofErr w:type="spellStart"/>
            <w:r w:rsidRPr="009577DE">
              <w:rPr>
                <w:sz w:val="16"/>
                <w:szCs w:val="16"/>
                <w:lang w:val="es-ES_tradnl"/>
              </w:rPr>
              <w:t>Kenya</w:t>
            </w:r>
            <w:proofErr w:type="spellEnd"/>
            <w:r w:rsidRPr="009577DE">
              <w:rPr>
                <w:sz w:val="16"/>
                <w:szCs w:val="16"/>
                <w:lang w:val="es-ES_tradnl"/>
              </w:rPr>
              <w:t>, Kuwait, Mongolia, Myanmar, Nepal, Pakistán, República Democrática Popular Lao, Senegal y Sri Lanka)</w:t>
            </w:r>
          </w:p>
        </w:tc>
        <w:tc>
          <w:tcPr>
            <w:tcW w:w="3685" w:type="dxa"/>
          </w:tcPr>
          <w:p w:rsidR="00B070BF" w:rsidRPr="009577DE" w:rsidRDefault="00B070BF" w:rsidP="00C33D4A">
            <w:pPr>
              <w:spacing w:before="120" w:after="120"/>
              <w:rPr>
                <w:sz w:val="16"/>
                <w:szCs w:val="16"/>
                <w:lang w:val="es-ES_tradnl"/>
              </w:rPr>
            </w:pPr>
            <w:r w:rsidRPr="009577DE">
              <w:rPr>
                <w:sz w:val="16"/>
                <w:szCs w:val="16"/>
                <w:lang w:val="es-ES_tradnl"/>
              </w:rPr>
              <w:t>Brindar la oportunidad de compartir las experiencias de la República de Corea en la administración del derecho de autor y los derechos conexos;  fortalecer la capacidad de los participantes para elaborar políticas en la esfera del derecho de autor, y de modernizar los marcos legislativo y administrativo, así como mejorar el funcionamiento de los organismos de gestión colectiva.</w:t>
            </w:r>
          </w:p>
        </w:tc>
      </w:tr>
    </w:tbl>
    <w:p w:rsidR="00B070BF" w:rsidRPr="009577DE" w:rsidRDefault="00B070BF" w:rsidP="00B070BF">
      <w:pPr>
        <w:rPr>
          <w:b/>
          <w:sz w:val="20"/>
          <w:lang w:val="es-ES_tradnl"/>
        </w:rPr>
      </w:pPr>
    </w:p>
    <w:p w:rsidR="00B070BF" w:rsidRPr="009577DE" w:rsidRDefault="00B070BF" w:rsidP="00B070BF">
      <w:pPr>
        <w:rPr>
          <w:b/>
          <w:sz w:val="20"/>
          <w:lang w:val="es-ES_tradnl"/>
        </w:rPr>
      </w:pPr>
    </w:p>
    <w:p w:rsidR="00B070BF" w:rsidRPr="009577DE" w:rsidRDefault="00B070BF" w:rsidP="00B070BF">
      <w:pPr>
        <w:rPr>
          <w:b/>
          <w:bCs/>
          <w:sz w:val="20"/>
          <w:lang w:val="es-ES_tradnl"/>
        </w:rPr>
      </w:pPr>
      <w:r w:rsidRPr="009577DE">
        <w:rPr>
          <w:b/>
          <w:sz w:val="20"/>
          <w:lang w:val="es-ES_tradnl"/>
        </w:rPr>
        <w:t>REPÚBLICA DE COREA – DERECHO DE AUTOR Contribuciones de donantes y gastos en 2012</w:t>
      </w:r>
      <w:r w:rsidRPr="009577DE">
        <w:rPr>
          <w:b/>
          <w:sz w:val="20"/>
          <w:vertAlign w:val="superscript"/>
          <w:lang w:val="es-ES_tradnl"/>
        </w:rPr>
        <w:t>1</w:t>
      </w:r>
    </w:p>
    <w:p w:rsidR="00B070BF" w:rsidRPr="009577DE" w:rsidRDefault="00B070BF" w:rsidP="00B070BF">
      <w:pPr>
        <w:rPr>
          <w:b/>
          <w:bCs/>
          <w:sz w:val="18"/>
          <w:szCs w:val="18"/>
          <w:lang w:val="es-ES_tradn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0"/>
        <w:gridCol w:w="1650"/>
        <w:gridCol w:w="1870"/>
        <w:gridCol w:w="1650"/>
        <w:gridCol w:w="1980"/>
      </w:tblGrid>
      <w:tr w:rsidR="00B070BF" w:rsidRPr="009577DE" w:rsidTr="00C33D4A">
        <w:trPr>
          <w:trHeight w:val="567"/>
        </w:trPr>
        <w:tc>
          <w:tcPr>
            <w:tcW w:w="1870" w:type="dxa"/>
            <w:shd w:val="clear" w:color="auto" w:fill="CCFFFF"/>
            <w:vAlign w:val="center"/>
          </w:tcPr>
          <w:p w:rsidR="00B070BF" w:rsidRPr="009577DE" w:rsidRDefault="00B070BF" w:rsidP="00C33D4A">
            <w:pPr>
              <w:spacing w:after="220"/>
              <w:jc w:val="center"/>
              <w:rPr>
                <w:b/>
                <w:sz w:val="16"/>
                <w:szCs w:val="16"/>
                <w:lang w:val="es-ES_tradnl"/>
              </w:rPr>
            </w:pPr>
            <w:r w:rsidRPr="009577DE">
              <w:rPr>
                <w:b/>
                <w:sz w:val="16"/>
                <w:szCs w:val="16"/>
                <w:lang w:val="es-ES_tradnl"/>
              </w:rPr>
              <w:t>Balance a 31 de diciembre de 2011</w:t>
            </w:r>
          </w:p>
        </w:tc>
        <w:tc>
          <w:tcPr>
            <w:tcW w:w="1650" w:type="dxa"/>
            <w:shd w:val="clear" w:color="auto" w:fill="CCFFFF"/>
            <w:vAlign w:val="center"/>
          </w:tcPr>
          <w:p w:rsidR="00B070BF" w:rsidRPr="009577DE" w:rsidRDefault="00B070BF" w:rsidP="00C33D4A">
            <w:pPr>
              <w:spacing w:after="220"/>
              <w:jc w:val="center"/>
              <w:rPr>
                <w:b/>
                <w:sz w:val="16"/>
                <w:szCs w:val="16"/>
                <w:lang w:val="es-ES_tradnl"/>
              </w:rPr>
            </w:pPr>
            <w:r w:rsidRPr="009577DE">
              <w:rPr>
                <w:b/>
                <w:sz w:val="16"/>
                <w:szCs w:val="16"/>
                <w:lang w:val="es-ES_tradnl"/>
              </w:rPr>
              <w:t>Ingresos en 2012</w:t>
            </w:r>
          </w:p>
        </w:tc>
        <w:tc>
          <w:tcPr>
            <w:tcW w:w="1870" w:type="dxa"/>
            <w:shd w:val="clear" w:color="auto" w:fill="CCFFFF"/>
            <w:vAlign w:val="center"/>
          </w:tcPr>
          <w:p w:rsidR="00B070BF" w:rsidRPr="009577DE" w:rsidRDefault="00B070BF" w:rsidP="00C33D4A">
            <w:pPr>
              <w:spacing w:after="220"/>
              <w:jc w:val="center"/>
              <w:rPr>
                <w:b/>
                <w:sz w:val="16"/>
                <w:szCs w:val="16"/>
                <w:lang w:val="es-ES_tradnl"/>
              </w:rPr>
            </w:pPr>
            <w:r w:rsidRPr="009577DE">
              <w:rPr>
                <w:b/>
                <w:sz w:val="16"/>
                <w:szCs w:val="16"/>
                <w:lang w:val="es-ES_tradnl"/>
              </w:rPr>
              <w:t>Gastos en 2012</w:t>
            </w:r>
          </w:p>
        </w:tc>
        <w:tc>
          <w:tcPr>
            <w:tcW w:w="1650" w:type="dxa"/>
            <w:shd w:val="clear" w:color="auto" w:fill="CCFFFF"/>
            <w:vAlign w:val="center"/>
          </w:tcPr>
          <w:p w:rsidR="00B070BF" w:rsidRPr="009577DE" w:rsidRDefault="00B070BF" w:rsidP="00C33D4A">
            <w:pPr>
              <w:spacing w:after="220"/>
              <w:jc w:val="center"/>
              <w:rPr>
                <w:b/>
                <w:sz w:val="16"/>
                <w:szCs w:val="16"/>
                <w:lang w:val="es-ES_tradnl"/>
              </w:rPr>
            </w:pPr>
            <w:r w:rsidRPr="009577DE">
              <w:rPr>
                <w:b/>
                <w:sz w:val="16"/>
                <w:szCs w:val="16"/>
                <w:lang w:val="es-ES_tradnl"/>
              </w:rPr>
              <w:t>Reembolsos</w:t>
            </w:r>
          </w:p>
        </w:tc>
        <w:tc>
          <w:tcPr>
            <w:tcW w:w="1980" w:type="dxa"/>
            <w:shd w:val="clear" w:color="auto" w:fill="CCFFFF"/>
            <w:vAlign w:val="center"/>
          </w:tcPr>
          <w:p w:rsidR="00B070BF" w:rsidRPr="009577DE" w:rsidRDefault="00B070BF" w:rsidP="00C33D4A">
            <w:pPr>
              <w:spacing w:after="220"/>
              <w:jc w:val="center"/>
              <w:rPr>
                <w:b/>
                <w:sz w:val="16"/>
                <w:szCs w:val="16"/>
                <w:lang w:val="es-ES_tradnl"/>
              </w:rPr>
            </w:pPr>
            <w:r w:rsidRPr="009577DE">
              <w:rPr>
                <w:b/>
                <w:sz w:val="16"/>
                <w:szCs w:val="16"/>
                <w:lang w:val="es-ES_tradnl"/>
              </w:rPr>
              <w:t>Balance a 31 de diciembre de 2012</w:t>
            </w:r>
          </w:p>
        </w:tc>
      </w:tr>
      <w:tr w:rsidR="00B070BF" w:rsidRPr="009577DE" w:rsidTr="00C33D4A">
        <w:trPr>
          <w:trHeight w:val="567"/>
        </w:trPr>
        <w:tc>
          <w:tcPr>
            <w:tcW w:w="1870" w:type="dxa"/>
            <w:shd w:val="clear" w:color="auto" w:fill="auto"/>
            <w:vAlign w:val="center"/>
          </w:tcPr>
          <w:p w:rsidR="00B070BF" w:rsidRPr="009577DE" w:rsidRDefault="00B070BF" w:rsidP="00C33D4A">
            <w:pPr>
              <w:autoSpaceDE w:val="0"/>
              <w:autoSpaceDN w:val="0"/>
              <w:adjustRightInd w:val="0"/>
              <w:spacing w:after="220"/>
              <w:jc w:val="center"/>
              <w:rPr>
                <w:rFonts w:eastAsia="MS Mincho"/>
                <w:sz w:val="16"/>
                <w:szCs w:val="16"/>
                <w:lang w:val="es-ES_tradnl" w:eastAsia="ja-JP" w:bidi="th-TH"/>
              </w:rPr>
            </w:pPr>
            <w:r w:rsidRPr="009577DE">
              <w:rPr>
                <w:rFonts w:eastAsia="MS Mincho"/>
                <w:sz w:val="16"/>
                <w:szCs w:val="16"/>
                <w:lang w:val="es-ES_tradnl" w:eastAsia="ja-JP" w:bidi="th-TH"/>
              </w:rPr>
              <w:t>453.452</w:t>
            </w:r>
          </w:p>
        </w:tc>
        <w:tc>
          <w:tcPr>
            <w:tcW w:w="1650" w:type="dxa"/>
            <w:shd w:val="clear" w:color="auto" w:fill="auto"/>
            <w:vAlign w:val="center"/>
          </w:tcPr>
          <w:p w:rsidR="00B070BF" w:rsidRPr="009577DE" w:rsidRDefault="00B070BF" w:rsidP="00C33D4A">
            <w:pPr>
              <w:autoSpaceDE w:val="0"/>
              <w:autoSpaceDN w:val="0"/>
              <w:adjustRightInd w:val="0"/>
              <w:spacing w:after="220"/>
              <w:jc w:val="center"/>
              <w:rPr>
                <w:rFonts w:eastAsia="MS Mincho"/>
                <w:sz w:val="16"/>
                <w:szCs w:val="16"/>
                <w:lang w:val="es-ES_tradnl" w:eastAsia="ja-JP" w:bidi="th-TH"/>
              </w:rPr>
            </w:pPr>
            <w:r w:rsidRPr="009577DE">
              <w:rPr>
                <w:rFonts w:eastAsia="MS Mincho"/>
                <w:sz w:val="16"/>
                <w:szCs w:val="16"/>
                <w:lang w:val="es-ES_tradnl" w:eastAsia="ja-JP" w:bidi="th-TH"/>
              </w:rPr>
              <w:t>341.703</w:t>
            </w:r>
          </w:p>
        </w:tc>
        <w:tc>
          <w:tcPr>
            <w:tcW w:w="1870" w:type="dxa"/>
            <w:shd w:val="clear" w:color="auto" w:fill="auto"/>
            <w:vAlign w:val="center"/>
          </w:tcPr>
          <w:p w:rsidR="00B070BF" w:rsidRPr="009577DE" w:rsidRDefault="00B070BF" w:rsidP="00C33D4A">
            <w:pPr>
              <w:autoSpaceDE w:val="0"/>
              <w:autoSpaceDN w:val="0"/>
              <w:adjustRightInd w:val="0"/>
              <w:spacing w:after="220"/>
              <w:jc w:val="center"/>
              <w:rPr>
                <w:rFonts w:eastAsia="MS Mincho"/>
                <w:sz w:val="16"/>
                <w:szCs w:val="16"/>
                <w:lang w:val="es-ES_tradnl" w:eastAsia="ja-JP" w:bidi="th-TH"/>
              </w:rPr>
            </w:pPr>
            <w:r w:rsidRPr="009577DE">
              <w:rPr>
                <w:rFonts w:eastAsia="MS Mincho"/>
                <w:sz w:val="16"/>
                <w:szCs w:val="16"/>
                <w:lang w:val="es-ES_tradnl" w:eastAsia="ja-JP" w:bidi="th-TH"/>
              </w:rPr>
              <w:t>262.251</w:t>
            </w:r>
          </w:p>
        </w:tc>
        <w:tc>
          <w:tcPr>
            <w:tcW w:w="1650" w:type="dxa"/>
            <w:shd w:val="clear" w:color="auto" w:fill="auto"/>
            <w:vAlign w:val="center"/>
          </w:tcPr>
          <w:p w:rsidR="00B070BF" w:rsidRPr="009577DE" w:rsidRDefault="00B070BF" w:rsidP="00C33D4A">
            <w:pPr>
              <w:autoSpaceDE w:val="0"/>
              <w:autoSpaceDN w:val="0"/>
              <w:adjustRightInd w:val="0"/>
              <w:spacing w:after="220"/>
              <w:jc w:val="center"/>
              <w:rPr>
                <w:rFonts w:eastAsia="MS Mincho"/>
                <w:sz w:val="16"/>
                <w:szCs w:val="16"/>
                <w:lang w:val="es-ES_tradnl" w:eastAsia="ja-JP" w:bidi="th-TH"/>
              </w:rPr>
            </w:pPr>
            <w:r w:rsidRPr="009577DE">
              <w:rPr>
                <w:rFonts w:eastAsia="MS Mincho"/>
                <w:sz w:val="16"/>
                <w:szCs w:val="16"/>
                <w:lang w:val="es-ES_tradnl" w:eastAsia="ja-JP" w:bidi="th-TH"/>
              </w:rPr>
              <w:t>–</w:t>
            </w:r>
          </w:p>
        </w:tc>
        <w:tc>
          <w:tcPr>
            <w:tcW w:w="1980" w:type="dxa"/>
            <w:shd w:val="clear" w:color="auto" w:fill="auto"/>
            <w:vAlign w:val="center"/>
          </w:tcPr>
          <w:p w:rsidR="00B070BF" w:rsidRPr="009577DE" w:rsidRDefault="00B070BF" w:rsidP="00C33D4A">
            <w:pPr>
              <w:autoSpaceDE w:val="0"/>
              <w:autoSpaceDN w:val="0"/>
              <w:adjustRightInd w:val="0"/>
              <w:spacing w:after="220"/>
              <w:jc w:val="center"/>
              <w:rPr>
                <w:rFonts w:eastAsia="MS Mincho"/>
                <w:sz w:val="16"/>
                <w:szCs w:val="16"/>
                <w:lang w:val="es-ES_tradnl" w:eastAsia="ja-JP" w:bidi="th-TH"/>
              </w:rPr>
            </w:pPr>
            <w:r w:rsidRPr="009577DE">
              <w:rPr>
                <w:rFonts w:eastAsia="MS Mincho"/>
                <w:sz w:val="16"/>
                <w:szCs w:val="16"/>
                <w:lang w:val="es-ES_tradnl" w:eastAsia="ja-JP" w:bidi="th-TH"/>
              </w:rPr>
              <w:t>532.904</w:t>
            </w:r>
          </w:p>
        </w:tc>
      </w:tr>
    </w:tbl>
    <w:p w:rsidR="00B070BF" w:rsidRPr="009577DE" w:rsidRDefault="00B070BF" w:rsidP="00B070BF">
      <w:pPr>
        <w:spacing w:before="120"/>
        <w:rPr>
          <w:szCs w:val="22"/>
          <w:lang w:val="es-ES_tradnl"/>
        </w:rPr>
      </w:pPr>
      <w:r w:rsidRPr="009577DE">
        <w:rPr>
          <w:i/>
          <w:iCs/>
          <w:sz w:val="16"/>
          <w:szCs w:val="16"/>
          <w:vertAlign w:val="superscript"/>
          <w:lang w:val="es-ES_tradnl"/>
        </w:rPr>
        <w:t xml:space="preserve">1 </w:t>
      </w:r>
      <w:r w:rsidRPr="009577DE">
        <w:rPr>
          <w:i/>
          <w:iCs/>
          <w:sz w:val="16"/>
          <w:szCs w:val="16"/>
          <w:lang w:val="es-ES_tradnl"/>
        </w:rPr>
        <w:t>Estados financieros de la OMPI de 2012 (Anexo III)</w:t>
      </w:r>
    </w:p>
    <w:p w:rsidR="00B070BF" w:rsidRPr="009577DE" w:rsidRDefault="00B070BF" w:rsidP="00B070BF">
      <w:pPr>
        <w:rPr>
          <w:sz w:val="20"/>
          <w:lang w:val="es-ES_tradnl"/>
        </w:rPr>
      </w:pPr>
    </w:p>
    <w:p w:rsidR="00B070BF" w:rsidRPr="009577DE" w:rsidRDefault="00B070BF" w:rsidP="00B070BF">
      <w:pPr>
        <w:rPr>
          <w:sz w:val="20"/>
          <w:lang w:val="es-ES_tradnl"/>
        </w:rPr>
      </w:pPr>
    </w:p>
    <w:p w:rsidR="00B070BF" w:rsidRPr="009577DE" w:rsidRDefault="00B070BF" w:rsidP="00B070BF">
      <w:pPr>
        <w:rPr>
          <w:b/>
          <w:sz w:val="20"/>
          <w:lang w:val="es-ES_tradnl"/>
        </w:rPr>
      </w:pPr>
      <w:r w:rsidRPr="009577DE">
        <w:rPr>
          <w:b/>
          <w:sz w:val="20"/>
          <w:lang w:val="es-ES_tradnl"/>
        </w:rPr>
        <w:t>REPÚBLICA DE COREA (EDUCACIÓN) – Becas en P.I. (Academia)</w:t>
      </w:r>
    </w:p>
    <w:p w:rsidR="00B070BF" w:rsidRPr="009577DE" w:rsidRDefault="00B070BF" w:rsidP="00B070BF">
      <w:pPr>
        <w:keepNext/>
        <w:keepLines/>
        <w:rPr>
          <w:b/>
          <w:sz w:val="20"/>
          <w:lang w:val="es-ES_tradnl"/>
        </w:rPr>
      </w:pPr>
    </w:p>
    <w:tbl>
      <w:tblPr>
        <w:tblW w:w="9072" w:type="dxa"/>
        <w:tblInd w:w="108"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1843"/>
        <w:gridCol w:w="1134"/>
        <w:gridCol w:w="2410"/>
        <w:gridCol w:w="142"/>
        <w:gridCol w:w="3543"/>
      </w:tblGrid>
      <w:tr w:rsidR="00B070BF" w:rsidRPr="009577DE" w:rsidTr="00C33D4A">
        <w:tc>
          <w:tcPr>
            <w:tcW w:w="9072" w:type="dxa"/>
            <w:gridSpan w:val="5"/>
            <w:tcBorders>
              <w:top w:val="single" w:sz="4" w:space="0" w:color="000000"/>
              <w:bottom w:val="single" w:sz="4" w:space="0" w:color="000000"/>
            </w:tcBorders>
            <w:shd w:val="clear" w:color="auto" w:fill="CCFFFF"/>
            <w:vAlign w:val="center"/>
          </w:tcPr>
          <w:p w:rsidR="00B070BF" w:rsidRPr="009577DE" w:rsidRDefault="00B070BF" w:rsidP="00C33D4A">
            <w:pPr>
              <w:keepNext/>
              <w:keepLines/>
              <w:tabs>
                <w:tab w:val="left" w:pos="1740"/>
              </w:tabs>
              <w:spacing w:before="120" w:after="120"/>
              <w:ind w:left="1740" w:hanging="1740"/>
              <w:rPr>
                <w:b/>
                <w:bCs/>
                <w:sz w:val="16"/>
                <w:szCs w:val="16"/>
                <w:lang w:val="es-ES_tradnl"/>
              </w:rPr>
            </w:pPr>
            <w:r w:rsidRPr="009577DE">
              <w:rPr>
                <w:b/>
                <w:bCs/>
                <w:sz w:val="16"/>
                <w:szCs w:val="16"/>
                <w:lang w:val="es-ES_tradnl"/>
              </w:rPr>
              <w:t>RESULTADO:</w:t>
            </w:r>
            <w:r w:rsidRPr="009577DE">
              <w:rPr>
                <w:bCs/>
                <w:sz w:val="16"/>
                <w:szCs w:val="16"/>
                <w:lang w:val="es-ES_tradnl"/>
              </w:rPr>
              <w:tab/>
              <w:t>Mayor facilidad de acceso a la formación en P.I.</w:t>
            </w:r>
            <w:r w:rsidRPr="009577DE">
              <w:rPr>
                <w:b/>
                <w:bCs/>
                <w:sz w:val="16"/>
                <w:szCs w:val="16"/>
                <w:lang w:val="es-ES_tradnl"/>
              </w:rPr>
              <w:t xml:space="preserve"> </w:t>
            </w:r>
          </w:p>
        </w:tc>
      </w:tr>
      <w:tr w:rsidR="00B070BF" w:rsidRPr="009577DE" w:rsidTr="00C33D4A">
        <w:tc>
          <w:tcPr>
            <w:tcW w:w="1843" w:type="dxa"/>
            <w:tcBorders>
              <w:top w:val="single" w:sz="4" w:space="0" w:color="000000"/>
            </w:tcBorders>
            <w:vAlign w:val="center"/>
          </w:tcPr>
          <w:p w:rsidR="00B070BF" w:rsidRPr="009577DE" w:rsidRDefault="00B070BF" w:rsidP="00C33D4A">
            <w:pPr>
              <w:keepNext/>
              <w:keepLines/>
              <w:rPr>
                <w:b/>
                <w:bCs/>
                <w:sz w:val="16"/>
                <w:szCs w:val="16"/>
                <w:lang w:val="es-ES_tradnl"/>
              </w:rPr>
            </w:pPr>
            <w:r w:rsidRPr="009577DE">
              <w:rPr>
                <w:b/>
                <w:bCs/>
                <w:sz w:val="16"/>
                <w:szCs w:val="16"/>
                <w:lang w:val="es-ES_tradnl"/>
              </w:rPr>
              <w:t>Actividad</w:t>
            </w:r>
          </w:p>
        </w:tc>
        <w:tc>
          <w:tcPr>
            <w:tcW w:w="1134" w:type="dxa"/>
            <w:tcBorders>
              <w:top w:val="single" w:sz="4" w:space="0" w:color="000000"/>
            </w:tcBorders>
            <w:shd w:val="clear" w:color="auto" w:fill="auto"/>
            <w:tcMar>
              <w:top w:w="110" w:type="dxa"/>
            </w:tcMar>
            <w:vAlign w:val="center"/>
          </w:tcPr>
          <w:p w:rsidR="00B070BF" w:rsidRPr="009577DE" w:rsidRDefault="00B070BF" w:rsidP="00C33D4A">
            <w:pPr>
              <w:keepNext/>
              <w:keepLines/>
              <w:rPr>
                <w:sz w:val="16"/>
                <w:szCs w:val="16"/>
                <w:lang w:val="es-ES_tradnl"/>
              </w:rPr>
            </w:pPr>
            <w:r w:rsidRPr="009577DE">
              <w:rPr>
                <w:b/>
                <w:bCs/>
                <w:sz w:val="16"/>
                <w:szCs w:val="16"/>
                <w:lang w:val="es-ES_tradnl"/>
              </w:rPr>
              <w:t>Fecha</w:t>
            </w:r>
          </w:p>
        </w:tc>
        <w:tc>
          <w:tcPr>
            <w:tcW w:w="2410" w:type="dxa"/>
            <w:tcBorders>
              <w:top w:val="single" w:sz="4" w:space="0" w:color="000000"/>
            </w:tcBorders>
            <w:shd w:val="clear" w:color="auto" w:fill="auto"/>
            <w:tcMar>
              <w:top w:w="110" w:type="dxa"/>
            </w:tcMar>
            <w:vAlign w:val="center"/>
          </w:tcPr>
          <w:p w:rsidR="00B070BF" w:rsidRPr="009577DE" w:rsidRDefault="00B070BF" w:rsidP="00C33D4A">
            <w:pPr>
              <w:keepNext/>
              <w:keepLines/>
              <w:rPr>
                <w:sz w:val="16"/>
                <w:szCs w:val="16"/>
                <w:lang w:val="es-ES_tradnl"/>
              </w:rPr>
            </w:pPr>
            <w:r w:rsidRPr="009577DE">
              <w:rPr>
                <w:b/>
                <w:bCs/>
                <w:sz w:val="16"/>
                <w:szCs w:val="16"/>
                <w:lang w:val="es-ES_tradnl"/>
              </w:rPr>
              <w:t>País anfitrión/Beneficiarios</w:t>
            </w:r>
          </w:p>
        </w:tc>
        <w:tc>
          <w:tcPr>
            <w:tcW w:w="3685" w:type="dxa"/>
            <w:gridSpan w:val="2"/>
            <w:tcBorders>
              <w:top w:val="single" w:sz="4" w:space="0" w:color="000000"/>
            </w:tcBorders>
            <w:shd w:val="clear" w:color="auto" w:fill="FFFFFF"/>
            <w:tcMar>
              <w:top w:w="110" w:type="dxa"/>
            </w:tcMar>
            <w:vAlign w:val="center"/>
          </w:tcPr>
          <w:p w:rsidR="00B070BF" w:rsidRPr="009577DE" w:rsidRDefault="00B070BF" w:rsidP="00C33D4A">
            <w:pPr>
              <w:keepNext/>
              <w:keepLines/>
              <w:rPr>
                <w:sz w:val="16"/>
                <w:szCs w:val="16"/>
                <w:lang w:val="es-ES_tradnl"/>
              </w:rPr>
            </w:pPr>
            <w:r w:rsidRPr="009577DE">
              <w:rPr>
                <w:b/>
                <w:bCs/>
                <w:sz w:val="16"/>
                <w:szCs w:val="16"/>
                <w:lang w:val="es-ES_tradnl"/>
              </w:rPr>
              <w:t>Propósito/Descripción</w:t>
            </w:r>
          </w:p>
        </w:tc>
      </w:tr>
      <w:tr w:rsidR="00B070BF" w:rsidRPr="009577DE" w:rsidTr="00C33D4A">
        <w:trPr>
          <w:trHeight w:val="495"/>
        </w:trPr>
        <w:tc>
          <w:tcPr>
            <w:tcW w:w="1843" w:type="dxa"/>
          </w:tcPr>
          <w:p w:rsidR="00B070BF" w:rsidRPr="009577DE" w:rsidRDefault="00B070BF" w:rsidP="00C33D4A">
            <w:pPr>
              <w:autoSpaceDE w:val="0"/>
              <w:autoSpaceDN w:val="0"/>
              <w:adjustRightInd w:val="0"/>
              <w:spacing w:before="120" w:after="120"/>
              <w:rPr>
                <w:sz w:val="16"/>
                <w:szCs w:val="16"/>
                <w:lang w:val="es-ES_tradnl"/>
              </w:rPr>
            </w:pPr>
            <w:r w:rsidRPr="009577DE">
              <w:rPr>
                <w:sz w:val="16"/>
                <w:szCs w:val="16"/>
                <w:lang w:val="es-ES_tradnl"/>
              </w:rPr>
              <w:t>Participación en el programa de Máster en Derecho de Propiedad Intelectual OMPI–</w:t>
            </w:r>
            <w:r w:rsidRPr="009577DE">
              <w:rPr>
                <w:i/>
                <w:sz w:val="16"/>
                <w:szCs w:val="16"/>
                <w:lang w:val="es-ES_tradnl"/>
              </w:rPr>
              <w:t xml:space="preserve">Queensland </w:t>
            </w:r>
            <w:proofErr w:type="spellStart"/>
            <w:r w:rsidRPr="009577DE">
              <w:rPr>
                <w:i/>
                <w:sz w:val="16"/>
                <w:szCs w:val="16"/>
                <w:lang w:val="es-ES_tradnl"/>
              </w:rPr>
              <w:t>University</w:t>
            </w:r>
            <w:proofErr w:type="spellEnd"/>
            <w:r w:rsidRPr="009577DE">
              <w:rPr>
                <w:i/>
                <w:sz w:val="16"/>
                <w:szCs w:val="16"/>
                <w:lang w:val="es-ES_tradnl"/>
              </w:rPr>
              <w:t xml:space="preserve"> of </w:t>
            </w:r>
            <w:proofErr w:type="spellStart"/>
            <w:r w:rsidRPr="009577DE">
              <w:rPr>
                <w:i/>
                <w:sz w:val="16"/>
                <w:szCs w:val="16"/>
                <w:lang w:val="es-ES_tradnl"/>
              </w:rPr>
              <w:t>Technology</w:t>
            </w:r>
            <w:proofErr w:type="spellEnd"/>
            <w:r w:rsidRPr="009577DE">
              <w:rPr>
                <w:sz w:val="16"/>
                <w:szCs w:val="16"/>
                <w:lang w:val="es-ES_tradnl"/>
              </w:rPr>
              <w:t xml:space="preserve"> (QUT).</w:t>
            </w:r>
          </w:p>
        </w:tc>
        <w:tc>
          <w:tcPr>
            <w:tcW w:w="1134" w:type="dxa"/>
          </w:tcPr>
          <w:p w:rsidR="00B070BF" w:rsidRPr="009577DE" w:rsidRDefault="00B070BF" w:rsidP="00C33D4A">
            <w:pPr>
              <w:autoSpaceDE w:val="0"/>
              <w:autoSpaceDN w:val="0"/>
              <w:adjustRightInd w:val="0"/>
              <w:spacing w:before="120" w:after="120"/>
              <w:rPr>
                <w:sz w:val="16"/>
                <w:szCs w:val="16"/>
                <w:lang w:val="es-ES_tradnl"/>
              </w:rPr>
            </w:pPr>
            <w:r w:rsidRPr="009577DE">
              <w:rPr>
                <w:sz w:val="16"/>
                <w:szCs w:val="16"/>
                <w:lang w:val="es-ES_tradnl"/>
              </w:rPr>
              <w:t>27 de febrero a 29 de octubre de 2012</w:t>
            </w:r>
          </w:p>
        </w:tc>
        <w:tc>
          <w:tcPr>
            <w:tcW w:w="2410" w:type="dxa"/>
          </w:tcPr>
          <w:p w:rsidR="00B070BF" w:rsidRPr="009577DE" w:rsidRDefault="00B070BF" w:rsidP="00C33D4A">
            <w:pPr>
              <w:autoSpaceDE w:val="0"/>
              <w:autoSpaceDN w:val="0"/>
              <w:adjustRightInd w:val="0"/>
              <w:spacing w:before="120" w:after="120"/>
              <w:rPr>
                <w:sz w:val="16"/>
                <w:szCs w:val="16"/>
                <w:lang w:val="es-ES_tradnl"/>
              </w:rPr>
            </w:pPr>
            <w:r w:rsidRPr="009577DE">
              <w:rPr>
                <w:sz w:val="16"/>
                <w:szCs w:val="16"/>
                <w:lang w:val="es-ES_tradnl"/>
              </w:rPr>
              <w:t>Australia/ República de Corea</w:t>
            </w:r>
          </w:p>
        </w:tc>
        <w:tc>
          <w:tcPr>
            <w:tcW w:w="3685" w:type="dxa"/>
            <w:gridSpan w:val="2"/>
          </w:tcPr>
          <w:p w:rsidR="00B070BF" w:rsidRPr="009577DE" w:rsidRDefault="00B070BF" w:rsidP="00C33D4A">
            <w:pPr>
              <w:autoSpaceDE w:val="0"/>
              <w:autoSpaceDN w:val="0"/>
              <w:adjustRightInd w:val="0"/>
              <w:spacing w:before="120" w:after="120"/>
              <w:rPr>
                <w:sz w:val="16"/>
                <w:szCs w:val="16"/>
                <w:lang w:val="es-ES_tradnl"/>
              </w:rPr>
            </w:pPr>
            <w:r w:rsidRPr="009577DE">
              <w:rPr>
                <w:sz w:val="16"/>
                <w:szCs w:val="16"/>
                <w:lang w:val="es-ES_tradnl"/>
              </w:rPr>
              <w:t>El Fondo Fiduciario proporcionó fondos para que cinco funcionarios gubernamentales de la República de Corea participaran en el programa de Máster en Derecho de Propiedad Intelectual OMPI–QUT con un 25% de descuento.</w:t>
            </w:r>
          </w:p>
        </w:tc>
      </w:tr>
      <w:tr w:rsidR="00B070BF" w:rsidRPr="009577DE" w:rsidTr="00C33D4A">
        <w:tc>
          <w:tcPr>
            <w:tcW w:w="9072" w:type="dxa"/>
            <w:gridSpan w:val="5"/>
            <w:tcBorders>
              <w:top w:val="single" w:sz="4" w:space="0" w:color="000000"/>
              <w:bottom w:val="single" w:sz="4" w:space="0" w:color="000000"/>
            </w:tcBorders>
            <w:shd w:val="clear" w:color="auto" w:fill="CCFFFF"/>
            <w:vAlign w:val="center"/>
          </w:tcPr>
          <w:p w:rsidR="00B070BF" w:rsidRPr="009577DE" w:rsidRDefault="00B070BF" w:rsidP="00C33D4A">
            <w:pPr>
              <w:keepNext/>
              <w:keepLines/>
              <w:tabs>
                <w:tab w:val="left" w:pos="1740"/>
              </w:tabs>
              <w:spacing w:before="120" w:after="120"/>
              <w:ind w:left="1740" w:hanging="1740"/>
              <w:rPr>
                <w:b/>
                <w:bCs/>
                <w:sz w:val="16"/>
                <w:szCs w:val="16"/>
                <w:lang w:val="es-ES_tradnl"/>
              </w:rPr>
            </w:pPr>
            <w:r w:rsidRPr="009577DE">
              <w:rPr>
                <w:b/>
                <w:bCs/>
                <w:sz w:val="16"/>
                <w:szCs w:val="16"/>
                <w:lang w:val="es-ES_tradnl"/>
              </w:rPr>
              <w:lastRenderedPageBreak/>
              <w:t>RESULTADO:</w:t>
            </w:r>
            <w:r w:rsidRPr="009577DE">
              <w:rPr>
                <w:b/>
                <w:bCs/>
                <w:sz w:val="16"/>
                <w:szCs w:val="16"/>
                <w:lang w:val="es-ES_tradnl"/>
              </w:rPr>
              <w:tab/>
            </w:r>
            <w:r w:rsidRPr="009577DE">
              <w:rPr>
                <w:bCs/>
                <w:sz w:val="16"/>
                <w:szCs w:val="16"/>
                <w:lang w:val="es-ES_tradnl"/>
              </w:rPr>
              <w:t>Mejora de las capacidades en el ámbito de los recursos humanos para hacer frente al amplio espectro de exigencias que supone la utilización eficaz de la P.I. en aras del desarrollo en los países en desarrollo, PMA y países con economías en transición</w:t>
            </w:r>
          </w:p>
        </w:tc>
      </w:tr>
      <w:tr w:rsidR="00B070BF" w:rsidRPr="009577DE" w:rsidTr="00C33D4A">
        <w:tc>
          <w:tcPr>
            <w:tcW w:w="1843" w:type="dxa"/>
            <w:tcBorders>
              <w:top w:val="single" w:sz="4" w:space="0" w:color="000000"/>
            </w:tcBorders>
            <w:vAlign w:val="center"/>
          </w:tcPr>
          <w:p w:rsidR="00B070BF" w:rsidRPr="009577DE" w:rsidRDefault="00B070BF" w:rsidP="00C33D4A">
            <w:pPr>
              <w:keepNext/>
              <w:keepLines/>
              <w:rPr>
                <w:b/>
                <w:bCs/>
                <w:sz w:val="16"/>
                <w:szCs w:val="16"/>
                <w:lang w:val="es-ES_tradnl"/>
              </w:rPr>
            </w:pPr>
            <w:r w:rsidRPr="009577DE">
              <w:rPr>
                <w:b/>
                <w:bCs/>
                <w:sz w:val="16"/>
                <w:szCs w:val="16"/>
                <w:lang w:val="es-ES_tradnl"/>
              </w:rPr>
              <w:t>Actividad</w:t>
            </w:r>
          </w:p>
        </w:tc>
        <w:tc>
          <w:tcPr>
            <w:tcW w:w="1134" w:type="dxa"/>
            <w:tcBorders>
              <w:top w:val="single" w:sz="4" w:space="0" w:color="000000"/>
            </w:tcBorders>
            <w:shd w:val="clear" w:color="auto" w:fill="auto"/>
            <w:tcMar>
              <w:top w:w="110" w:type="dxa"/>
            </w:tcMar>
            <w:vAlign w:val="center"/>
          </w:tcPr>
          <w:p w:rsidR="00B070BF" w:rsidRPr="009577DE" w:rsidRDefault="00B070BF" w:rsidP="00C33D4A">
            <w:pPr>
              <w:keepNext/>
              <w:keepLines/>
              <w:rPr>
                <w:sz w:val="16"/>
                <w:szCs w:val="16"/>
                <w:lang w:val="es-ES_tradnl"/>
              </w:rPr>
            </w:pPr>
            <w:r w:rsidRPr="009577DE">
              <w:rPr>
                <w:b/>
                <w:bCs/>
                <w:sz w:val="16"/>
                <w:szCs w:val="16"/>
                <w:lang w:val="es-ES_tradnl"/>
              </w:rPr>
              <w:t>Fecha</w:t>
            </w:r>
          </w:p>
        </w:tc>
        <w:tc>
          <w:tcPr>
            <w:tcW w:w="2552" w:type="dxa"/>
            <w:gridSpan w:val="2"/>
            <w:tcBorders>
              <w:top w:val="single" w:sz="4" w:space="0" w:color="000000"/>
            </w:tcBorders>
            <w:shd w:val="clear" w:color="auto" w:fill="auto"/>
            <w:tcMar>
              <w:top w:w="110" w:type="dxa"/>
            </w:tcMar>
            <w:vAlign w:val="center"/>
          </w:tcPr>
          <w:p w:rsidR="00B070BF" w:rsidRPr="009577DE" w:rsidRDefault="00B070BF" w:rsidP="00C33D4A">
            <w:pPr>
              <w:keepNext/>
              <w:keepLines/>
              <w:rPr>
                <w:sz w:val="16"/>
                <w:szCs w:val="16"/>
                <w:lang w:val="es-ES_tradnl"/>
              </w:rPr>
            </w:pPr>
            <w:r w:rsidRPr="009577DE">
              <w:rPr>
                <w:b/>
                <w:bCs/>
                <w:sz w:val="16"/>
                <w:szCs w:val="16"/>
                <w:lang w:val="es-ES_tradnl"/>
              </w:rPr>
              <w:t>País anfitrión/Beneficiarios</w:t>
            </w:r>
          </w:p>
        </w:tc>
        <w:tc>
          <w:tcPr>
            <w:tcW w:w="3543" w:type="dxa"/>
            <w:tcBorders>
              <w:top w:val="single" w:sz="4" w:space="0" w:color="000000"/>
            </w:tcBorders>
            <w:shd w:val="clear" w:color="auto" w:fill="FFFFFF"/>
            <w:tcMar>
              <w:top w:w="110" w:type="dxa"/>
            </w:tcMar>
            <w:vAlign w:val="center"/>
          </w:tcPr>
          <w:p w:rsidR="00B070BF" w:rsidRPr="009577DE" w:rsidRDefault="00B070BF" w:rsidP="00C33D4A">
            <w:pPr>
              <w:keepNext/>
              <w:keepLines/>
              <w:rPr>
                <w:sz w:val="16"/>
                <w:szCs w:val="16"/>
                <w:lang w:val="es-ES_tradnl"/>
              </w:rPr>
            </w:pPr>
            <w:r w:rsidRPr="009577DE">
              <w:rPr>
                <w:b/>
                <w:bCs/>
                <w:sz w:val="16"/>
                <w:szCs w:val="16"/>
                <w:lang w:val="es-ES_tradnl"/>
              </w:rPr>
              <w:t>Propósito/Descripción</w:t>
            </w:r>
          </w:p>
        </w:tc>
      </w:tr>
      <w:tr w:rsidR="00B070BF" w:rsidRPr="009577DE" w:rsidTr="00C33D4A">
        <w:trPr>
          <w:trHeight w:val="520"/>
        </w:trPr>
        <w:tc>
          <w:tcPr>
            <w:tcW w:w="1843" w:type="dxa"/>
          </w:tcPr>
          <w:p w:rsidR="00B070BF" w:rsidRPr="009577DE" w:rsidRDefault="00B070BF" w:rsidP="00C33D4A">
            <w:pPr>
              <w:autoSpaceDE w:val="0"/>
              <w:autoSpaceDN w:val="0"/>
              <w:adjustRightInd w:val="0"/>
              <w:spacing w:before="120" w:after="120"/>
              <w:rPr>
                <w:sz w:val="16"/>
                <w:szCs w:val="16"/>
                <w:lang w:val="es-ES_tradnl"/>
              </w:rPr>
            </w:pPr>
            <w:r w:rsidRPr="009577DE">
              <w:rPr>
                <w:sz w:val="16"/>
                <w:szCs w:val="16"/>
                <w:lang w:val="es-ES_tradnl"/>
              </w:rPr>
              <w:t>Participación en el programa de Máster en Derecho de Propiedad Intelectual OMPI–</w:t>
            </w:r>
            <w:proofErr w:type="spellStart"/>
            <w:r w:rsidRPr="009577DE">
              <w:rPr>
                <w:i/>
                <w:sz w:val="16"/>
                <w:szCs w:val="16"/>
                <w:lang w:val="es-ES_tradnl"/>
              </w:rPr>
              <w:t>Seoul</w:t>
            </w:r>
            <w:proofErr w:type="spellEnd"/>
            <w:r w:rsidRPr="009577DE">
              <w:rPr>
                <w:i/>
                <w:sz w:val="16"/>
                <w:szCs w:val="16"/>
                <w:lang w:val="es-ES_tradnl"/>
              </w:rPr>
              <w:t xml:space="preserve"> </w:t>
            </w:r>
            <w:proofErr w:type="spellStart"/>
            <w:r w:rsidRPr="009577DE">
              <w:rPr>
                <w:i/>
                <w:sz w:val="16"/>
                <w:szCs w:val="16"/>
                <w:lang w:val="es-ES_tradnl"/>
              </w:rPr>
              <w:t>National</w:t>
            </w:r>
            <w:proofErr w:type="spellEnd"/>
            <w:r w:rsidRPr="009577DE">
              <w:rPr>
                <w:i/>
                <w:sz w:val="16"/>
                <w:szCs w:val="16"/>
                <w:lang w:val="es-ES_tradnl"/>
              </w:rPr>
              <w:t xml:space="preserve"> </w:t>
            </w:r>
            <w:proofErr w:type="spellStart"/>
            <w:r w:rsidRPr="009577DE">
              <w:rPr>
                <w:i/>
                <w:sz w:val="16"/>
                <w:szCs w:val="16"/>
                <w:lang w:val="es-ES_tradnl"/>
              </w:rPr>
              <w:t>University</w:t>
            </w:r>
            <w:proofErr w:type="spellEnd"/>
            <w:r w:rsidRPr="009577DE">
              <w:rPr>
                <w:sz w:val="16"/>
                <w:szCs w:val="16"/>
                <w:lang w:val="es-ES_tradnl"/>
              </w:rPr>
              <w:t xml:space="preserve"> (SNU).</w:t>
            </w:r>
          </w:p>
        </w:tc>
        <w:tc>
          <w:tcPr>
            <w:tcW w:w="1134" w:type="dxa"/>
          </w:tcPr>
          <w:p w:rsidR="00B070BF" w:rsidRPr="009577DE" w:rsidRDefault="00B070BF" w:rsidP="00C33D4A">
            <w:pPr>
              <w:autoSpaceDE w:val="0"/>
              <w:autoSpaceDN w:val="0"/>
              <w:adjustRightInd w:val="0"/>
              <w:spacing w:before="120" w:after="120"/>
              <w:rPr>
                <w:sz w:val="16"/>
                <w:szCs w:val="16"/>
                <w:lang w:val="es-ES_tradnl"/>
              </w:rPr>
            </w:pPr>
            <w:r w:rsidRPr="009577DE">
              <w:rPr>
                <w:sz w:val="16"/>
                <w:szCs w:val="16"/>
                <w:lang w:val="es-ES_tradnl"/>
              </w:rPr>
              <w:t>Septiembre de 2012 a junio de 2014</w:t>
            </w:r>
          </w:p>
        </w:tc>
        <w:tc>
          <w:tcPr>
            <w:tcW w:w="2552" w:type="dxa"/>
            <w:gridSpan w:val="2"/>
          </w:tcPr>
          <w:p w:rsidR="00B070BF" w:rsidRPr="009577DE" w:rsidRDefault="00B070BF" w:rsidP="00C33D4A">
            <w:pPr>
              <w:autoSpaceDE w:val="0"/>
              <w:autoSpaceDN w:val="0"/>
              <w:adjustRightInd w:val="0"/>
              <w:spacing w:before="120" w:after="120"/>
              <w:rPr>
                <w:sz w:val="16"/>
                <w:szCs w:val="16"/>
                <w:lang w:val="es-ES_tradnl"/>
              </w:rPr>
            </w:pPr>
            <w:r w:rsidRPr="009577DE">
              <w:rPr>
                <w:sz w:val="16"/>
                <w:szCs w:val="16"/>
                <w:lang w:val="es-ES_tradnl"/>
              </w:rPr>
              <w:t>República de Corea/China, Filipinas, Malasia, Mongolia, y Uzbekistán</w:t>
            </w:r>
          </w:p>
        </w:tc>
        <w:tc>
          <w:tcPr>
            <w:tcW w:w="3543" w:type="dxa"/>
          </w:tcPr>
          <w:p w:rsidR="00B070BF" w:rsidRPr="009577DE" w:rsidRDefault="00B070BF" w:rsidP="00C33D4A">
            <w:pPr>
              <w:autoSpaceDE w:val="0"/>
              <w:autoSpaceDN w:val="0"/>
              <w:adjustRightInd w:val="0"/>
              <w:spacing w:before="120" w:after="120"/>
              <w:rPr>
                <w:sz w:val="16"/>
                <w:szCs w:val="16"/>
                <w:lang w:val="es-ES_tradnl"/>
              </w:rPr>
            </w:pPr>
            <w:r w:rsidRPr="009577DE">
              <w:rPr>
                <w:sz w:val="16"/>
                <w:szCs w:val="16"/>
                <w:lang w:val="es-ES_tradnl"/>
              </w:rPr>
              <w:t xml:space="preserve">El Fondo Fiduciario proporcionó fondos para la participación de seis estudiantes de la región de Asia y el Pacífico y dos de Uzbekistán en el programa OMPI–SNU en Seúl, (República de Corea), que es un programa de 2 años de duración. </w:t>
            </w:r>
          </w:p>
        </w:tc>
      </w:tr>
    </w:tbl>
    <w:p w:rsidR="00B070BF" w:rsidRPr="009577DE" w:rsidRDefault="00B070BF" w:rsidP="00B070BF">
      <w:pPr>
        <w:rPr>
          <w:sz w:val="20"/>
          <w:lang w:val="es-ES_tradnl"/>
        </w:rPr>
      </w:pPr>
    </w:p>
    <w:p w:rsidR="00B070BF" w:rsidRPr="009577DE" w:rsidRDefault="00B070BF" w:rsidP="00B070BF">
      <w:pPr>
        <w:rPr>
          <w:sz w:val="20"/>
          <w:lang w:val="es-ES_tradnl"/>
        </w:rPr>
      </w:pPr>
    </w:p>
    <w:p w:rsidR="00B070BF" w:rsidRPr="009577DE" w:rsidRDefault="00B070BF" w:rsidP="00B070BF">
      <w:pPr>
        <w:keepNext/>
        <w:keepLines/>
        <w:rPr>
          <w:b/>
          <w:bCs/>
          <w:sz w:val="18"/>
          <w:szCs w:val="18"/>
          <w:lang w:val="es-ES_tradnl"/>
        </w:rPr>
      </w:pPr>
      <w:r w:rsidRPr="009577DE">
        <w:rPr>
          <w:b/>
          <w:sz w:val="20"/>
          <w:lang w:val="es-ES_tradnl"/>
        </w:rPr>
        <w:t>REPÚBLICA DE COREA (EDUCACIÓN) – Becas en P.I. (Academia) – Contribuciones de donantes y gastos en 2012</w:t>
      </w:r>
      <w:r w:rsidRPr="009577DE">
        <w:rPr>
          <w:b/>
          <w:sz w:val="18"/>
          <w:szCs w:val="18"/>
          <w:vertAlign w:val="superscript"/>
          <w:lang w:val="es-ES_tradnl"/>
        </w:rPr>
        <w:t>1</w:t>
      </w:r>
    </w:p>
    <w:p w:rsidR="00B070BF" w:rsidRPr="009577DE" w:rsidRDefault="00B070BF" w:rsidP="00B070BF">
      <w:pPr>
        <w:rPr>
          <w:lang w:val="es-ES_tradn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0"/>
        <w:gridCol w:w="1650"/>
        <w:gridCol w:w="1817"/>
        <w:gridCol w:w="1703"/>
        <w:gridCol w:w="1980"/>
      </w:tblGrid>
      <w:tr w:rsidR="00B070BF" w:rsidRPr="009577DE" w:rsidTr="00C33D4A">
        <w:trPr>
          <w:trHeight w:val="567"/>
        </w:trPr>
        <w:tc>
          <w:tcPr>
            <w:tcW w:w="1870" w:type="dxa"/>
            <w:shd w:val="clear" w:color="auto" w:fill="CCFFFF"/>
            <w:vAlign w:val="center"/>
          </w:tcPr>
          <w:p w:rsidR="00B070BF" w:rsidRPr="009577DE" w:rsidRDefault="00B070BF" w:rsidP="00C33D4A">
            <w:pPr>
              <w:spacing w:after="220"/>
              <w:jc w:val="center"/>
              <w:rPr>
                <w:b/>
                <w:sz w:val="16"/>
                <w:szCs w:val="16"/>
                <w:lang w:val="es-ES_tradnl"/>
              </w:rPr>
            </w:pPr>
            <w:r w:rsidRPr="009577DE">
              <w:rPr>
                <w:b/>
                <w:sz w:val="16"/>
                <w:szCs w:val="16"/>
                <w:lang w:val="es-ES_tradnl"/>
              </w:rPr>
              <w:t>Balance a 31 de diciembre de 2011</w:t>
            </w:r>
          </w:p>
        </w:tc>
        <w:tc>
          <w:tcPr>
            <w:tcW w:w="1650" w:type="dxa"/>
            <w:shd w:val="clear" w:color="auto" w:fill="CCFFFF"/>
            <w:vAlign w:val="center"/>
          </w:tcPr>
          <w:p w:rsidR="00B070BF" w:rsidRPr="009577DE" w:rsidRDefault="00B070BF" w:rsidP="00C33D4A">
            <w:pPr>
              <w:spacing w:after="220"/>
              <w:jc w:val="center"/>
              <w:rPr>
                <w:b/>
                <w:sz w:val="16"/>
                <w:szCs w:val="16"/>
                <w:lang w:val="es-ES_tradnl"/>
              </w:rPr>
            </w:pPr>
            <w:r w:rsidRPr="009577DE">
              <w:rPr>
                <w:b/>
                <w:sz w:val="16"/>
                <w:szCs w:val="16"/>
                <w:lang w:val="es-ES_tradnl"/>
              </w:rPr>
              <w:t>Ingresos en 2012</w:t>
            </w:r>
          </w:p>
        </w:tc>
        <w:tc>
          <w:tcPr>
            <w:tcW w:w="1817" w:type="dxa"/>
            <w:shd w:val="clear" w:color="auto" w:fill="CCFFFF"/>
            <w:vAlign w:val="center"/>
          </w:tcPr>
          <w:p w:rsidR="00B070BF" w:rsidRPr="009577DE" w:rsidRDefault="00B070BF" w:rsidP="00C33D4A">
            <w:pPr>
              <w:spacing w:after="220"/>
              <w:jc w:val="center"/>
              <w:rPr>
                <w:b/>
                <w:sz w:val="16"/>
                <w:szCs w:val="16"/>
                <w:lang w:val="es-ES_tradnl"/>
              </w:rPr>
            </w:pPr>
            <w:r w:rsidRPr="009577DE">
              <w:rPr>
                <w:b/>
                <w:sz w:val="16"/>
                <w:szCs w:val="16"/>
                <w:lang w:val="es-ES_tradnl"/>
              </w:rPr>
              <w:t>Gastos en 2012</w:t>
            </w:r>
          </w:p>
        </w:tc>
        <w:tc>
          <w:tcPr>
            <w:tcW w:w="1703" w:type="dxa"/>
            <w:shd w:val="clear" w:color="auto" w:fill="CCFFFF"/>
            <w:vAlign w:val="center"/>
          </w:tcPr>
          <w:p w:rsidR="00B070BF" w:rsidRPr="009577DE" w:rsidRDefault="00B070BF" w:rsidP="00C33D4A">
            <w:pPr>
              <w:spacing w:after="220"/>
              <w:jc w:val="center"/>
              <w:rPr>
                <w:b/>
                <w:sz w:val="16"/>
                <w:szCs w:val="16"/>
                <w:lang w:val="es-ES_tradnl"/>
              </w:rPr>
            </w:pPr>
            <w:r w:rsidRPr="009577DE">
              <w:rPr>
                <w:b/>
                <w:sz w:val="16"/>
                <w:szCs w:val="16"/>
                <w:lang w:val="es-ES_tradnl"/>
              </w:rPr>
              <w:t>Reembolsos</w:t>
            </w:r>
          </w:p>
        </w:tc>
        <w:tc>
          <w:tcPr>
            <w:tcW w:w="1980" w:type="dxa"/>
            <w:shd w:val="clear" w:color="auto" w:fill="CCFFFF"/>
            <w:vAlign w:val="center"/>
          </w:tcPr>
          <w:p w:rsidR="00B070BF" w:rsidRPr="009577DE" w:rsidRDefault="00B070BF" w:rsidP="00C33D4A">
            <w:pPr>
              <w:spacing w:after="220"/>
              <w:jc w:val="center"/>
              <w:rPr>
                <w:b/>
                <w:sz w:val="16"/>
                <w:szCs w:val="16"/>
                <w:lang w:val="es-ES_tradnl"/>
              </w:rPr>
            </w:pPr>
            <w:r w:rsidRPr="009577DE">
              <w:rPr>
                <w:b/>
                <w:sz w:val="16"/>
                <w:szCs w:val="16"/>
                <w:lang w:val="es-ES_tradnl"/>
              </w:rPr>
              <w:t>Balance a 31 de diciembre de 2012</w:t>
            </w:r>
          </w:p>
        </w:tc>
      </w:tr>
      <w:tr w:rsidR="00B070BF" w:rsidRPr="009577DE" w:rsidTr="00C33D4A">
        <w:trPr>
          <w:trHeight w:val="567"/>
        </w:trPr>
        <w:tc>
          <w:tcPr>
            <w:tcW w:w="1870" w:type="dxa"/>
            <w:shd w:val="clear" w:color="auto" w:fill="auto"/>
            <w:vAlign w:val="center"/>
          </w:tcPr>
          <w:p w:rsidR="00B070BF" w:rsidRPr="009577DE" w:rsidRDefault="00B070BF" w:rsidP="00C33D4A">
            <w:pPr>
              <w:autoSpaceDE w:val="0"/>
              <w:autoSpaceDN w:val="0"/>
              <w:adjustRightInd w:val="0"/>
              <w:spacing w:after="220"/>
              <w:jc w:val="center"/>
              <w:rPr>
                <w:rFonts w:eastAsia="MS Mincho"/>
                <w:sz w:val="16"/>
                <w:szCs w:val="16"/>
                <w:lang w:val="es-ES_tradnl" w:eastAsia="ja-JP" w:bidi="th-TH"/>
              </w:rPr>
            </w:pPr>
            <w:r w:rsidRPr="009577DE">
              <w:rPr>
                <w:rFonts w:eastAsia="MS Mincho"/>
                <w:sz w:val="16"/>
                <w:szCs w:val="16"/>
                <w:lang w:val="es-ES_tradnl" w:eastAsia="ja-JP" w:bidi="th-TH"/>
              </w:rPr>
              <w:t>160.85</w:t>
            </w:r>
            <w:r>
              <w:rPr>
                <w:rFonts w:eastAsia="MS Mincho"/>
                <w:sz w:val="16"/>
                <w:szCs w:val="16"/>
                <w:lang w:val="es-ES_tradnl" w:eastAsia="ja-JP" w:bidi="th-TH"/>
              </w:rPr>
              <w:t>8</w:t>
            </w:r>
          </w:p>
        </w:tc>
        <w:tc>
          <w:tcPr>
            <w:tcW w:w="1650" w:type="dxa"/>
            <w:shd w:val="clear" w:color="auto" w:fill="auto"/>
            <w:vAlign w:val="center"/>
          </w:tcPr>
          <w:p w:rsidR="00B070BF" w:rsidRPr="009577DE" w:rsidRDefault="00B070BF" w:rsidP="00C33D4A">
            <w:pPr>
              <w:autoSpaceDE w:val="0"/>
              <w:autoSpaceDN w:val="0"/>
              <w:adjustRightInd w:val="0"/>
              <w:spacing w:after="220"/>
              <w:jc w:val="center"/>
              <w:rPr>
                <w:rFonts w:eastAsia="MS Mincho"/>
                <w:sz w:val="16"/>
                <w:szCs w:val="16"/>
                <w:lang w:val="es-ES_tradnl" w:eastAsia="ja-JP" w:bidi="th-TH"/>
              </w:rPr>
            </w:pPr>
            <w:r w:rsidRPr="009577DE">
              <w:rPr>
                <w:rFonts w:eastAsia="MS Mincho"/>
                <w:sz w:val="16"/>
                <w:szCs w:val="16"/>
                <w:lang w:val="es-ES_tradnl" w:eastAsia="ja-JP" w:bidi="th-TH"/>
              </w:rPr>
              <w:t>167.447</w:t>
            </w:r>
          </w:p>
        </w:tc>
        <w:tc>
          <w:tcPr>
            <w:tcW w:w="1817" w:type="dxa"/>
            <w:shd w:val="clear" w:color="auto" w:fill="auto"/>
            <w:vAlign w:val="center"/>
          </w:tcPr>
          <w:p w:rsidR="00B070BF" w:rsidRPr="009577DE" w:rsidRDefault="00B070BF" w:rsidP="00C33D4A">
            <w:pPr>
              <w:autoSpaceDE w:val="0"/>
              <w:autoSpaceDN w:val="0"/>
              <w:adjustRightInd w:val="0"/>
              <w:spacing w:after="220"/>
              <w:jc w:val="center"/>
              <w:rPr>
                <w:rFonts w:eastAsia="MS Mincho"/>
                <w:sz w:val="16"/>
                <w:szCs w:val="16"/>
                <w:lang w:val="es-ES_tradnl" w:eastAsia="ja-JP" w:bidi="th-TH"/>
              </w:rPr>
            </w:pPr>
            <w:r w:rsidRPr="009577DE">
              <w:rPr>
                <w:rFonts w:eastAsia="MS Mincho"/>
                <w:sz w:val="16"/>
                <w:szCs w:val="16"/>
                <w:lang w:val="es-ES_tradnl" w:eastAsia="ja-JP" w:bidi="th-TH"/>
              </w:rPr>
              <w:t>98.486</w:t>
            </w:r>
          </w:p>
        </w:tc>
        <w:tc>
          <w:tcPr>
            <w:tcW w:w="1703" w:type="dxa"/>
            <w:shd w:val="clear" w:color="auto" w:fill="auto"/>
            <w:vAlign w:val="center"/>
          </w:tcPr>
          <w:p w:rsidR="00B070BF" w:rsidRPr="009577DE" w:rsidRDefault="00B070BF" w:rsidP="00C33D4A">
            <w:pPr>
              <w:autoSpaceDE w:val="0"/>
              <w:autoSpaceDN w:val="0"/>
              <w:adjustRightInd w:val="0"/>
              <w:spacing w:after="220"/>
              <w:jc w:val="center"/>
              <w:rPr>
                <w:rFonts w:eastAsia="MS Mincho"/>
                <w:sz w:val="16"/>
                <w:szCs w:val="16"/>
                <w:lang w:val="es-ES_tradnl" w:eastAsia="ja-JP" w:bidi="th-TH"/>
              </w:rPr>
            </w:pPr>
            <w:r w:rsidRPr="009577DE">
              <w:rPr>
                <w:rFonts w:eastAsia="MS Mincho"/>
                <w:sz w:val="16"/>
                <w:szCs w:val="16"/>
                <w:lang w:val="es-ES_tradnl" w:eastAsia="ja-JP" w:bidi="th-TH"/>
              </w:rPr>
              <w:t>–</w:t>
            </w:r>
          </w:p>
        </w:tc>
        <w:tc>
          <w:tcPr>
            <w:tcW w:w="1980" w:type="dxa"/>
            <w:shd w:val="clear" w:color="auto" w:fill="auto"/>
            <w:vAlign w:val="center"/>
          </w:tcPr>
          <w:p w:rsidR="00B070BF" w:rsidRPr="009577DE" w:rsidRDefault="00B070BF" w:rsidP="00C33D4A">
            <w:pPr>
              <w:autoSpaceDE w:val="0"/>
              <w:autoSpaceDN w:val="0"/>
              <w:adjustRightInd w:val="0"/>
              <w:spacing w:after="220"/>
              <w:jc w:val="center"/>
              <w:rPr>
                <w:rFonts w:eastAsia="MS Mincho"/>
                <w:sz w:val="16"/>
                <w:szCs w:val="16"/>
                <w:lang w:val="es-ES_tradnl" w:eastAsia="ja-JP" w:bidi="th-TH"/>
              </w:rPr>
            </w:pPr>
            <w:r w:rsidRPr="009577DE">
              <w:rPr>
                <w:rFonts w:eastAsia="MS Mincho"/>
                <w:sz w:val="16"/>
                <w:szCs w:val="16"/>
                <w:lang w:val="es-ES_tradnl" w:eastAsia="ja-JP" w:bidi="th-TH"/>
              </w:rPr>
              <w:t>229.820</w:t>
            </w:r>
          </w:p>
        </w:tc>
      </w:tr>
    </w:tbl>
    <w:p w:rsidR="00B070BF" w:rsidRPr="009577DE" w:rsidRDefault="00B070BF" w:rsidP="00B070BF">
      <w:pPr>
        <w:spacing w:before="120"/>
        <w:rPr>
          <w:szCs w:val="22"/>
          <w:lang w:val="es-ES_tradnl"/>
        </w:rPr>
      </w:pPr>
      <w:r w:rsidRPr="009577DE">
        <w:rPr>
          <w:i/>
          <w:iCs/>
          <w:sz w:val="16"/>
          <w:szCs w:val="16"/>
          <w:vertAlign w:val="superscript"/>
          <w:lang w:val="es-ES_tradnl"/>
        </w:rPr>
        <w:t xml:space="preserve">1 </w:t>
      </w:r>
      <w:r w:rsidRPr="009577DE">
        <w:rPr>
          <w:i/>
          <w:iCs/>
          <w:sz w:val="16"/>
          <w:szCs w:val="16"/>
          <w:lang w:val="es-ES_tradnl"/>
        </w:rPr>
        <w:t>Estados financieros de la OMPI de 2012 (Anexo III)</w:t>
      </w:r>
    </w:p>
    <w:p w:rsidR="00B070BF" w:rsidRPr="009577DE" w:rsidRDefault="00B070BF" w:rsidP="00B070BF">
      <w:pPr>
        <w:keepNext/>
        <w:keepLines/>
        <w:rPr>
          <w:b/>
          <w:sz w:val="20"/>
          <w:szCs w:val="18"/>
          <w:lang w:val="es-ES_tradnl"/>
        </w:rPr>
      </w:pPr>
    </w:p>
    <w:p w:rsidR="00B070BF" w:rsidRPr="009577DE" w:rsidRDefault="00B070BF" w:rsidP="00B070BF">
      <w:pPr>
        <w:rPr>
          <w:sz w:val="18"/>
          <w:szCs w:val="16"/>
          <w:lang w:val="es-ES_tradnl"/>
        </w:rPr>
      </w:pPr>
    </w:p>
    <w:p w:rsidR="00B070BF" w:rsidRPr="009577DE" w:rsidRDefault="00B070BF" w:rsidP="00B070BF">
      <w:pPr>
        <w:keepNext/>
        <w:keepLines/>
        <w:rPr>
          <w:b/>
          <w:sz w:val="20"/>
          <w:lang w:val="es-ES_tradnl"/>
        </w:rPr>
      </w:pPr>
      <w:r w:rsidRPr="009577DE">
        <w:rPr>
          <w:b/>
          <w:sz w:val="20"/>
          <w:lang w:val="es-ES_tradnl"/>
        </w:rPr>
        <w:t>REPÚBLICA DE COREA – PROPIEDAD INTELECTUAL</w:t>
      </w:r>
    </w:p>
    <w:p w:rsidR="00B070BF" w:rsidRPr="009577DE" w:rsidRDefault="00B070BF" w:rsidP="00B070BF">
      <w:pPr>
        <w:keepNext/>
        <w:keepLines/>
        <w:rPr>
          <w:b/>
          <w:sz w:val="20"/>
          <w:lang w:val="es-ES_tradnl"/>
        </w:rPr>
      </w:pPr>
    </w:p>
    <w:tbl>
      <w:tblPr>
        <w:tblW w:w="9102" w:type="dxa"/>
        <w:tblInd w:w="78"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1873"/>
        <w:gridCol w:w="1134"/>
        <w:gridCol w:w="1843"/>
        <w:gridCol w:w="567"/>
        <w:gridCol w:w="142"/>
        <w:gridCol w:w="141"/>
        <w:gridCol w:w="3402"/>
      </w:tblGrid>
      <w:tr w:rsidR="00B070BF" w:rsidRPr="009577DE" w:rsidTr="00C33D4A">
        <w:tc>
          <w:tcPr>
            <w:tcW w:w="9102" w:type="dxa"/>
            <w:gridSpan w:val="7"/>
            <w:tcBorders>
              <w:top w:val="single" w:sz="4" w:space="0" w:color="000000"/>
              <w:bottom w:val="single" w:sz="4" w:space="0" w:color="000000"/>
            </w:tcBorders>
            <w:shd w:val="clear" w:color="auto" w:fill="CCFFFF"/>
            <w:vAlign w:val="center"/>
          </w:tcPr>
          <w:p w:rsidR="00B070BF" w:rsidRPr="009577DE" w:rsidRDefault="00B070BF" w:rsidP="00C33D4A">
            <w:pPr>
              <w:keepNext/>
              <w:keepLines/>
              <w:tabs>
                <w:tab w:val="left" w:pos="1740"/>
              </w:tabs>
              <w:spacing w:before="120" w:after="120"/>
              <w:ind w:left="1740" w:hanging="1740"/>
              <w:rPr>
                <w:b/>
                <w:bCs/>
                <w:sz w:val="16"/>
                <w:szCs w:val="16"/>
                <w:lang w:val="es-ES_tradnl"/>
              </w:rPr>
            </w:pPr>
            <w:r w:rsidRPr="009577DE">
              <w:rPr>
                <w:b/>
                <w:bCs/>
                <w:sz w:val="16"/>
                <w:szCs w:val="16"/>
                <w:lang w:val="es-ES_tradnl"/>
              </w:rPr>
              <w:t>RESULTADO:</w:t>
            </w:r>
            <w:r w:rsidRPr="009577DE">
              <w:rPr>
                <w:b/>
                <w:bCs/>
                <w:sz w:val="16"/>
                <w:szCs w:val="16"/>
                <w:lang w:val="es-ES_tradnl"/>
              </w:rPr>
              <w:tab/>
            </w:r>
            <w:r w:rsidRPr="009577DE">
              <w:rPr>
                <w:bCs/>
                <w:sz w:val="16"/>
                <w:szCs w:val="16"/>
                <w:lang w:val="es-ES_tradnl"/>
              </w:rPr>
              <w:t>Mejora en el acceso a la información y los conocimientos sobre P.I. y su utilización por las instituciones de P.I. y el público, para fomentar la innovación y el desarrollo socioeconómico</w:t>
            </w:r>
          </w:p>
        </w:tc>
      </w:tr>
      <w:tr w:rsidR="00B070BF" w:rsidRPr="009577DE" w:rsidTr="00C33D4A">
        <w:tc>
          <w:tcPr>
            <w:tcW w:w="1873" w:type="dxa"/>
            <w:tcBorders>
              <w:top w:val="single" w:sz="4" w:space="0" w:color="000000"/>
            </w:tcBorders>
            <w:vAlign w:val="center"/>
          </w:tcPr>
          <w:p w:rsidR="00B070BF" w:rsidRPr="009577DE" w:rsidRDefault="00B070BF" w:rsidP="00C33D4A">
            <w:pPr>
              <w:keepNext/>
              <w:keepLines/>
              <w:rPr>
                <w:b/>
                <w:bCs/>
                <w:sz w:val="16"/>
                <w:szCs w:val="16"/>
                <w:lang w:val="es-ES_tradnl"/>
              </w:rPr>
            </w:pPr>
            <w:r w:rsidRPr="009577DE">
              <w:rPr>
                <w:b/>
                <w:bCs/>
                <w:sz w:val="16"/>
                <w:szCs w:val="16"/>
                <w:lang w:val="es-ES_tradnl"/>
              </w:rPr>
              <w:t>Actividad</w:t>
            </w:r>
          </w:p>
        </w:tc>
        <w:tc>
          <w:tcPr>
            <w:tcW w:w="1134" w:type="dxa"/>
            <w:tcBorders>
              <w:top w:val="single" w:sz="4" w:space="0" w:color="000000"/>
            </w:tcBorders>
            <w:shd w:val="clear" w:color="auto" w:fill="auto"/>
            <w:tcMar>
              <w:top w:w="110" w:type="dxa"/>
            </w:tcMar>
            <w:vAlign w:val="center"/>
          </w:tcPr>
          <w:p w:rsidR="00B070BF" w:rsidRPr="009577DE" w:rsidRDefault="00B070BF" w:rsidP="00C33D4A">
            <w:pPr>
              <w:keepNext/>
              <w:keepLines/>
              <w:rPr>
                <w:sz w:val="16"/>
                <w:szCs w:val="16"/>
                <w:lang w:val="es-ES_tradnl"/>
              </w:rPr>
            </w:pPr>
            <w:r w:rsidRPr="009577DE">
              <w:rPr>
                <w:b/>
                <w:bCs/>
                <w:sz w:val="16"/>
                <w:szCs w:val="16"/>
                <w:lang w:val="es-ES_tradnl"/>
              </w:rPr>
              <w:t>Fecha</w:t>
            </w:r>
          </w:p>
        </w:tc>
        <w:tc>
          <w:tcPr>
            <w:tcW w:w="2410" w:type="dxa"/>
            <w:gridSpan w:val="2"/>
            <w:tcBorders>
              <w:top w:val="single" w:sz="4" w:space="0" w:color="000000"/>
            </w:tcBorders>
            <w:shd w:val="clear" w:color="auto" w:fill="auto"/>
            <w:tcMar>
              <w:top w:w="110" w:type="dxa"/>
            </w:tcMar>
            <w:vAlign w:val="center"/>
          </w:tcPr>
          <w:p w:rsidR="00B070BF" w:rsidRPr="009577DE" w:rsidRDefault="00B070BF" w:rsidP="00C33D4A">
            <w:pPr>
              <w:keepNext/>
              <w:keepLines/>
              <w:rPr>
                <w:sz w:val="16"/>
                <w:szCs w:val="16"/>
                <w:lang w:val="es-ES_tradnl"/>
              </w:rPr>
            </w:pPr>
            <w:r w:rsidRPr="009577DE">
              <w:rPr>
                <w:b/>
                <w:bCs/>
                <w:sz w:val="16"/>
                <w:szCs w:val="16"/>
                <w:lang w:val="es-ES_tradnl"/>
              </w:rPr>
              <w:t>País anfitrión/Beneficiarios</w:t>
            </w:r>
          </w:p>
        </w:tc>
        <w:tc>
          <w:tcPr>
            <w:tcW w:w="3685" w:type="dxa"/>
            <w:gridSpan w:val="3"/>
            <w:tcBorders>
              <w:top w:val="single" w:sz="4" w:space="0" w:color="000000"/>
            </w:tcBorders>
            <w:shd w:val="clear" w:color="auto" w:fill="FFFFFF"/>
            <w:tcMar>
              <w:top w:w="110" w:type="dxa"/>
            </w:tcMar>
            <w:vAlign w:val="center"/>
          </w:tcPr>
          <w:p w:rsidR="00B070BF" w:rsidRPr="009577DE" w:rsidRDefault="00B070BF" w:rsidP="00C33D4A">
            <w:pPr>
              <w:keepNext/>
              <w:keepLines/>
              <w:rPr>
                <w:sz w:val="16"/>
                <w:szCs w:val="16"/>
                <w:lang w:val="es-ES_tradnl"/>
              </w:rPr>
            </w:pPr>
            <w:r w:rsidRPr="009577DE">
              <w:rPr>
                <w:b/>
                <w:bCs/>
                <w:sz w:val="16"/>
                <w:szCs w:val="16"/>
                <w:lang w:val="es-ES_tradnl"/>
              </w:rPr>
              <w:t>Propósito/Descripción</w:t>
            </w:r>
          </w:p>
        </w:tc>
      </w:tr>
      <w:tr w:rsidR="00B070BF" w:rsidRPr="009577DE" w:rsidTr="00C33D4A">
        <w:tc>
          <w:tcPr>
            <w:tcW w:w="1873" w:type="dxa"/>
          </w:tcPr>
          <w:p w:rsidR="00B070BF" w:rsidRPr="009577DE" w:rsidRDefault="00B070BF" w:rsidP="00C33D4A">
            <w:pPr>
              <w:autoSpaceDE w:val="0"/>
              <w:autoSpaceDN w:val="0"/>
              <w:adjustRightInd w:val="0"/>
              <w:spacing w:before="120" w:after="120"/>
              <w:rPr>
                <w:sz w:val="16"/>
                <w:szCs w:val="16"/>
                <w:lang w:val="es-ES_tradnl"/>
              </w:rPr>
            </w:pPr>
            <w:r w:rsidRPr="009577DE">
              <w:rPr>
                <w:sz w:val="16"/>
                <w:szCs w:val="16"/>
                <w:lang w:val="es-ES_tradnl"/>
              </w:rPr>
              <w:t>Concurso sobre tecnologías apropiadas.</w:t>
            </w:r>
          </w:p>
        </w:tc>
        <w:tc>
          <w:tcPr>
            <w:tcW w:w="1134" w:type="dxa"/>
          </w:tcPr>
          <w:p w:rsidR="00B070BF" w:rsidRPr="009577DE" w:rsidRDefault="00B070BF" w:rsidP="00C33D4A">
            <w:pPr>
              <w:autoSpaceDE w:val="0"/>
              <w:autoSpaceDN w:val="0"/>
              <w:adjustRightInd w:val="0"/>
              <w:spacing w:before="120" w:after="120"/>
              <w:rPr>
                <w:sz w:val="16"/>
                <w:szCs w:val="16"/>
                <w:lang w:val="es-ES_tradnl" w:eastAsia="ko-KR"/>
              </w:rPr>
            </w:pPr>
            <w:r w:rsidRPr="009577DE">
              <w:rPr>
                <w:sz w:val="16"/>
                <w:szCs w:val="16"/>
                <w:lang w:val="es-ES_tradnl" w:eastAsia="ko-KR"/>
              </w:rPr>
              <w:t>Marzo a octubre de 2012</w:t>
            </w:r>
          </w:p>
        </w:tc>
        <w:tc>
          <w:tcPr>
            <w:tcW w:w="2410" w:type="dxa"/>
            <w:gridSpan w:val="2"/>
          </w:tcPr>
          <w:p w:rsidR="00B070BF" w:rsidRPr="009577DE" w:rsidRDefault="00B070BF" w:rsidP="00C33D4A">
            <w:pPr>
              <w:autoSpaceDE w:val="0"/>
              <w:autoSpaceDN w:val="0"/>
              <w:adjustRightInd w:val="0"/>
              <w:spacing w:before="120" w:after="120"/>
              <w:rPr>
                <w:sz w:val="16"/>
                <w:szCs w:val="16"/>
                <w:lang w:val="es-ES_tradnl"/>
              </w:rPr>
            </w:pPr>
            <w:r w:rsidRPr="009577DE">
              <w:rPr>
                <w:sz w:val="16"/>
                <w:szCs w:val="16"/>
                <w:lang w:val="es-ES_tradnl"/>
              </w:rPr>
              <w:t>Filipinas</w:t>
            </w:r>
          </w:p>
          <w:p w:rsidR="00B070BF" w:rsidRPr="009577DE" w:rsidRDefault="00B070BF" w:rsidP="00C33D4A">
            <w:pPr>
              <w:autoSpaceDE w:val="0"/>
              <w:autoSpaceDN w:val="0"/>
              <w:adjustRightInd w:val="0"/>
              <w:spacing w:before="120" w:after="120"/>
              <w:rPr>
                <w:sz w:val="16"/>
                <w:szCs w:val="16"/>
                <w:lang w:val="es-ES_tradnl"/>
              </w:rPr>
            </w:pPr>
            <w:r w:rsidRPr="009577DE">
              <w:rPr>
                <w:sz w:val="16"/>
                <w:szCs w:val="16"/>
                <w:lang w:val="es-ES_tradnl"/>
              </w:rPr>
              <w:t>145 participantes</w:t>
            </w:r>
          </w:p>
        </w:tc>
        <w:tc>
          <w:tcPr>
            <w:tcW w:w="3685" w:type="dxa"/>
            <w:gridSpan w:val="3"/>
          </w:tcPr>
          <w:p w:rsidR="00B070BF" w:rsidRPr="009577DE" w:rsidRDefault="00B070BF" w:rsidP="00C33D4A">
            <w:pPr>
              <w:autoSpaceDE w:val="0"/>
              <w:autoSpaceDN w:val="0"/>
              <w:adjustRightInd w:val="0"/>
              <w:spacing w:after="120"/>
              <w:rPr>
                <w:sz w:val="8"/>
                <w:szCs w:val="8"/>
                <w:lang w:val="es-ES_tradnl"/>
              </w:rPr>
            </w:pPr>
          </w:p>
          <w:p w:rsidR="00B070BF" w:rsidRPr="009577DE" w:rsidRDefault="00B070BF" w:rsidP="00C33D4A">
            <w:pPr>
              <w:autoSpaceDE w:val="0"/>
              <w:autoSpaceDN w:val="0"/>
              <w:adjustRightInd w:val="0"/>
              <w:spacing w:after="120"/>
              <w:rPr>
                <w:sz w:val="16"/>
                <w:szCs w:val="16"/>
                <w:lang w:val="es-ES_tradnl"/>
              </w:rPr>
            </w:pPr>
            <w:r w:rsidRPr="009577DE">
              <w:rPr>
                <w:sz w:val="16"/>
                <w:szCs w:val="16"/>
                <w:lang w:val="es-ES_tradnl"/>
              </w:rPr>
              <w:t>Fomentar y recompensar la excelencia de las soluciones innovadoras a problemas frecuentes, en especial aquellas que emplean tecnologías apropiadas para las condiciones locales.  La utilización de la información contenida en las patentes para diseñar las soluciones constituyó un elemento fundamental del concurso.</w:t>
            </w:r>
          </w:p>
          <w:p w:rsidR="00B070BF" w:rsidRPr="009577DE" w:rsidRDefault="00B070BF" w:rsidP="00C33D4A">
            <w:pPr>
              <w:autoSpaceDE w:val="0"/>
              <w:autoSpaceDN w:val="0"/>
              <w:adjustRightInd w:val="0"/>
              <w:spacing w:after="120"/>
              <w:rPr>
                <w:sz w:val="16"/>
                <w:szCs w:val="16"/>
                <w:lang w:val="es-ES_tradnl" w:eastAsia="ko-KR"/>
              </w:rPr>
            </w:pPr>
            <w:r w:rsidRPr="009577DE">
              <w:rPr>
                <w:sz w:val="16"/>
                <w:szCs w:val="16"/>
                <w:lang w:val="es-ES_tradnl"/>
              </w:rPr>
              <w:t>El concurso incluyó un taller de orientación (</w:t>
            </w:r>
            <w:r w:rsidRPr="009577DE">
              <w:rPr>
                <w:sz w:val="16"/>
                <w:szCs w:val="16"/>
                <w:lang w:val="es-ES_tradnl" w:eastAsia="ko-KR"/>
              </w:rPr>
              <w:t xml:space="preserve">17 y 21 de mayo de </w:t>
            </w:r>
            <w:r w:rsidRPr="009577DE">
              <w:rPr>
                <w:sz w:val="16"/>
                <w:szCs w:val="16"/>
                <w:lang w:val="es-ES_tradnl"/>
              </w:rPr>
              <w:t>201</w:t>
            </w:r>
            <w:r w:rsidRPr="009577DE">
              <w:rPr>
                <w:sz w:val="16"/>
                <w:szCs w:val="16"/>
                <w:lang w:val="es-ES_tradnl" w:eastAsia="ko-KR"/>
              </w:rPr>
              <w:t>2</w:t>
            </w:r>
            <w:r w:rsidRPr="009577DE">
              <w:rPr>
                <w:sz w:val="16"/>
                <w:szCs w:val="16"/>
                <w:lang w:val="es-ES_tradnl"/>
              </w:rPr>
              <w:t>), una evaluación y una selección previa de propuestas (octubre de 201</w:t>
            </w:r>
            <w:r w:rsidRPr="009577DE">
              <w:rPr>
                <w:sz w:val="16"/>
                <w:szCs w:val="16"/>
                <w:lang w:val="es-ES_tradnl" w:eastAsia="ko-KR"/>
              </w:rPr>
              <w:t>2</w:t>
            </w:r>
            <w:r w:rsidRPr="009577DE">
              <w:rPr>
                <w:sz w:val="16"/>
                <w:szCs w:val="16"/>
                <w:lang w:val="es-ES_tradnl"/>
              </w:rPr>
              <w:t>), ponencias de los candidatos seleccionados y un taller sobre comercialización (23 y 24 de octubre de 2012).</w:t>
            </w:r>
          </w:p>
        </w:tc>
      </w:tr>
      <w:tr w:rsidR="00B070BF" w:rsidRPr="009577DE" w:rsidTr="00C33D4A">
        <w:tc>
          <w:tcPr>
            <w:tcW w:w="1873" w:type="dxa"/>
          </w:tcPr>
          <w:p w:rsidR="00B070BF" w:rsidRPr="009577DE" w:rsidRDefault="00B070BF" w:rsidP="00C33D4A">
            <w:pPr>
              <w:autoSpaceDE w:val="0"/>
              <w:autoSpaceDN w:val="0"/>
              <w:adjustRightInd w:val="0"/>
              <w:spacing w:before="120" w:after="120"/>
              <w:rPr>
                <w:sz w:val="16"/>
                <w:szCs w:val="16"/>
                <w:lang w:val="es-ES_tradnl"/>
              </w:rPr>
            </w:pPr>
            <w:r w:rsidRPr="009577DE">
              <w:rPr>
                <w:sz w:val="16"/>
                <w:szCs w:val="16"/>
                <w:lang w:val="es-ES_tradnl"/>
              </w:rPr>
              <w:t>Concurso sobre tecnologías apropiadas</w:t>
            </w:r>
          </w:p>
        </w:tc>
        <w:tc>
          <w:tcPr>
            <w:tcW w:w="1134" w:type="dxa"/>
          </w:tcPr>
          <w:p w:rsidR="00B070BF" w:rsidRPr="009577DE" w:rsidRDefault="00B070BF" w:rsidP="00C33D4A">
            <w:pPr>
              <w:autoSpaceDE w:val="0"/>
              <w:autoSpaceDN w:val="0"/>
              <w:adjustRightInd w:val="0"/>
              <w:spacing w:before="120" w:after="120"/>
              <w:rPr>
                <w:sz w:val="16"/>
                <w:szCs w:val="16"/>
                <w:lang w:val="es-ES_tradnl"/>
              </w:rPr>
            </w:pPr>
            <w:r w:rsidRPr="009577DE">
              <w:rPr>
                <w:sz w:val="16"/>
                <w:szCs w:val="16"/>
                <w:lang w:val="es-ES_tradnl" w:eastAsia="ko-KR"/>
              </w:rPr>
              <w:t>Marzo a diciembre de 2012</w:t>
            </w:r>
          </w:p>
        </w:tc>
        <w:tc>
          <w:tcPr>
            <w:tcW w:w="2410" w:type="dxa"/>
            <w:gridSpan w:val="2"/>
          </w:tcPr>
          <w:p w:rsidR="00B070BF" w:rsidRPr="009577DE" w:rsidRDefault="00B070BF" w:rsidP="00C33D4A">
            <w:pPr>
              <w:autoSpaceDE w:val="0"/>
              <w:autoSpaceDN w:val="0"/>
              <w:adjustRightInd w:val="0"/>
              <w:spacing w:before="120" w:after="120"/>
              <w:rPr>
                <w:sz w:val="16"/>
                <w:szCs w:val="16"/>
                <w:lang w:val="es-ES_tradnl"/>
              </w:rPr>
            </w:pPr>
            <w:r w:rsidRPr="009577DE">
              <w:rPr>
                <w:sz w:val="16"/>
                <w:szCs w:val="16"/>
                <w:lang w:val="es-ES_tradnl"/>
              </w:rPr>
              <w:t>Etiopía</w:t>
            </w:r>
          </w:p>
          <w:p w:rsidR="00B070BF" w:rsidRPr="009577DE" w:rsidRDefault="00B070BF" w:rsidP="00C33D4A">
            <w:pPr>
              <w:autoSpaceDE w:val="0"/>
              <w:autoSpaceDN w:val="0"/>
              <w:adjustRightInd w:val="0"/>
              <w:spacing w:before="120" w:after="120"/>
              <w:rPr>
                <w:sz w:val="16"/>
                <w:szCs w:val="16"/>
                <w:lang w:val="es-ES_tradnl"/>
              </w:rPr>
            </w:pPr>
            <w:r w:rsidRPr="009577DE">
              <w:rPr>
                <w:sz w:val="16"/>
                <w:szCs w:val="16"/>
                <w:lang w:val="es-ES_tradnl" w:eastAsia="ko-KR"/>
              </w:rPr>
              <w:t>60 participantes</w:t>
            </w:r>
          </w:p>
        </w:tc>
        <w:tc>
          <w:tcPr>
            <w:tcW w:w="3685" w:type="dxa"/>
            <w:gridSpan w:val="3"/>
          </w:tcPr>
          <w:p w:rsidR="00B070BF" w:rsidRPr="009577DE" w:rsidRDefault="00B070BF" w:rsidP="00C33D4A">
            <w:pPr>
              <w:autoSpaceDE w:val="0"/>
              <w:autoSpaceDN w:val="0"/>
              <w:adjustRightInd w:val="0"/>
              <w:spacing w:before="120" w:after="120"/>
              <w:rPr>
                <w:sz w:val="16"/>
                <w:szCs w:val="16"/>
                <w:lang w:val="es-ES_tradnl"/>
              </w:rPr>
            </w:pPr>
            <w:r w:rsidRPr="009577DE">
              <w:rPr>
                <w:sz w:val="16"/>
                <w:szCs w:val="16"/>
                <w:lang w:val="es-ES_tradnl"/>
              </w:rPr>
              <w:t>Fomentar y recompensar la excelencia de las soluciones innovadoras a problemas frecuentes, en especial aquellas que emplean tecnologías apropiadas para las condiciones locales La utilización de la información contenida en las patentes para diseñar las soluciones constituyó un elemento fundamental del concurso</w:t>
            </w:r>
          </w:p>
          <w:p w:rsidR="00B070BF" w:rsidRPr="009577DE" w:rsidRDefault="00B070BF" w:rsidP="00C33D4A">
            <w:pPr>
              <w:autoSpaceDE w:val="0"/>
              <w:autoSpaceDN w:val="0"/>
              <w:adjustRightInd w:val="0"/>
              <w:spacing w:after="120"/>
              <w:rPr>
                <w:sz w:val="16"/>
                <w:szCs w:val="16"/>
                <w:lang w:val="es-ES_tradnl" w:eastAsia="ko-KR"/>
              </w:rPr>
            </w:pPr>
            <w:r w:rsidRPr="009577DE">
              <w:rPr>
                <w:sz w:val="16"/>
                <w:szCs w:val="16"/>
                <w:lang w:val="es-ES_tradnl"/>
              </w:rPr>
              <w:t xml:space="preserve">El concurso incluyó un taller de orientación (3 </w:t>
            </w:r>
            <w:r w:rsidRPr="009577DE">
              <w:rPr>
                <w:sz w:val="16"/>
                <w:szCs w:val="16"/>
                <w:lang w:val="es-ES_tradnl" w:eastAsia="ko-KR"/>
              </w:rPr>
              <w:t xml:space="preserve">de mayo de </w:t>
            </w:r>
            <w:r w:rsidRPr="009577DE">
              <w:rPr>
                <w:sz w:val="16"/>
                <w:szCs w:val="16"/>
                <w:lang w:val="es-ES_tradnl"/>
              </w:rPr>
              <w:t>201</w:t>
            </w:r>
            <w:r w:rsidRPr="009577DE">
              <w:rPr>
                <w:sz w:val="16"/>
                <w:szCs w:val="16"/>
                <w:lang w:val="es-ES_tradnl" w:eastAsia="ko-KR"/>
              </w:rPr>
              <w:t>2</w:t>
            </w:r>
            <w:r w:rsidRPr="009577DE">
              <w:rPr>
                <w:sz w:val="16"/>
                <w:szCs w:val="16"/>
                <w:lang w:val="es-ES_tradnl"/>
              </w:rPr>
              <w:t>), una evaluación y una selección previa de propuestas (octubre de 201</w:t>
            </w:r>
            <w:r w:rsidRPr="009577DE">
              <w:rPr>
                <w:sz w:val="16"/>
                <w:szCs w:val="16"/>
                <w:lang w:val="es-ES_tradnl" w:eastAsia="ko-KR"/>
              </w:rPr>
              <w:t>2</w:t>
            </w:r>
            <w:r w:rsidRPr="009577DE">
              <w:rPr>
                <w:sz w:val="16"/>
                <w:szCs w:val="16"/>
                <w:lang w:val="es-ES_tradnl"/>
              </w:rPr>
              <w:t>), ponencias de los candidatos seleccionados y un taller sobre comercialización (</w:t>
            </w:r>
            <w:r w:rsidRPr="009577DE">
              <w:rPr>
                <w:sz w:val="16"/>
                <w:szCs w:val="16"/>
                <w:lang w:val="es-ES_tradnl" w:eastAsia="ko-KR"/>
              </w:rPr>
              <w:t>11</w:t>
            </w:r>
            <w:r w:rsidRPr="009577DE">
              <w:rPr>
                <w:sz w:val="16"/>
                <w:szCs w:val="16"/>
                <w:lang w:val="es-ES_tradnl"/>
              </w:rPr>
              <w:t xml:space="preserve"> y </w:t>
            </w:r>
            <w:r w:rsidRPr="009577DE">
              <w:rPr>
                <w:sz w:val="16"/>
                <w:szCs w:val="16"/>
                <w:lang w:val="es-ES_tradnl" w:eastAsia="ko-KR"/>
              </w:rPr>
              <w:t>12 de diciembre de</w:t>
            </w:r>
            <w:r w:rsidRPr="009577DE">
              <w:rPr>
                <w:sz w:val="16"/>
                <w:szCs w:val="16"/>
                <w:lang w:val="es-ES_tradnl"/>
              </w:rPr>
              <w:t> 2012).</w:t>
            </w:r>
          </w:p>
        </w:tc>
      </w:tr>
      <w:tr w:rsidR="00B070BF" w:rsidRPr="009577DE" w:rsidTr="00C33D4A">
        <w:tc>
          <w:tcPr>
            <w:tcW w:w="9102" w:type="dxa"/>
            <w:gridSpan w:val="7"/>
            <w:tcBorders>
              <w:top w:val="single" w:sz="4" w:space="0" w:color="000000"/>
              <w:bottom w:val="single" w:sz="4" w:space="0" w:color="000000"/>
            </w:tcBorders>
            <w:shd w:val="clear" w:color="auto" w:fill="CCFFFF"/>
            <w:vAlign w:val="center"/>
          </w:tcPr>
          <w:p w:rsidR="00B070BF" w:rsidRPr="009577DE" w:rsidRDefault="00B070BF" w:rsidP="00C33D4A">
            <w:pPr>
              <w:keepNext/>
              <w:keepLines/>
              <w:tabs>
                <w:tab w:val="left" w:pos="1740"/>
              </w:tabs>
              <w:spacing w:before="120" w:after="120"/>
              <w:ind w:left="1740" w:hanging="1740"/>
              <w:rPr>
                <w:b/>
                <w:bCs/>
                <w:sz w:val="16"/>
                <w:szCs w:val="16"/>
                <w:lang w:val="es-ES_tradnl"/>
              </w:rPr>
            </w:pPr>
            <w:r w:rsidRPr="009577DE">
              <w:rPr>
                <w:b/>
                <w:bCs/>
                <w:sz w:val="16"/>
                <w:szCs w:val="16"/>
                <w:lang w:val="es-ES_tradnl"/>
              </w:rPr>
              <w:lastRenderedPageBreak/>
              <w:t>RESULTADO:</w:t>
            </w:r>
            <w:r w:rsidRPr="009577DE">
              <w:rPr>
                <w:bCs/>
                <w:sz w:val="16"/>
                <w:szCs w:val="16"/>
                <w:lang w:val="es-ES_tradnl"/>
              </w:rPr>
              <w:tab/>
              <w:t>Marcos de P.I. adaptados y equilibrados en el ámbito legislativo, regulador y de política.</w:t>
            </w:r>
          </w:p>
        </w:tc>
      </w:tr>
      <w:tr w:rsidR="00B070BF" w:rsidRPr="009577DE" w:rsidTr="00C33D4A">
        <w:tc>
          <w:tcPr>
            <w:tcW w:w="1873" w:type="dxa"/>
            <w:tcBorders>
              <w:top w:val="single" w:sz="4" w:space="0" w:color="000000"/>
              <w:bottom w:val="nil"/>
            </w:tcBorders>
            <w:vAlign w:val="center"/>
          </w:tcPr>
          <w:p w:rsidR="00B070BF" w:rsidRPr="009577DE" w:rsidRDefault="00B070BF" w:rsidP="00C33D4A">
            <w:pPr>
              <w:keepNext/>
              <w:keepLines/>
              <w:rPr>
                <w:b/>
                <w:bCs/>
                <w:sz w:val="16"/>
                <w:szCs w:val="16"/>
                <w:lang w:val="es-ES_tradnl"/>
              </w:rPr>
            </w:pPr>
            <w:r w:rsidRPr="009577DE">
              <w:rPr>
                <w:b/>
                <w:bCs/>
                <w:sz w:val="16"/>
                <w:szCs w:val="16"/>
                <w:lang w:val="es-ES_tradnl"/>
              </w:rPr>
              <w:t>Actividad</w:t>
            </w:r>
          </w:p>
        </w:tc>
        <w:tc>
          <w:tcPr>
            <w:tcW w:w="1134" w:type="dxa"/>
            <w:tcBorders>
              <w:top w:val="single" w:sz="4" w:space="0" w:color="000000"/>
              <w:bottom w:val="nil"/>
            </w:tcBorders>
            <w:shd w:val="clear" w:color="auto" w:fill="auto"/>
            <w:tcMar>
              <w:top w:w="110" w:type="dxa"/>
            </w:tcMar>
            <w:vAlign w:val="center"/>
          </w:tcPr>
          <w:p w:rsidR="00B070BF" w:rsidRPr="009577DE" w:rsidRDefault="00B070BF" w:rsidP="00C33D4A">
            <w:pPr>
              <w:keepNext/>
              <w:keepLines/>
              <w:rPr>
                <w:sz w:val="16"/>
                <w:szCs w:val="16"/>
                <w:lang w:val="es-ES_tradnl"/>
              </w:rPr>
            </w:pPr>
            <w:r w:rsidRPr="009577DE">
              <w:rPr>
                <w:b/>
                <w:bCs/>
                <w:sz w:val="16"/>
                <w:szCs w:val="16"/>
                <w:lang w:val="es-ES_tradnl"/>
              </w:rPr>
              <w:t>Fecha</w:t>
            </w:r>
          </w:p>
        </w:tc>
        <w:tc>
          <w:tcPr>
            <w:tcW w:w="2552" w:type="dxa"/>
            <w:gridSpan w:val="3"/>
            <w:tcBorders>
              <w:top w:val="single" w:sz="4" w:space="0" w:color="000000"/>
              <w:bottom w:val="nil"/>
            </w:tcBorders>
            <w:shd w:val="clear" w:color="auto" w:fill="auto"/>
            <w:tcMar>
              <w:top w:w="110" w:type="dxa"/>
            </w:tcMar>
            <w:vAlign w:val="center"/>
          </w:tcPr>
          <w:p w:rsidR="00B070BF" w:rsidRPr="009577DE" w:rsidRDefault="00B070BF" w:rsidP="00C33D4A">
            <w:pPr>
              <w:keepNext/>
              <w:keepLines/>
              <w:rPr>
                <w:sz w:val="16"/>
                <w:szCs w:val="16"/>
                <w:lang w:val="es-ES_tradnl"/>
              </w:rPr>
            </w:pPr>
            <w:r w:rsidRPr="009577DE">
              <w:rPr>
                <w:b/>
                <w:bCs/>
                <w:sz w:val="16"/>
                <w:szCs w:val="16"/>
                <w:lang w:val="es-ES_tradnl"/>
              </w:rPr>
              <w:t>País anfitrión/Beneficiarios</w:t>
            </w:r>
          </w:p>
        </w:tc>
        <w:tc>
          <w:tcPr>
            <w:tcW w:w="3543" w:type="dxa"/>
            <w:gridSpan w:val="2"/>
            <w:tcBorders>
              <w:top w:val="single" w:sz="4" w:space="0" w:color="000000"/>
              <w:bottom w:val="nil"/>
            </w:tcBorders>
            <w:shd w:val="clear" w:color="auto" w:fill="FFFFFF"/>
            <w:tcMar>
              <w:top w:w="110" w:type="dxa"/>
            </w:tcMar>
            <w:vAlign w:val="center"/>
          </w:tcPr>
          <w:p w:rsidR="00B070BF" w:rsidRPr="009577DE" w:rsidRDefault="00B070BF" w:rsidP="00C33D4A">
            <w:pPr>
              <w:keepNext/>
              <w:keepLines/>
              <w:rPr>
                <w:sz w:val="16"/>
                <w:szCs w:val="16"/>
                <w:lang w:val="es-ES_tradnl"/>
              </w:rPr>
            </w:pPr>
            <w:r w:rsidRPr="009577DE">
              <w:rPr>
                <w:b/>
                <w:bCs/>
                <w:sz w:val="16"/>
                <w:szCs w:val="16"/>
                <w:lang w:val="es-ES_tradnl"/>
              </w:rPr>
              <w:t>Propósito/Descripción</w:t>
            </w:r>
          </w:p>
        </w:tc>
      </w:tr>
      <w:tr w:rsidR="00B070BF" w:rsidRPr="009577DE" w:rsidTr="00C33D4A">
        <w:tc>
          <w:tcPr>
            <w:tcW w:w="1873" w:type="dxa"/>
            <w:tcBorders>
              <w:top w:val="nil"/>
              <w:bottom w:val="single" w:sz="4" w:space="0" w:color="auto"/>
            </w:tcBorders>
          </w:tcPr>
          <w:p w:rsidR="00B070BF" w:rsidRPr="009577DE" w:rsidRDefault="00B070BF" w:rsidP="00C33D4A">
            <w:pPr>
              <w:keepNext/>
              <w:keepLines/>
              <w:spacing w:after="120"/>
              <w:rPr>
                <w:b/>
                <w:bCs/>
                <w:sz w:val="16"/>
                <w:szCs w:val="16"/>
                <w:lang w:val="es-ES_tradnl"/>
              </w:rPr>
            </w:pPr>
            <w:r w:rsidRPr="009577DE">
              <w:rPr>
                <w:sz w:val="16"/>
                <w:szCs w:val="16"/>
                <w:lang w:val="es-ES_tradnl"/>
              </w:rPr>
              <w:t>Estudio sobre la adhesión al sistema de Madrid.</w:t>
            </w:r>
          </w:p>
        </w:tc>
        <w:tc>
          <w:tcPr>
            <w:tcW w:w="1134" w:type="dxa"/>
            <w:tcBorders>
              <w:top w:val="nil"/>
              <w:bottom w:val="single" w:sz="4" w:space="0" w:color="auto"/>
            </w:tcBorders>
            <w:shd w:val="clear" w:color="auto" w:fill="auto"/>
            <w:tcMar>
              <w:top w:w="110" w:type="dxa"/>
            </w:tcMar>
          </w:tcPr>
          <w:p w:rsidR="00B070BF" w:rsidRPr="009577DE" w:rsidRDefault="00B070BF" w:rsidP="00C33D4A">
            <w:pPr>
              <w:keepNext/>
              <w:keepLines/>
              <w:spacing w:after="120"/>
              <w:rPr>
                <w:b/>
                <w:bCs/>
                <w:sz w:val="16"/>
                <w:szCs w:val="16"/>
                <w:lang w:val="es-ES_tradnl"/>
              </w:rPr>
            </w:pPr>
            <w:r w:rsidRPr="009577DE">
              <w:rPr>
                <w:sz w:val="16"/>
                <w:szCs w:val="16"/>
                <w:lang w:val="es-ES_tradnl"/>
              </w:rPr>
              <w:t>1 de mayo de 2011 a 30 de abril de 2012</w:t>
            </w:r>
          </w:p>
        </w:tc>
        <w:tc>
          <w:tcPr>
            <w:tcW w:w="2552" w:type="dxa"/>
            <w:gridSpan w:val="3"/>
            <w:tcBorders>
              <w:top w:val="nil"/>
              <w:bottom w:val="single" w:sz="4" w:space="0" w:color="auto"/>
            </w:tcBorders>
            <w:shd w:val="clear" w:color="auto" w:fill="auto"/>
            <w:tcMar>
              <w:top w:w="110" w:type="dxa"/>
            </w:tcMar>
          </w:tcPr>
          <w:p w:rsidR="00B070BF" w:rsidRPr="009577DE" w:rsidRDefault="00B070BF" w:rsidP="00C33D4A">
            <w:pPr>
              <w:keepNext/>
              <w:keepLines/>
              <w:spacing w:after="120"/>
              <w:rPr>
                <w:b/>
                <w:bCs/>
                <w:sz w:val="16"/>
                <w:szCs w:val="16"/>
                <w:lang w:val="es-ES_tradnl"/>
              </w:rPr>
            </w:pPr>
          </w:p>
        </w:tc>
        <w:tc>
          <w:tcPr>
            <w:tcW w:w="3543" w:type="dxa"/>
            <w:gridSpan w:val="2"/>
            <w:tcBorders>
              <w:top w:val="nil"/>
              <w:bottom w:val="single" w:sz="4" w:space="0" w:color="auto"/>
            </w:tcBorders>
            <w:shd w:val="clear" w:color="auto" w:fill="FFFFFF"/>
            <w:tcMar>
              <w:top w:w="110" w:type="dxa"/>
            </w:tcMar>
          </w:tcPr>
          <w:p w:rsidR="00B070BF" w:rsidRPr="009577DE" w:rsidRDefault="00B070BF" w:rsidP="00C33D4A">
            <w:pPr>
              <w:keepNext/>
              <w:keepLines/>
              <w:spacing w:after="120"/>
              <w:rPr>
                <w:b/>
                <w:bCs/>
                <w:sz w:val="16"/>
                <w:szCs w:val="16"/>
                <w:lang w:val="es-ES_tradnl"/>
              </w:rPr>
            </w:pPr>
            <w:r w:rsidRPr="009577DE">
              <w:rPr>
                <w:sz w:val="16"/>
                <w:szCs w:val="16"/>
                <w:lang w:val="es-ES_tradnl"/>
              </w:rPr>
              <w:t xml:space="preserve">El estudio trata los factores que influyen en la adhesión al sistema de Madrid y su uso en cinco países (Mongolia, República de Corea, Turquía, Singapur y </w:t>
            </w:r>
            <w:proofErr w:type="spellStart"/>
            <w:r w:rsidRPr="009577DE">
              <w:rPr>
                <w:sz w:val="16"/>
                <w:szCs w:val="16"/>
                <w:lang w:val="es-ES_tradnl"/>
              </w:rPr>
              <w:t>Viet</w:t>
            </w:r>
            <w:proofErr w:type="spellEnd"/>
            <w:r w:rsidRPr="009577DE">
              <w:rPr>
                <w:sz w:val="16"/>
                <w:szCs w:val="16"/>
                <w:lang w:val="es-ES_tradnl"/>
              </w:rPr>
              <w:t xml:space="preserve"> </w:t>
            </w:r>
            <w:proofErr w:type="spellStart"/>
            <w:r w:rsidRPr="009577DE">
              <w:rPr>
                <w:sz w:val="16"/>
                <w:szCs w:val="16"/>
                <w:lang w:val="es-ES_tradnl"/>
              </w:rPr>
              <w:t>Nam</w:t>
            </w:r>
            <w:proofErr w:type="spellEnd"/>
            <w:r w:rsidRPr="009577DE">
              <w:rPr>
                <w:sz w:val="16"/>
                <w:szCs w:val="16"/>
                <w:lang w:val="es-ES_tradnl"/>
              </w:rPr>
              <w:t>).  Los objetivos específicos son los siguientes:  i) identificar las medidas de preparación para el proceso de adhesión al sistema;  ii) tratar con detalle los problemas y las limitaciones que plantea el proceso de adhesión al sistema;  iii) resumir los cambios que supone el proceso de adhesión al sistema en las actividades de adquisición de P.I. por los titulares de los derechos y en la administración de la P.I. por las oficinas de marcas;  y iv) ofrecer información pertinente a los responsables de la formulación de políticas de un modo objetivo que les permita estar bien preparados para estudiar la posibilidad de adhesión al sistema de Madrid.</w:t>
            </w:r>
          </w:p>
        </w:tc>
      </w:tr>
      <w:tr w:rsidR="00B070BF" w:rsidRPr="009577DE" w:rsidTr="00C33D4A">
        <w:tc>
          <w:tcPr>
            <w:tcW w:w="9102" w:type="dxa"/>
            <w:gridSpan w:val="7"/>
            <w:tcBorders>
              <w:top w:val="single" w:sz="4" w:space="0" w:color="auto"/>
              <w:left w:val="single" w:sz="4" w:space="0" w:color="auto"/>
              <w:bottom w:val="single" w:sz="4" w:space="0" w:color="auto"/>
              <w:right w:val="single" w:sz="4" w:space="0" w:color="auto"/>
            </w:tcBorders>
            <w:shd w:val="clear" w:color="auto" w:fill="CCFFFF"/>
            <w:vAlign w:val="center"/>
          </w:tcPr>
          <w:p w:rsidR="00B070BF" w:rsidRPr="009577DE" w:rsidRDefault="00B070BF" w:rsidP="00C33D4A">
            <w:pPr>
              <w:keepNext/>
              <w:keepLines/>
              <w:tabs>
                <w:tab w:val="left" w:pos="1740"/>
              </w:tabs>
              <w:spacing w:before="120" w:after="120"/>
              <w:ind w:left="1740" w:hanging="1740"/>
              <w:rPr>
                <w:b/>
                <w:bCs/>
                <w:sz w:val="16"/>
                <w:szCs w:val="16"/>
                <w:lang w:val="es-ES_tradnl"/>
              </w:rPr>
            </w:pPr>
            <w:r w:rsidRPr="009577DE">
              <w:rPr>
                <w:b/>
                <w:bCs/>
                <w:sz w:val="16"/>
                <w:szCs w:val="16"/>
                <w:lang w:val="es-ES_tradnl"/>
              </w:rPr>
              <w:t>RESULTADO:</w:t>
            </w:r>
            <w:r w:rsidRPr="009577DE">
              <w:rPr>
                <w:b/>
                <w:bCs/>
                <w:sz w:val="16"/>
                <w:szCs w:val="16"/>
                <w:lang w:val="es-ES_tradnl"/>
              </w:rPr>
              <w:tab/>
            </w:r>
            <w:r w:rsidRPr="009577DE">
              <w:rPr>
                <w:bCs/>
                <w:sz w:val="16"/>
                <w:szCs w:val="16"/>
                <w:lang w:val="es-ES_tradnl"/>
              </w:rPr>
              <w:t>Políticas nacionales de innovación y de propiedad intelectual (P.I.) claramente definidas y coherentes, estrategias y planes de desarrollo que estén en sintonía con las metas y los objetivos nacionales de desarrollo.</w:t>
            </w:r>
          </w:p>
        </w:tc>
      </w:tr>
      <w:tr w:rsidR="00B070BF" w:rsidRPr="009577DE" w:rsidTr="00C33D4A">
        <w:tc>
          <w:tcPr>
            <w:tcW w:w="1873" w:type="dxa"/>
            <w:tcBorders>
              <w:top w:val="single" w:sz="4" w:space="0" w:color="auto"/>
            </w:tcBorders>
            <w:vAlign w:val="center"/>
          </w:tcPr>
          <w:p w:rsidR="00B070BF" w:rsidRPr="009577DE" w:rsidRDefault="00B070BF" w:rsidP="00C33D4A">
            <w:pPr>
              <w:keepNext/>
              <w:keepLines/>
              <w:rPr>
                <w:b/>
                <w:bCs/>
                <w:sz w:val="16"/>
                <w:szCs w:val="16"/>
                <w:lang w:val="es-ES_tradnl"/>
              </w:rPr>
            </w:pPr>
            <w:r w:rsidRPr="009577DE">
              <w:rPr>
                <w:b/>
                <w:bCs/>
                <w:sz w:val="16"/>
                <w:szCs w:val="16"/>
                <w:lang w:val="es-ES_tradnl"/>
              </w:rPr>
              <w:t>Actividad</w:t>
            </w:r>
          </w:p>
        </w:tc>
        <w:tc>
          <w:tcPr>
            <w:tcW w:w="1134" w:type="dxa"/>
            <w:tcBorders>
              <w:top w:val="single" w:sz="4" w:space="0" w:color="auto"/>
            </w:tcBorders>
            <w:shd w:val="clear" w:color="auto" w:fill="auto"/>
            <w:tcMar>
              <w:top w:w="110" w:type="dxa"/>
            </w:tcMar>
            <w:vAlign w:val="center"/>
          </w:tcPr>
          <w:p w:rsidR="00B070BF" w:rsidRPr="009577DE" w:rsidRDefault="00B070BF" w:rsidP="00C33D4A">
            <w:pPr>
              <w:keepNext/>
              <w:keepLines/>
              <w:rPr>
                <w:sz w:val="16"/>
                <w:szCs w:val="16"/>
                <w:lang w:val="es-ES_tradnl"/>
              </w:rPr>
            </w:pPr>
            <w:r w:rsidRPr="009577DE">
              <w:rPr>
                <w:b/>
                <w:bCs/>
                <w:sz w:val="16"/>
                <w:szCs w:val="16"/>
                <w:lang w:val="es-ES_tradnl"/>
              </w:rPr>
              <w:t>Fecha</w:t>
            </w:r>
          </w:p>
        </w:tc>
        <w:tc>
          <w:tcPr>
            <w:tcW w:w="2693" w:type="dxa"/>
            <w:gridSpan w:val="4"/>
            <w:tcBorders>
              <w:top w:val="single" w:sz="4" w:space="0" w:color="auto"/>
            </w:tcBorders>
            <w:shd w:val="clear" w:color="auto" w:fill="auto"/>
            <w:tcMar>
              <w:top w:w="110" w:type="dxa"/>
            </w:tcMar>
            <w:vAlign w:val="center"/>
          </w:tcPr>
          <w:p w:rsidR="00B070BF" w:rsidRPr="009577DE" w:rsidRDefault="00B070BF" w:rsidP="00C33D4A">
            <w:pPr>
              <w:keepNext/>
              <w:keepLines/>
              <w:rPr>
                <w:sz w:val="16"/>
                <w:szCs w:val="16"/>
                <w:lang w:val="es-ES_tradnl"/>
              </w:rPr>
            </w:pPr>
            <w:r w:rsidRPr="009577DE">
              <w:rPr>
                <w:b/>
                <w:bCs/>
                <w:sz w:val="16"/>
                <w:szCs w:val="16"/>
                <w:lang w:val="es-ES_tradnl"/>
              </w:rPr>
              <w:t>País anfitrión/Beneficiarios</w:t>
            </w:r>
          </w:p>
        </w:tc>
        <w:tc>
          <w:tcPr>
            <w:tcW w:w="3402" w:type="dxa"/>
            <w:tcBorders>
              <w:top w:val="single" w:sz="4" w:space="0" w:color="auto"/>
            </w:tcBorders>
            <w:shd w:val="clear" w:color="auto" w:fill="FFFFFF"/>
            <w:tcMar>
              <w:top w:w="110" w:type="dxa"/>
            </w:tcMar>
            <w:vAlign w:val="center"/>
          </w:tcPr>
          <w:p w:rsidR="00B070BF" w:rsidRPr="009577DE" w:rsidRDefault="00B070BF" w:rsidP="00C33D4A">
            <w:pPr>
              <w:keepNext/>
              <w:keepLines/>
              <w:ind w:left="-108"/>
              <w:rPr>
                <w:sz w:val="16"/>
                <w:szCs w:val="16"/>
                <w:lang w:val="es-ES_tradnl"/>
              </w:rPr>
            </w:pPr>
            <w:r w:rsidRPr="009577DE">
              <w:rPr>
                <w:b/>
                <w:bCs/>
                <w:sz w:val="16"/>
                <w:szCs w:val="16"/>
                <w:lang w:val="es-ES_tradnl"/>
              </w:rPr>
              <w:t>Propósito/Descripción</w:t>
            </w:r>
          </w:p>
        </w:tc>
      </w:tr>
      <w:tr w:rsidR="00B070BF" w:rsidRPr="009577DE" w:rsidTr="00C33D4A">
        <w:tc>
          <w:tcPr>
            <w:tcW w:w="1873" w:type="dxa"/>
          </w:tcPr>
          <w:p w:rsidR="00B070BF" w:rsidRPr="009577DE" w:rsidRDefault="00B070BF" w:rsidP="00C33D4A">
            <w:pPr>
              <w:keepNext/>
              <w:autoSpaceDE w:val="0"/>
              <w:autoSpaceDN w:val="0"/>
              <w:adjustRightInd w:val="0"/>
              <w:spacing w:before="120" w:after="120"/>
              <w:rPr>
                <w:sz w:val="16"/>
                <w:szCs w:val="16"/>
                <w:lang w:val="es-ES_tradnl"/>
              </w:rPr>
            </w:pPr>
            <w:r w:rsidRPr="009577DE">
              <w:rPr>
                <w:sz w:val="16"/>
                <w:szCs w:val="16"/>
                <w:lang w:val="es-ES_tradnl"/>
              </w:rPr>
              <w:t>Respaldo a estrategias de desarrollo de marcas.</w:t>
            </w:r>
          </w:p>
        </w:tc>
        <w:tc>
          <w:tcPr>
            <w:tcW w:w="1134" w:type="dxa"/>
          </w:tcPr>
          <w:p w:rsidR="00B070BF" w:rsidRPr="009577DE" w:rsidRDefault="00B070BF" w:rsidP="00C33D4A">
            <w:pPr>
              <w:keepNext/>
              <w:autoSpaceDE w:val="0"/>
              <w:autoSpaceDN w:val="0"/>
              <w:adjustRightInd w:val="0"/>
              <w:spacing w:before="120" w:after="120"/>
              <w:rPr>
                <w:sz w:val="16"/>
                <w:szCs w:val="16"/>
                <w:lang w:val="es-ES_tradnl"/>
              </w:rPr>
            </w:pPr>
            <w:r w:rsidRPr="009577DE">
              <w:rPr>
                <w:sz w:val="16"/>
                <w:szCs w:val="16"/>
                <w:lang w:val="es-ES_tradnl" w:eastAsia="ko-KR"/>
              </w:rPr>
              <w:t>Octubre de</w:t>
            </w:r>
            <w:r w:rsidRPr="009577DE">
              <w:rPr>
                <w:sz w:val="16"/>
                <w:szCs w:val="16"/>
                <w:lang w:val="es-ES_tradnl"/>
              </w:rPr>
              <w:t xml:space="preserve"> 201</w:t>
            </w:r>
            <w:r w:rsidRPr="009577DE">
              <w:rPr>
                <w:sz w:val="16"/>
                <w:szCs w:val="16"/>
                <w:lang w:val="es-ES_tradnl" w:eastAsia="ko-KR"/>
              </w:rPr>
              <w:t>0</w:t>
            </w:r>
            <w:r w:rsidRPr="009577DE">
              <w:rPr>
                <w:sz w:val="16"/>
                <w:szCs w:val="16"/>
                <w:lang w:val="es-ES_tradnl"/>
              </w:rPr>
              <w:t xml:space="preserve"> a</w:t>
            </w:r>
            <w:r w:rsidRPr="009577DE">
              <w:rPr>
                <w:sz w:val="16"/>
                <w:szCs w:val="16"/>
                <w:lang w:val="es-ES_tradnl" w:eastAsia="ko-KR"/>
              </w:rPr>
              <w:t xml:space="preserve"> diciembre de</w:t>
            </w:r>
            <w:r w:rsidRPr="009577DE">
              <w:rPr>
                <w:sz w:val="16"/>
                <w:szCs w:val="16"/>
                <w:lang w:val="es-ES_tradnl"/>
              </w:rPr>
              <w:t xml:space="preserve"> 201</w:t>
            </w:r>
            <w:r w:rsidRPr="009577DE">
              <w:rPr>
                <w:sz w:val="16"/>
                <w:szCs w:val="16"/>
                <w:lang w:val="es-ES_tradnl" w:eastAsia="ko-KR"/>
              </w:rPr>
              <w:t>2</w:t>
            </w:r>
          </w:p>
        </w:tc>
        <w:tc>
          <w:tcPr>
            <w:tcW w:w="2693" w:type="dxa"/>
            <w:gridSpan w:val="4"/>
          </w:tcPr>
          <w:p w:rsidR="00B070BF" w:rsidRPr="009577DE" w:rsidRDefault="00B070BF" w:rsidP="00C33D4A">
            <w:pPr>
              <w:keepNext/>
              <w:autoSpaceDE w:val="0"/>
              <w:autoSpaceDN w:val="0"/>
              <w:adjustRightInd w:val="0"/>
              <w:spacing w:before="120" w:after="120"/>
              <w:rPr>
                <w:sz w:val="16"/>
                <w:szCs w:val="16"/>
                <w:lang w:val="es-ES_tradnl" w:eastAsia="ko-KR"/>
              </w:rPr>
            </w:pPr>
            <w:r w:rsidRPr="009577DE">
              <w:rPr>
                <w:sz w:val="16"/>
                <w:szCs w:val="16"/>
                <w:lang w:val="es-ES_tradnl" w:eastAsia="ko-KR"/>
              </w:rPr>
              <w:t xml:space="preserve">República Unida de </w:t>
            </w:r>
            <w:proofErr w:type="spellStart"/>
            <w:r w:rsidRPr="009577DE">
              <w:rPr>
                <w:sz w:val="16"/>
                <w:szCs w:val="16"/>
                <w:lang w:val="es-ES_tradnl" w:eastAsia="ko-KR"/>
              </w:rPr>
              <w:t>Tanzanía</w:t>
            </w:r>
            <w:proofErr w:type="spellEnd"/>
          </w:p>
        </w:tc>
        <w:tc>
          <w:tcPr>
            <w:tcW w:w="3402" w:type="dxa"/>
          </w:tcPr>
          <w:p w:rsidR="00B070BF" w:rsidRPr="009577DE" w:rsidRDefault="00B070BF" w:rsidP="00C33D4A">
            <w:pPr>
              <w:keepNext/>
              <w:autoSpaceDE w:val="0"/>
              <w:autoSpaceDN w:val="0"/>
              <w:adjustRightInd w:val="0"/>
              <w:spacing w:before="120" w:after="120"/>
              <w:ind w:left="-108"/>
              <w:rPr>
                <w:sz w:val="16"/>
                <w:szCs w:val="16"/>
                <w:lang w:val="es-ES_tradnl" w:eastAsia="ko-KR"/>
              </w:rPr>
            </w:pPr>
            <w:r w:rsidRPr="009577DE">
              <w:rPr>
                <w:sz w:val="16"/>
                <w:szCs w:val="16"/>
                <w:lang w:val="es-ES_tradnl"/>
              </w:rPr>
              <w:t xml:space="preserve">i) Reconocer determinados productos que tengan capacidad potencial para el desarrollo exitoso de marcas;  y </w:t>
            </w:r>
            <w:r w:rsidRPr="009577DE">
              <w:rPr>
                <w:sz w:val="16"/>
                <w:szCs w:val="16"/>
                <w:lang w:val="es-ES_tradnl" w:eastAsia="ko-KR"/>
              </w:rPr>
              <w:t xml:space="preserve">ii) </w:t>
            </w:r>
            <w:r w:rsidRPr="009577DE">
              <w:rPr>
                <w:sz w:val="16"/>
                <w:szCs w:val="16"/>
                <w:lang w:val="es-ES_tradnl"/>
              </w:rPr>
              <w:t>propon</w:t>
            </w:r>
            <w:r w:rsidRPr="009577DE">
              <w:rPr>
                <w:sz w:val="16"/>
                <w:szCs w:val="16"/>
                <w:lang w:val="es-ES_tradnl" w:eastAsia="ko-KR"/>
              </w:rPr>
              <w:t>er estrategias de desarrollo de marcas</w:t>
            </w:r>
            <w:r w:rsidRPr="009577DE">
              <w:rPr>
                <w:sz w:val="16"/>
                <w:szCs w:val="16"/>
                <w:lang w:val="es-ES_tradnl"/>
              </w:rPr>
              <w:t xml:space="preserve"> eficientes y sostenibles para los productos seleccionados</w:t>
            </w:r>
            <w:r w:rsidRPr="009577DE">
              <w:rPr>
                <w:sz w:val="16"/>
                <w:szCs w:val="16"/>
                <w:lang w:val="es-ES_tradnl" w:eastAsia="ko-KR"/>
              </w:rPr>
              <w:t xml:space="preserve">.  El  programa incluyó los elementos siguientes:  i) la contratación de dos expertos internacionales para redactar una estrategia de P.I. y de desarrollo de marcas;  ii) una misión inicial de evaluación de las necesidades y recopilación de información fáctica;  iii) una reunión para validar la recopilación preliminar de información fáctica;  iv) una visita de estudio a Etiopía de cinco personas interesadas procedentes del sector de producción de café;  y v) una misión de recapitulación para validar un </w:t>
            </w:r>
            <w:r w:rsidRPr="009577DE">
              <w:rPr>
                <w:snapToGrid w:val="0"/>
                <w:sz w:val="16"/>
                <w:szCs w:val="16"/>
                <w:lang w:val="es-ES_tradnl" w:eastAsia="ko-KR"/>
              </w:rPr>
              <w:t>proyecto de estrategia de P.I. y desarrollo de marcas.</w:t>
            </w:r>
          </w:p>
        </w:tc>
      </w:tr>
      <w:tr w:rsidR="00B070BF" w:rsidRPr="009577DE" w:rsidTr="00C33D4A">
        <w:tc>
          <w:tcPr>
            <w:tcW w:w="9102" w:type="dxa"/>
            <w:gridSpan w:val="7"/>
            <w:tcBorders>
              <w:top w:val="single" w:sz="4" w:space="0" w:color="000000"/>
              <w:bottom w:val="single" w:sz="4" w:space="0" w:color="000000"/>
            </w:tcBorders>
            <w:shd w:val="clear" w:color="auto" w:fill="CCFFFF"/>
            <w:vAlign w:val="center"/>
          </w:tcPr>
          <w:p w:rsidR="00B070BF" w:rsidRPr="009577DE" w:rsidRDefault="00B070BF" w:rsidP="00C33D4A">
            <w:pPr>
              <w:keepNext/>
              <w:keepLines/>
              <w:tabs>
                <w:tab w:val="left" w:pos="1740"/>
              </w:tabs>
              <w:spacing w:before="120" w:after="120"/>
              <w:ind w:left="1740" w:hanging="1740"/>
              <w:rPr>
                <w:b/>
                <w:bCs/>
                <w:sz w:val="16"/>
                <w:szCs w:val="16"/>
                <w:lang w:val="es-ES_tradnl"/>
              </w:rPr>
            </w:pPr>
            <w:r w:rsidRPr="009577DE">
              <w:rPr>
                <w:b/>
                <w:bCs/>
                <w:sz w:val="16"/>
                <w:szCs w:val="16"/>
                <w:lang w:val="es-ES_tradnl"/>
              </w:rPr>
              <w:t>RESULTADO:</w:t>
            </w:r>
            <w:r w:rsidRPr="009577DE">
              <w:rPr>
                <w:b/>
                <w:bCs/>
                <w:sz w:val="16"/>
                <w:szCs w:val="16"/>
                <w:lang w:val="es-ES_tradnl"/>
              </w:rPr>
              <w:tab/>
            </w:r>
            <w:r w:rsidRPr="009577DE">
              <w:rPr>
                <w:bCs/>
                <w:sz w:val="16"/>
                <w:szCs w:val="16"/>
                <w:lang w:val="es-ES_tradnl"/>
              </w:rPr>
              <w:t>Mejora de las capacidades en el ámbito de los recursos humanos para hacer frente al amplio espectro de exigencias que supone la utilización de la P.I. en aras del desarrollo</w:t>
            </w:r>
          </w:p>
        </w:tc>
      </w:tr>
      <w:tr w:rsidR="00B070BF" w:rsidRPr="009577DE" w:rsidTr="00C33D4A">
        <w:tc>
          <w:tcPr>
            <w:tcW w:w="1873" w:type="dxa"/>
            <w:tcBorders>
              <w:top w:val="single" w:sz="4" w:space="0" w:color="000000"/>
            </w:tcBorders>
            <w:vAlign w:val="center"/>
          </w:tcPr>
          <w:p w:rsidR="00B070BF" w:rsidRPr="009577DE" w:rsidRDefault="00B070BF" w:rsidP="00C33D4A">
            <w:pPr>
              <w:keepNext/>
              <w:keepLines/>
              <w:rPr>
                <w:b/>
                <w:bCs/>
                <w:sz w:val="16"/>
                <w:szCs w:val="16"/>
                <w:lang w:val="es-ES_tradnl"/>
              </w:rPr>
            </w:pPr>
            <w:r w:rsidRPr="009577DE">
              <w:rPr>
                <w:b/>
                <w:bCs/>
                <w:sz w:val="16"/>
                <w:szCs w:val="16"/>
                <w:lang w:val="es-ES_tradnl"/>
              </w:rPr>
              <w:t>Actividad</w:t>
            </w:r>
          </w:p>
        </w:tc>
        <w:tc>
          <w:tcPr>
            <w:tcW w:w="1134" w:type="dxa"/>
            <w:tcBorders>
              <w:top w:val="single" w:sz="4" w:space="0" w:color="000000"/>
            </w:tcBorders>
            <w:shd w:val="clear" w:color="auto" w:fill="auto"/>
            <w:tcMar>
              <w:top w:w="110" w:type="dxa"/>
            </w:tcMar>
            <w:vAlign w:val="center"/>
          </w:tcPr>
          <w:p w:rsidR="00B070BF" w:rsidRPr="009577DE" w:rsidRDefault="00B070BF" w:rsidP="00C33D4A">
            <w:pPr>
              <w:keepNext/>
              <w:keepLines/>
              <w:rPr>
                <w:sz w:val="16"/>
                <w:szCs w:val="16"/>
                <w:lang w:val="es-ES_tradnl"/>
              </w:rPr>
            </w:pPr>
            <w:r w:rsidRPr="009577DE">
              <w:rPr>
                <w:b/>
                <w:bCs/>
                <w:sz w:val="16"/>
                <w:szCs w:val="16"/>
                <w:lang w:val="es-ES_tradnl"/>
              </w:rPr>
              <w:t>Fecha</w:t>
            </w:r>
          </w:p>
        </w:tc>
        <w:tc>
          <w:tcPr>
            <w:tcW w:w="2552" w:type="dxa"/>
            <w:gridSpan w:val="3"/>
            <w:tcBorders>
              <w:top w:val="single" w:sz="4" w:space="0" w:color="000000"/>
            </w:tcBorders>
            <w:shd w:val="clear" w:color="auto" w:fill="auto"/>
            <w:tcMar>
              <w:top w:w="110" w:type="dxa"/>
            </w:tcMar>
            <w:vAlign w:val="center"/>
          </w:tcPr>
          <w:p w:rsidR="00B070BF" w:rsidRPr="009577DE" w:rsidRDefault="00B070BF" w:rsidP="00C33D4A">
            <w:pPr>
              <w:keepNext/>
              <w:keepLines/>
              <w:rPr>
                <w:sz w:val="16"/>
                <w:szCs w:val="16"/>
                <w:lang w:val="es-ES_tradnl"/>
              </w:rPr>
            </w:pPr>
            <w:r w:rsidRPr="009577DE">
              <w:rPr>
                <w:b/>
                <w:bCs/>
                <w:sz w:val="16"/>
                <w:szCs w:val="16"/>
                <w:lang w:val="es-ES_tradnl"/>
              </w:rPr>
              <w:t>País anfitrión/Beneficiarios</w:t>
            </w:r>
          </w:p>
        </w:tc>
        <w:tc>
          <w:tcPr>
            <w:tcW w:w="3543" w:type="dxa"/>
            <w:gridSpan w:val="2"/>
            <w:tcBorders>
              <w:top w:val="single" w:sz="4" w:space="0" w:color="000000"/>
            </w:tcBorders>
            <w:shd w:val="clear" w:color="auto" w:fill="FFFFFF"/>
            <w:tcMar>
              <w:top w:w="110" w:type="dxa"/>
            </w:tcMar>
            <w:vAlign w:val="center"/>
          </w:tcPr>
          <w:p w:rsidR="00B070BF" w:rsidRPr="009577DE" w:rsidRDefault="00B070BF" w:rsidP="00C33D4A">
            <w:pPr>
              <w:keepNext/>
              <w:keepLines/>
              <w:rPr>
                <w:sz w:val="16"/>
                <w:szCs w:val="16"/>
                <w:lang w:val="es-ES_tradnl"/>
              </w:rPr>
            </w:pPr>
            <w:r w:rsidRPr="009577DE">
              <w:rPr>
                <w:b/>
                <w:bCs/>
                <w:sz w:val="16"/>
                <w:szCs w:val="16"/>
                <w:lang w:val="es-ES_tradnl"/>
              </w:rPr>
              <w:t>Propósito/Descripción</w:t>
            </w:r>
          </w:p>
        </w:tc>
      </w:tr>
      <w:tr w:rsidR="00B070BF" w:rsidRPr="009577DE" w:rsidTr="00C33D4A">
        <w:trPr>
          <w:trHeight w:val="2032"/>
        </w:trPr>
        <w:tc>
          <w:tcPr>
            <w:tcW w:w="1873" w:type="dxa"/>
          </w:tcPr>
          <w:p w:rsidR="00B070BF" w:rsidRPr="009577DE" w:rsidRDefault="00B070BF" w:rsidP="00C33D4A">
            <w:pPr>
              <w:keepNext/>
              <w:keepLines/>
              <w:autoSpaceDE w:val="0"/>
              <w:autoSpaceDN w:val="0"/>
              <w:adjustRightInd w:val="0"/>
              <w:spacing w:before="120" w:after="120"/>
              <w:rPr>
                <w:sz w:val="16"/>
                <w:szCs w:val="16"/>
                <w:lang w:val="es-ES_tradnl"/>
              </w:rPr>
            </w:pPr>
            <w:r w:rsidRPr="009577DE">
              <w:rPr>
                <w:sz w:val="16"/>
                <w:szCs w:val="16"/>
                <w:lang w:val="es-ES_tradnl"/>
              </w:rPr>
              <w:t>Curso de formación sobre derecho de patentes y examen de patentes.</w:t>
            </w:r>
          </w:p>
        </w:tc>
        <w:tc>
          <w:tcPr>
            <w:tcW w:w="1134" w:type="dxa"/>
          </w:tcPr>
          <w:p w:rsidR="00B070BF" w:rsidRPr="009577DE" w:rsidRDefault="00B070BF" w:rsidP="00C33D4A">
            <w:pPr>
              <w:keepNext/>
              <w:keepLines/>
              <w:autoSpaceDE w:val="0"/>
              <w:autoSpaceDN w:val="0"/>
              <w:adjustRightInd w:val="0"/>
              <w:spacing w:before="120" w:after="120"/>
              <w:rPr>
                <w:sz w:val="16"/>
                <w:szCs w:val="16"/>
                <w:lang w:val="es-ES_tradnl" w:eastAsia="ko-KR"/>
              </w:rPr>
            </w:pPr>
            <w:r w:rsidRPr="009577DE">
              <w:rPr>
                <w:sz w:val="16"/>
                <w:szCs w:val="16"/>
                <w:lang w:val="es-ES_tradnl" w:eastAsia="ko-KR"/>
              </w:rPr>
              <w:t>6 a 15 de marzo de 2012</w:t>
            </w:r>
          </w:p>
        </w:tc>
        <w:tc>
          <w:tcPr>
            <w:tcW w:w="2552" w:type="dxa"/>
            <w:gridSpan w:val="3"/>
          </w:tcPr>
          <w:p w:rsidR="00B070BF" w:rsidRPr="009577DE" w:rsidRDefault="00B070BF" w:rsidP="00C33D4A">
            <w:pPr>
              <w:keepNext/>
              <w:keepLines/>
              <w:autoSpaceDE w:val="0"/>
              <w:autoSpaceDN w:val="0"/>
              <w:adjustRightInd w:val="0"/>
              <w:spacing w:before="120" w:after="120"/>
              <w:rPr>
                <w:sz w:val="16"/>
                <w:szCs w:val="16"/>
                <w:lang w:val="es-ES_tradnl"/>
              </w:rPr>
            </w:pPr>
            <w:r w:rsidRPr="009577DE">
              <w:rPr>
                <w:sz w:val="16"/>
                <w:szCs w:val="16"/>
                <w:lang w:val="es-ES_tradnl"/>
              </w:rPr>
              <w:t>República de Corea</w:t>
            </w:r>
          </w:p>
          <w:p w:rsidR="00B070BF" w:rsidRPr="009577DE" w:rsidRDefault="00B070BF" w:rsidP="00C33D4A">
            <w:pPr>
              <w:keepNext/>
              <w:keepLines/>
              <w:autoSpaceDE w:val="0"/>
              <w:autoSpaceDN w:val="0"/>
              <w:adjustRightInd w:val="0"/>
              <w:spacing w:before="120" w:after="120"/>
              <w:rPr>
                <w:sz w:val="16"/>
                <w:szCs w:val="16"/>
                <w:lang w:val="es-ES_tradnl"/>
              </w:rPr>
            </w:pPr>
            <w:r w:rsidRPr="009577DE">
              <w:rPr>
                <w:sz w:val="16"/>
                <w:szCs w:val="16"/>
                <w:lang w:val="es-ES_tradnl"/>
              </w:rPr>
              <w:t>19 examinadores de patentes procedentes de 10 países</w:t>
            </w:r>
          </w:p>
          <w:p w:rsidR="00B070BF" w:rsidRPr="009577DE" w:rsidRDefault="00B070BF" w:rsidP="00C33D4A">
            <w:pPr>
              <w:keepNext/>
              <w:keepLines/>
              <w:autoSpaceDE w:val="0"/>
              <w:autoSpaceDN w:val="0"/>
              <w:adjustRightInd w:val="0"/>
              <w:spacing w:before="120" w:after="120"/>
              <w:rPr>
                <w:sz w:val="16"/>
                <w:szCs w:val="16"/>
                <w:lang w:val="es-ES_tradnl"/>
              </w:rPr>
            </w:pPr>
          </w:p>
        </w:tc>
        <w:tc>
          <w:tcPr>
            <w:tcW w:w="3543" w:type="dxa"/>
            <w:gridSpan w:val="2"/>
          </w:tcPr>
          <w:p w:rsidR="00B070BF" w:rsidRPr="009577DE" w:rsidRDefault="00B070BF" w:rsidP="00C33D4A">
            <w:pPr>
              <w:keepNext/>
              <w:keepLines/>
              <w:autoSpaceDE w:val="0"/>
              <w:autoSpaceDN w:val="0"/>
              <w:adjustRightInd w:val="0"/>
              <w:spacing w:before="120" w:after="120"/>
              <w:rPr>
                <w:sz w:val="16"/>
                <w:szCs w:val="16"/>
                <w:lang w:val="es-ES_tradnl"/>
              </w:rPr>
            </w:pPr>
            <w:r w:rsidRPr="009577DE">
              <w:rPr>
                <w:sz w:val="16"/>
                <w:szCs w:val="16"/>
                <w:lang w:val="es-ES_tradnl"/>
              </w:rPr>
              <w:t>Ofrecer una visión general y una explicación de los sistemas mundiales de patentes, los principios del derecho de patentes y los procedimientos de examen.</w:t>
            </w:r>
          </w:p>
          <w:p w:rsidR="00B070BF" w:rsidRPr="009577DE" w:rsidRDefault="00B070BF" w:rsidP="00C33D4A">
            <w:pPr>
              <w:keepNext/>
              <w:keepLines/>
              <w:autoSpaceDE w:val="0"/>
              <w:autoSpaceDN w:val="0"/>
              <w:adjustRightInd w:val="0"/>
              <w:spacing w:before="120" w:after="120"/>
              <w:rPr>
                <w:sz w:val="16"/>
                <w:szCs w:val="16"/>
                <w:lang w:val="es-ES_tradnl"/>
              </w:rPr>
            </w:pPr>
            <w:r w:rsidRPr="009577DE">
              <w:rPr>
                <w:sz w:val="16"/>
                <w:szCs w:val="16"/>
                <w:lang w:val="es-ES_tradnl"/>
              </w:rPr>
              <w:t>Se añadieron sesiones especiales, entre ellas:  i) prácticas sobre el acceso a los resultados de exámenes realizados en el exterior y su utilización, y sobre la comprensión de notificaciones;  y ii) una sesión sobre mecanismos de control de la calidad de las patentes, en especial sobre las oposiciones y los procesos judiciales.</w:t>
            </w:r>
          </w:p>
        </w:tc>
      </w:tr>
      <w:tr w:rsidR="00B070BF" w:rsidRPr="009577DE" w:rsidTr="00C33D4A">
        <w:tc>
          <w:tcPr>
            <w:tcW w:w="1873" w:type="dxa"/>
          </w:tcPr>
          <w:p w:rsidR="00B070BF" w:rsidRPr="009577DE" w:rsidRDefault="00B070BF" w:rsidP="00C33D4A">
            <w:pPr>
              <w:keepNext/>
              <w:keepLines/>
              <w:autoSpaceDE w:val="0"/>
              <w:autoSpaceDN w:val="0"/>
              <w:adjustRightInd w:val="0"/>
              <w:spacing w:before="120" w:after="120"/>
              <w:rPr>
                <w:sz w:val="16"/>
                <w:szCs w:val="16"/>
                <w:lang w:val="es-ES_tradnl"/>
              </w:rPr>
            </w:pPr>
            <w:r w:rsidRPr="009577DE">
              <w:rPr>
                <w:sz w:val="16"/>
                <w:szCs w:val="16"/>
                <w:lang w:val="es-ES_tradnl"/>
              </w:rPr>
              <w:t>Curso de formación sobre derecho marcario y examen de marcas.</w:t>
            </w:r>
          </w:p>
        </w:tc>
        <w:tc>
          <w:tcPr>
            <w:tcW w:w="1134" w:type="dxa"/>
          </w:tcPr>
          <w:p w:rsidR="00B070BF" w:rsidRPr="009577DE" w:rsidRDefault="00B070BF" w:rsidP="00C33D4A">
            <w:pPr>
              <w:keepNext/>
              <w:keepLines/>
              <w:autoSpaceDE w:val="0"/>
              <w:autoSpaceDN w:val="0"/>
              <w:adjustRightInd w:val="0"/>
              <w:spacing w:before="120" w:after="120"/>
              <w:rPr>
                <w:sz w:val="16"/>
                <w:szCs w:val="16"/>
                <w:lang w:val="es-ES_tradnl" w:eastAsia="ko-KR"/>
              </w:rPr>
            </w:pPr>
            <w:r w:rsidRPr="009577DE">
              <w:rPr>
                <w:sz w:val="16"/>
                <w:szCs w:val="16"/>
                <w:lang w:val="es-ES_tradnl" w:eastAsia="ko-KR"/>
              </w:rPr>
              <w:t>24</w:t>
            </w:r>
            <w:r w:rsidRPr="009577DE">
              <w:rPr>
                <w:sz w:val="16"/>
                <w:szCs w:val="16"/>
                <w:lang w:val="es-ES_tradnl"/>
              </w:rPr>
              <w:t xml:space="preserve"> de abril a </w:t>
            </w:r>
            <w:r w:rsidRPr="009577DE">
              <w:rPr>
                <w:sz w:val="16"/>
                <w:szCs w:val="16"/>
                <w:lang w:val="es-ES_tradnl" w:eastAsia="ko-KR"/>
              </w:rPr>
              <w:t>2 de mayo de</w:t>
            </w:r>
            <w:r w:rsidRPr="009577DE">
              <w:rPr>
                <w:sz w:val="16"/>
                <w:szCs w:val="16"/>
                <w:lang w:val="es-ES_tradnl"/>
              </w:rPr>
              <w:t xml:space="preserve"> 201</w:t>
            </w:r>
            <w:r w:rsidRPr="009577DE">
              <w:rPr>
                <w:sz w:val="16"/>
                <w:szCs w:val="16"/>
                <w:lang w:val="es-ES_tradnl" w:eastAsia="ko-KR"/>
              </w:rPr>
              <w:t>2</w:t>
            </w:r>
          </w:p>
        </w:tc>
        <w:tc>
          <w:tcPr>
            <w:tcW w:w="2552" w:type="dxa"/>
            <w:gridSpan w:val="3"/>
          </w:tcPr>
          <w:p w:rsidR="00B070BF" w:rsidRPr="009577DE" w:rsidRDefault="00B070BF" w:rsidP="00C33D4A">
            <w:pPr>
              <w:keepNext/>
              <w:keepLines/>
              <w:autoSpaceDE w:val="0"/>
              <w:autoSpaceDN w:val="0"/>
              <w:adjustRightInd w:val="0"/>
              <w:spacing w:before="120" w:after="120"/>
              <w:rPr>
                <w:sz w:val="16"/>
                <w:szCs w:val="16"/>
                <w:lang w:val="es-ES_tradnl"/>
              </w:rPr>
            </w:pPr>
            <w:r w:rsidRPr="009577DE">
              <w:rPr>
                <w:sz w:val="16"/>
                <w:szCs w:val="16"/>
                <w:lang w:val="es-ES_tradnl"/>
              </w:rPr>
              <w:t>República de Corea</w:t>
            </w:r>
          </w:p>
          <w:p w:rsidR="00B070BF" w:rsidRPr="009577DE" w:rsidRDefault="00B070BF" w:rsidP="00C33D4A">
            <w:pPr>
              <w:keepNext/>
              <w:keepLines/>
              <w:autoSpaceDE w:val="0"/>
              <w:autoSpaceDN w:val="0"/>
              <w:adjustRightInd w:val="0"/>
              <w:spacing w:before="120" w:after="120"/>
              <w:rPr>
                <w:sz w:val="16"/>
                <w:szCs w:val="16"/>
                <w:lang w:val="es-ES_tradnl"/>
              </w:rPr>
            </w:pPr>
            <w:r w:rsidRPr="009577DE">
              <w:rPr>
                <w:sz w:val="16"/>
                <w:szCs w:val="16"/>
                <w:lang w:val="es-ES_tradnl" w:eastAsia="ko-KR"/>
              </w:rPr>
              <w:t>20</w:t>
            </w:r>
            <w:r w:rsidRPr="009577DE">
              <w:rPr>
                <w:sz w:val="16"/>
                <w:szCs w:val="16"/>
                <w:lang w:val="es-ES_tradnl"/>
              </w:rPr>
              <w:t xml:space="preserve"> examinadores de marcas procedentes de </w:t>
            </w:r>
            <w:r w:rsidRPr="009577DE">
              <w:rPr>
                <w:sz w:val="16"/>
                <w:szCs w:val="16"/>
                <w:lang w:val="es-ES_tradnl" w:eastAsia="ko-KR"/>
              </w:rPr>
              <w:t>12 países</w:t>
            </w:r>
          </w:p>
          <w:p w:rsidR="00B070BF" w:rsidRPr="009577DE" w:rsidRDefault="00B070BF" w:rsidP="00C33D4A">
            <w:pPr>
              <w:keepNext/>
              <w:keepLines/>
              <w:autoSpaceDE w:val="0"/>
              <w:autoSpaceDN w:val="0"/>
              <w:adjustRightInd w:val="0"/>
              <w:spacing w:before="120" w:after="120"/>
              <w:rPr>
                <w:sz w:val="16"/>
                <w:szCs w:val="16"/>
                <w:lang w:val="es-ES_tradnl"/>
              </w:rPr>
            </w:pPr>
          </w:p>
        </w:tc>
        <w:tc>
          <w:tcPr>
            <w:tcW w:w="3543" w:type="dxa"/>
            <w:gridSpan w:val="2"/>
          </w:tcPr>
          <w:p w:rsidR="00B070BF" w:rsidRPr="009577DE" w:rsidRDefault="00B070BF" w:rsidP="00C33D4A">
            <w:pPr>
              <w:keepNext/>
              <w:keepLines/>
              <w:autoSpaceDE w:val="0"/>
              <w:autoSpaceDN w:val="0"/>
              <w:adjustRightInd w:val="0"/>
              <w:spacing w:before="120" w:after="120"/>
              <w:rPr>
                <w:sz w:val="16"/>
                <w:szCs w:val="16"/>
                <w:lang w:val="es-ES_tradnl" w:eastAsia="ko-KR"/>
              </w:rPr>
            </w:pPr>
            <w:r w:rsidRPr="009577DE">
              <w:rPr>
                <w:sz w:val="16"/>
                <w:szCs w:val="16"/>
                <w:lang w:val="es-ES_tradnl"/>
              </w:rPr>
              <w:t>Ofrecer una visión general y una explicación de los principios del derecho marcario y los procedimientos de examen, así como del sistema de</w:t>
            </w:r>
            <w:r w:rsidRPr="009577DE">
              <w:rPr>
                <w:sz w:val="16"/>
                <w:szCs w:val="16"/>
                <w:lang w:val="es-ES_tradnl" w:eastAsia="ko-KR"/>
              </w:rPr>
              <w:t xml:space="preserve"> Madrid.</w:t>
            </w:r>
          </w:p>
          <w:p w:rsidR="00B070BF" w:rsidRPr="009577DE" w:rsidRDefault="00B070BF" w:rsidP="00C33D4A">
            <w:pPr>
              <w:keepNext/>
              <w:keepLines/>
              <w:autoSpaceDE w:val="0"/>
              <w:autoSpaceDN w:val="0"/>
              <w:adjustRightInd w:val="0"/>
              <w:spacing w:before="120" w:after="120"/>
              <w:rPr>
                <w:sz w:val="16"/>
                <w:szCs w:val="16"/>
                <w:lang w:val="es-ES_tradnl"/>
              </w:rPr>
            </w:pPr>
            <w:r w:rsidRPr="009577DE">
              <w:rPr>
                <w:sz w:val="16"/>
                <w:szCs w:val="16"/>
                <w:lang w:val="es-ES_tradnl"/>
              </w:rPr>
              <w:t xml:space="preserve">El curso de formación incluyó los tres elementos siguientes:  i) mejora de los conocimientos y las aptitudes de los examinadores de marcas sobre los procedimientos de examen;  ii) estrategia de </w:t>
            </w:r>
            <w:r w:rsidRPr="009577DE">
              <w:rPr>
                <w:sz w:val="16"/>
                <w:szCs w:val="16"/>
                <w:lang w:val="es-ES_tradnl"/>
              </w:rPr>
              <w:lastRenderedPageBreak/>
              <w:t>búsqueda de marcas, comprensión de las notificaciones y utilización de los resultados del examen realizado en el exterior;  y iii) una sesión especial sobre el sistema de Madrid.</w:t>
            </w:r>
          </w:p>
        </w:tc>
      </w:tr>
      <w:tr w:rsidR="00B070BF" w:rsidRPr="009577DE" w:rsidTr="00C33D4A">
        <w:tc>
          <w:tcPr>
            <w:tcW w:w="1873" w:type="dxa"/>
          </w:tcPr>
          <w:p w:rsidR="00B070BF" w:rsidRPr="009577DE" w:rsidRDefault="00B070BF" w:rsidP="00C33D4A">
            <w:pPr>
              <w:autoSpaceDE w:val="0"/>
              <w:autoSpaceDN w:val="0"/>
              <w:adjustRightInd w:val="0"/>
              <w:spacing w:before="120" w:after="120"/>
              <w:rPr>
                <w:sz w:val="16"/>
                <w:szCs w:val="16"/>
                <w:lang w:val="es-ES_tradnl"/>
              </w:rPr>
            </w:pPr>
            <w:r w:rsidRPr="009577DE">
              <w:rPr>
                <w:sz w:val="16"/>
                <w:szCs w:val="16"/>
                <w:lang w:val="es-ES_tradnl"/>
              </w:rPr>
              <w:lastRenderedPageBreak/>
              <w:t>Elaboración de material educativo sobre propiedad intelectual.</w:t>
            </w:r>
          </w:p>
          <w:p w:rsidR="00B070BF" w:rsidRPr="009577DE" w:rsidRDefault="00B070BF" w:rsidP="00C33D4A">
            <w:pPr>
              <w:autoSpaceDE w:val="0"/>
              <w:autoSpaceDN w:val="0"/>
              <w:adjustRightInd w:val="0"/>
              <w:spacing w:before="120" w:after="120"/>
              <w:rPr>
                <w:sz w:val="16"/>
                <w:szCs w:val="16"/>
                <w:lang w:val="es-ES_tradnl"/>
              </w:rPr>
            </w:pPr>
          </w:p>
        </w:tc>
        <w:tc>
          <w:tcPr>
            <w:tcW w:w="1134" w:type="dxa"/>
          </w:tcPr>
          <w:p w:rsidR="00B070BF" w:rsidRPr="009577DE" w:rsidRDefault="00B070BF" w:rsidP="00C33D4A">
            <w:pPr>
              <w:autoSpaceDE w:val="0"/>
              <w:autoSpaceDN w:val="0"/>
              <w:adjustRightInd w:val="0"/>
              <w:spacing w:before="120" w:after="120"/>
              <w:rPr>
                <w:sz w:val="16"/>
                <w:szCs w:val="16"/>
                <w:lang w:val="es-ES_tradnl"/>
              </w:rPr>
            </w:pPr>
            <w:r w:rsidRPr="009577DE">
              <w:rPr>
                <w:sz w:val="16"/>
                <w:szCs w:val="16"/>
                <w:lang w:val="es-ES_tradnl"/>
              </w:rPr>
              <w:t>1 de julio de 2011 a 3 de octubre de 2012</w:t>
            </w:r>
          </w:p>
        </w:tc>
        <w:tc>
          <w:tcPr>
            <w:tcW w:w="2552" w:type="dxa"/>
            <w:gridSpan w:val="3"/>
          </w:tcPr>
          <w:p w:rsidR="00B070BF" w:rsidRPr="009577DE" w:rsidRDefault="00B070BF" w:rsidP="00C33D4A">
            <w:pPr>
              <w:autoSpaceDE w:val="0"/>
              <w:autoSpaceDN w:val="0"/>
              <w:adjustRightInd w:val="0"/>
              <w:spacing w:before="120" w:after="120"/>
              <w:jc w:val="right"/>
              <w:rPr>
                <w:sz w:val="16"/>
                <w:szCs w:val="16"/>
                <w:lang w:val="es-ES_tradnl"/>
              </w:rPr>
            </w:pPr>
          </w:p>
        </w:tc>
        <w:tc>
          <w:tcPr>
            <w:tcW w:w="3543" w:type="dxa"/>
            <w:gridSpan w:val="2"/>
          </w:tcPr>
          <w:p w:rsidR="00B070BF" w:rsidRPr="009577DE" w:rsidRDefault="00B070BF" w:rsidP="00C33D4A">
            <w:pPr>
              <w:autoSpaceDE w:val="0"/>
              <w:autoSpaceDN w:val="0"/>
              <w:adjustRightInd w:val="0"/>
              <w:spacing w:before="120" w:after="120"/>
              <w:rPr>
                <w:sz w:val="16"/>
                <w:szCs w:val="16"/>
                <w:lang w:val="es-ES_tradnl"/>
              </w:rPr>
            </w:pPr>
            <w:r w:rsidRPr="009577DE">
              <w:rPr>
                <w:sz w:val="16"/>
                <w:szCs w:val="16"/>
                <w:lang w:val="es-ES_tradnl"/>
              </w:rPr>
              <w:t xml:space="preserve">La producción de tres cortos de animación:  i) </w:t>
            </w:r>
            <w:r w:rsidRPr="009577DE">
              <w:rPr>
                <w:i/>
                <w:sz w:val="16"/>
                <w:szCs w:val="16"/>
                <w:lang w:val="es-ES_tradnl"/>
              </w:rPr>
              <w:t>la P.I. y el pensamiento creativo</w:t>
            </w:r>
            <w:r w:rsidRPr="009577DE">
              <w:rPr>
                <w:sz w:val="16"/>
                <w:szCs w:val="16"/>
                <w:lang w:val="es-ES_tradnl"/>
              </w:rPr>
              <w:t xml:space="preserve">;  ii) </w:t>
            </w:r>
            <w:r w:rsidRPr="009577DE">
              <w:rPr>
                <w:i/>
                <w:sz w:val="16"/>
                <w:szCs w:val="16"/>
                <w:lang w:val="es-ES_tradnl"/>
              </w:rPr>
              <w:t>Cómo aprovechar la protección mediante patente</w:t>
            </w:r>
            <w:r w:rsidRPr="009577DE">
              <w:rPr>
                <w:sz w:val="16"/>
                <w:szCs w:val="16"/>
                <w:lang w:val="es-ES_tradnl"/>
              </w:rPr>
              <w:t xml:space="preserve">;  y iii) </w:t>
            </w:r>
            <w:r w:rsidRPr="009577DE">
              <w:rPr>
                <w:i/>
                <w:sz w:val="16"/>
                <w:szCs w:val="16"/>
                <w:lang w:val="es-ES_tradnl"/>
              </w:rPr>
              <w:t>Cómo aprovechar la protección de las marcas</w:t>
            </w:r>
          </w:p>
          <w:p w:rsidR="00B070BF" w:rsidRPr="009577DE" w:rsidRDefault="00B070BF" w:rsidP="00C33D4A">
            <w:pPr>
              <w:autoSpaceDE w:val="0"/>
              <w:autoSpaceDN w:val="0"/>
              <w:adjustRightInd w:val="0"/>
              <w:spacing w:before="120" w:after="120"/>
              <w:rPr>
                <w:sz w:val="16"/>
                <w:szCs w:val="16"/>
                <w:lang w:val="es-ES_tradnl"/>
              </w:rPr>
            </w:pPr>
            <w:r w:rsidRPr="009577DE">
              <w:rPr>
                <w:sz w:val="16"/>
                <w:szCs w:val="16"/>
                <w:lang w:val="es-ES_tradnl"/>
              </w:rPr>
              <w:t>Los objetivos fueron los siguientes:  i) despertar el interés de la generación más joven en los temas de P.I;  y ii) dar asistencia a las escuelas y a otras instituciones educativas para que desarrollen la creatividad y amplíen el currículo.</w:t>
            </w:r>
          </w:p>
        </w:tc>
      </w:tr>
      <w:tr w:rsidR="00B070BF" w:rsidRPr="009577DE" w:rsidTr="00C33D4A">
        <w:trPr>
          <w:trHeight w:val="487"/>
        </w:trPr>
        <w:tc>
          <w:tcPr>
            <w:tcW w:w="1873" w:type="dxa"/>
          </w:tcPr>
          <w:p w:rsidR="00B070BF" w:rsidRPr="009577DE" w:rsidRDefault="00B070BF" w:rsidP="00C33D4A">
            <w:pPr>
              <w:keepNext/>
              <w:autoSpaceDE w:val="0"/>
              <w:autoSpaceDN w:val="0"/>
              <w:adjustRightInd w:val="0"/>
              <w:spacing w:before="120" w:after="120"/>
              <w:rPr>
                <w:sz w:val="16"/>
                <w:szCs w:val="16"/>
                <w:lang w:val="es-ES_tradnl"/>
              </w:rPr>
            </w:pPr>
            <w:r w:rsidRPr="009577DE">
              <w:rPr>
                <w:sz w:val="16"/>
                <w:szCs w:val="16"/>
                <w:lang w:val="es-ES_tradnl"/>
              </w:rPr>
              <w:t>Producción de cortos de animación.</w:t>
            </w:r>
          </w:p>
        </w:tc>
        <w:tc>
          <w:tcPr>
            <w:tcW w:w="1134" w:type="dxa"/>
          </w:tcPr>
          <w:p w:rsidR="00B070BF" w:rsidRPr="009577DE" w:rsidRDefault="00B070BF" w:rsidP="00C33D4A">
            <w:pPr>
              <w:keepNext/>
              <w:autoSpaceDE w:val="0"/>
              <w:autoSpaceDN w:val="0"/>
              <w:adjustRightInd w:val="0"/>
              <w:spacing w:before="120" w:after="120"/>
              <w:rPr>
                <w:sz w:val="16"/>
                <w:szCs w:val="16"/>
                <w:lang w:val="es-ES_tradnl" w:eastAsia="ko-KR"/>
              </w:rPr>
            </w:pPr>
            <w:r w:rsidRPr="009577DE">
              <w:rPr>
                <w:sz w:val="16"/>
                <w:szCs w:val="16"/>
                <w:lang w:val="es-ES_tradnl"/>
              </w:rPr>
              <w:t>1º de marzo de 2011 a 30 de abril de 2013</w:t>
            </w:r>
          </w:p>
        </w:tc>
        <w:tc>
          <w:tcPr>
            <w:tcW w:w="1843" w:type="dxa"/>
          </w:tcPr>
          <w:p w:rsidR="00B070BF" w:rsidRPr="009577DE" w:rsidRDefault="00B070BF" w:rsidP="00C33D4A">
            <w:pPr>
              <w:keepNext/>
              <w:autoSpaceDE w:val="0"/>
              <w:autoSpaceDN w:val="0"/>
              <w:adjustRightInd w:val="0"/>
              <w:spacing w:before="120" w:after="120"/>
              <w:jc w:val="right"/>
              <w:rPr>
                <w:sz w:val="16"/>
                <w:szCs w:val="16"/>
                <w:lang w:val="es-ES_tradnl"/>
              </w:rPr>
            </w:pPr>
          </w:p>
        </w:tc>
        <w:tc>
          <w:tcPr>
            <w:tcW w:w="4252" w:type="dxa"/>
            <w:gridSpan w:val="4"/>
          </w:tcPr>
          <w:p w:rsidR="00B070BF" w:rsidRPr="009577DE" w:rsidRDefault="00B070BF" w:rsidP="00C33D4A">
            <w:pPr>
              <w:keepNext/>
              <w:autoSpaceDE w:val="0"/>
              <w:autoSpaceDN w:val="0"/>
              <w:adjustRightInd w:val="0"/>
              <w:spacing w:before="120" w:after="120"/>
              <w:ind w:left="742"/>
              <w:rPr>
                <w:sz w:val="16"/>
                <w:szCs w:val="16"/>
                <w:lang w:val="es-ES_tradnl"/>
              </w:rPr>
            </w:pPr>
            <w:r w:rsidRPr="009577DE">
              <w:rPr>
                <w:sz w:val="16"/>
                <w:szCs w:val="16"/>
                <w:lang w:val="es-ES_tradnl"/>
              </w:rPr>
              <w:t>Se inició la producción de las versiones animadas de dos libros de cómic sobre patentes y marcas (publicaciones de la OMPI Nº 485 y 483, respectivamente). Los dos libros de cómic se adaptaron a dos cortos de animación y se produjeron en español, francés e inglés, y en una versión internacional.</w:t>
            </w:r>
          </w:p>
          <w:p w:rsidR="00B070BF" w:rsidRPr="009577DE" w:rsidRDefault="00B070BF" w:rsidP="00C33D4A">
            <w:pPr>
              <w:keepNext/>
              <w:autoSpaceDE w:val="0"/>
              <w:autoSpaceDN w:val="0"/>
              <w:adjustRightInd w:val="0"/>
              <w:spacing w:before="120" w:after="120"/>
              <w:ind w:left="742"/>
              <w:rPr>
                <w:sz w:val="16"/>
                <w:szCs w:val="16"/>
                <w:lang w:val="es-ES_tradnl"/>
              </w:rPr>
            </w:pPr>
            <w:r w:rsidRPr="009577DE">
              <w:rPr>
                <w:sz w:val="16"/>
                <w:szCs w:val="16"/>
                <w:lang w:val="es-ES_tradnl"/>
              </w:rPr>
              <w:t>Los objetivos fueron los siguientes:  i) transmitir al público joven información sobre patentes y marcas para intensificar el respeto y el apoyo a los inventores y los empresarios;  ii) mejorar la percepción de las nociones de "patente" y "marca" y presentar sus funciones positivas y su utilidad para la innovación y la iniciativa empresarial;  y iii) llegar a un público joven a través de la televisión y de Internet.</w:t>
            </w:r>
          </w:p>
        </w:tc>
      </w:tr>
      <w:tr w:rsidR="00B070BF" w:rsidRPr="009577DE" w:rsidTr="00C33D4A">
        <w:trPr>
          <w:trHeight w:val="487"/>
        </w:trPr>
        <w:tc>
          <w:tcPr>
            <w:tcW w:w="1873" w:type="dxa"/>
          </w:tcPr>
          <w:p w:rsidR="00B070BF" w:rsidRPr="009577DE" w:rsidRDefault="00B070BF" w:rsidP="00C33D4A">
            <w:pPr>
              <w:autoSpaceDE w:val="0"/>
              <w:autoSpaceDN w:val="0"/>
              <w:adjustRightInd w:val="0"/>
              <w:spacing w:before="120" w:after="120"/>
              <w:rPr>
                <w:sz w:val="16"/>
                <w:szCs w:val="16"/>
                <w:lang w:val="es-ES_tradnl"/>
              </w:rPr>
            </w:pPr>
            <w:r w:rsidRPr="009577DE">
              <w:rPr>
                <w:bCs/>
                <w:sz w:val="16"/>
                <w:szCs w:val="16"/>
                <w:lang w:val="es-ES_tradnl"/>
              </w:rPr>
              <w:t>Misión de expertos para la formación sobre el sistema de Madrid.</w:t>
            </w:r>
          </w:p>
        </w:tc>
        <w:tc>
          <w:tcPr>
            <w:tcW w:w="1134" w:type="dxa"/>
          </w:tcPr>
          <w:p w:rsidR="00B070BF" w:rsidRPr="009577DE" w:rsidRDefault="00B070BF" w:rsidP="00C33D4A">
            <w:pPr>
              <w:autoSpaceDE w:val="0"/>
              <w:autoSpaceDN w:val="0"/>
              <w:adjustRightInd w:val="0"/>
              <w:spacing w:before="120" w:after="120"/>
              <w:rPr>
                <w:sz w:val="16"/>
                <w:szCs w:val="16"/>
                <w:lang w:val="es-ES_tradnl" w:eastAsia="ko-KR"/>
              </w:rPr>
            </w:pPr>
            <w:r w:rsidRPr="009577DE">
              <w:rPr>
                <w:sz w:val="16"/>
                <w:szCs w:val="16"/>
                <w:lang w:val="es-ES_tradnl" w:eastAsia="ko-KR"/>
              </w:rPr>
              <w:t xml:space="preserve">Del </w:t>
            </w:r>
            <w:r w:rsidRPr="009577DE">
              <w:rPr>
                <w:sz w:val="16"/>
                <w:szCs w:val="16"/>
                <w:lang w:val="es-ES_tradnl"/>
              </w:rPr>
              <w:t>2</w:t>
            </w:r>
            <w:r w:rsidRPr="009577DE">
              <w:rPr>
                <w:sz w:val="16"/>
                <w:szCs w:val="16"/>
                <w:lang w:val="es-ES_tradnl" w:eastAsia="ko-KR"/>
              </w:rPr>
              <w:t>9</w:t>
            </w:r>
            <w:r w:rsidRPr="009577DE">
              <w:rPr>
                <w:sz w:val="16"/>
                <w:szCs w:val="16"/>
                <w:lang w:val="es-ES_tradnl"/>
              </w:rPr>
              <w:t xml:space="preserve"> al </w:t>
            </w:r>
            <w:r w:rsidRPr="009577DE">
              <w:rPr>
                <w:sz w:val="16"/>
                <w:szCs w:val="16"/>
                <w:lang w:val="es-ES_tradnl" w:eastAsia="ko-KR"/>
              </w:rPr>
              <w:t>31</w:t>
            </w:r>
            <w:r w:rsidRPr="009577DE">
              <w:rPr>
                <w:sz w:val="16"/>
                <w:szCs w:val="16"/>
                <w:lang w:val="es-ES_tradnl"/>
              </w:rPr>
              <w:t xml:space="preserve"> de agosto de 201</w:t>
            </w:r>
            <w:r w:rsidRPr="009577DE">
              <w:rPr>
                <w:sz w:val="16"/>
                <w:szCs w:val="16"/>
                <w:lang w:val="es-ES_tradnl" w:eastAsia="ko-KR"/>
              </w:rPr>
              <w:t>2</w:t>
            </w:r>
          </w:p>
        </w:tc>
        <w:tc>
          <w:tcPr>
            <w:tcW w:w="1843" w:type="dxa"/>
          </w:tcPr>
          <w:p w:rsidR="00B070BF" w:rsidRPr="009577DE" w:rsidRDefault="00B070BF" w:rsidP="00C33D4A">
            <w:pPr>
              <w:autoSpaceDE w:val="0"/>
              <w:autoSpaceDN w:val="0"/>
              <w:adjustRightInd w:val="0"/>
              <w:spacing w:before="120" w:after="120"/>
              <w:rPr>
                <w:sz w:val="16"/>
                <w:szCs w:val="16"/>
                <w:lang w:val="es-ES_tradnl" w:eastAsia="ko-KR"/>
              </w:rPr>
            </w:pPr>
            <w:proofErr w:type="spellStart"/>
            <w:r w:rsidRPr="009577DE">
              <w:rPr>
                <w:sz w:val="16"/>
                <w:szCs w:val="16"/>
                <w:lang w:val="es-ES_tradnl" w:eastAsia="ko-KR"/>
              </w:rPr>
              <w:t>Bhután</w:t>
            </w:r>
            <w:proofErr w:type="spellEnd"/>
          </w:p>
          <w:p w:rsidR="00B070BF" w:rsidRPr="009577DE" w:rsidRDefault="00B070BF" w:rsidP="00C33D4A">
            <w:pPr>
              <w:autoSpaceDE w:val="0"/>
              <w:autoSpaceDN w:val="0"/>
              <w:adjustRightInd w:val="0"/>
              <w:spacing w:before="120" w:after="120"/>
              <w:rPr>
                <w:sz w:val="16"/>
                <w:szCs w:val="16"/>
                <w:lang w:val="es-ES_tradnl"/>
              </w:rPr>
            </w:pPr>
          </w:p>
        </w:tc>
        <w:tc>
          <w:tcPr>
            <w:tcW w:w="4252" w:type="dxa"/>
            <w:gridSpan w:val="4"/>
          </w:tcPr>
          <w:p w:rsidR="00B070BF" w:rsidRPr="009577DE" w:rsidRDefault="00B070BF" w:rsidP="00C33D4A">
            <w:pPr>
              <w:autoSpaceDE w:val="0"/>
              <w:autoSpaceDN w:val="0"/>
              <w:adjustRightInd w:val="0"/>
              <w:spacing w:before="120" w:after="120"/>
              <w:ind w:left="742"/>
              <w:rPr>
                <w:sz w:val="16"/>
                <w:szCs w:val="16"/>
                <w:lang w:val="es-ES_tradnl" w:eastAsia="ko-KR"/>
              </w:rPr>
            </w:pPr>
            <w:r w:rsidRPr="009577DE">
              <w:rPr>
                <w:sz w:val="16"/>
                <w:szCs w:val="16"/>
                <w:lang w:val="es-ES_tradnl" w:eastAsia="ko-KR"/>
              </w:rPr>
              <w:t>Mejorar el conocimiento de los procedimientos y el funcionamiento del sistema de</w:t>
            </w:r>
            <w:r w:rsidRPr="009577DE">
              <w:rPr>
                <w:sz w:val="16"/>
                <w:szCs w:val="16"/>
                <w:lang w:val="es-ES_tradnl"/>
              </w:rPr>
              <w:t xml:space="preserve"> Madrid</w:t>
            </w:r>
            <w:r w:rsidRPr="009577DE">
              <w:rPr>
                <w:sz w:val="16"/>
                <w:szCs w:val="16"/>
                <w:lang w:val="es-ES_tradnl" w:eastAsia="ko-KR"/>
              </w:rPr>
              <w:t>.</w:t>
            </w:r>
            <w:r w:rsidRPr="009577DE">
              <w:rPr>
                <w:sz w:val="16"/>
                <w:szCs w:val="16"/>
                <w:lang w:val="es-ES_tradnl"/>
              </w:rPr>
              <w:t xml:space="preserve">  Se dio a los examinadores la posibilidad de capacitarse de forma práctica, y mediante explicaciones teóricas del examen de marcas y el sistema de </w:t>
            </w:r>
            <w:r w:rsidRPr="009577DE">
              <w:rPr>
                <w:sz w:val="16"/>
                <w:szCs w:val="16"/>
                <w:lang w:val="es-ES_tradnl" w:eastAsia="ko-KR"/>
              </w:rPr>
              <w:t>Madrid.</w:t>
            </w:r>
          </w:p>
        </w:tc>
      </w:tr>
      <w:tr w:rsidR="00B070BF" w:rsidRPr="009577DE" w:rsidTr="00C33D4A">
        <w:trPr>
          <w:trHeight w:val="487"/>
        </w:trPr>
        <w:tc>
          <w:tcPr>
            <w:tcW w:w="1873" w:type="dxa"/>
          </w:tcPr>
          <w:p w:rsidR="00B070BF" w:rsidRPr="009577DE" w:rsidRDefault="00B070BF" w:rsidP="00C33D4A">
            <w:pPr>
              <w:keepNext/>
              <w:keepLines/>
              <w:spacing w:after="120"/>
              <w:rPr>
                <w:bCs/>
                <w:sz w:val="16"/>
                <w:szCs w:val="16"/>
                <w:lang w:val="es-ES_tradnl"/>
              </w:rPr>
            </w:pPr>
            <w:r w:rsidRPr="009577DE">
              <w:rPr>
                <w:bCs/>
                <w:sz w:val="16"/>
                <w:szCs w:val="16"/>
                <w:lang w:val="es-ES_tradnl"/>
              </w:rPr>
              <w:t>Misión de expertos sobre el examen de marcas.</w:t>
            </w:r>
          </w:p>
        </w:tc>
        <w:tc>
          <w:tcPr>
            <w:tcW w:w="1134" w:type="dxa"/>
          </w:tcPr>
          <w:p w:rsidR="00B070BF" w:rsidRPr="009577DE" w:rsidRDefault="00B070BF" w:rsidP="00C33D4A">
            <w:pPr>
              <w:keepNext/>
              <w:keepLines/>
              <w:spacing w:after="120"/>
              <w:rPr>
                <w:b/>
                <w:bCs/>
                <w:sz w:val="16"/>
                <w:szCs w:val="16"/>
                <w:lang w:val="es-ES_tradnl"/>
              </w:rPr>
            </w:pPr>
            <w:r w:rsidRPr="009577DE">
              <w:rPr>
                <w:sz w:val="16"/>
                <w:szCs w:val="16"/>
                <w:lang w:val="es-ES_tradnl" w:eastAsia="ko-KR"/>
              </w:rPr>
              <w:t>23 a 27 de julio de 2012</w:t>
            </w:r>
          </w:p>
        </w:tc>
        <w:tc>
          <w:tcPr>
            <w:tcW w:w="1843" w:type="dxa"/>
          </w:tcPr>
          <w:p w:rsidR="00B070BF" w:rsidRPr="009577DE" w:rsidRDefault="00B070BF" w:rsidP="00C33D4A">
            <w:pPr>
              <w:keepNext/>
              <w:keepLines/>
              <w:spacing w:after="120"/>
              <w:rPr>
                <w:bCs/>
                <w:sz w:val="16"/>
                <w:szCs w:val="16"/>
                <w:lang w:val="es-ES_tradnl"/>
              </w:rPr>
            </w:pPr>
            <w:r w:rsidRPr="009577DE">
              <w:rPr>
                <w:bCs/>
                <w:sz w:val="16"/>
                <w:szCs w:val="16"/>
                <w:lang w:val="es-ES_tradnl"/>
              </w:rPr>
              <w:t>Camboya</w:t>
            </w:r>
          </w:p>
        </w:tc>
        <w:tc>
          <w:tcPr>
            <w:tcW w:w="4252" w:type="dxa"/>
            <w:gridSpan w:val="4"/>
          </w:tcPr>
          <w:p w:rsidR="00B070BF" w:rsidRPr="009577DE" w:rsidRDefault="00B070BF" w:rsidP="00C33D4A">
            <w:pPr>
              <w:keepNext/>
              <w:keepLines/>
              <w:spacing w:before="120" w:after="120"/>
              <w:ind w:left="742"/>
              <w:rPr>
                <w:bCs/>
                <w:sz w:val="16"/>
                <w:szCs w:val="16"/>
                <w:lang w:val="es-ES_tradnl"/>
              </w:rPr>
            </w:pPr>
            <w:r w:rsidRPr="009577DE">
              <w:rPr>
                <w:bCs/>
                <w:sz w:val="16"/>
                <w:szCs w:val="16"/>
                <w:lang w:val="es-ES_tradnl" w:eastAsia="ko-KR"/>
              </w:rPr>
              <w:t>Mejorar la capacidad de la Oficina de</w:t>
            </w:r>
            <w:r w:rsidRPr="009577DE">
              <w:rPr>
                <w:bCs/>
                <w:sz w:val="16"/>
                <w:szCs w:val="16"/>
                <w:lang w:val="es-ES_tradnl"/>
              </w:rPr>
              <w:t xml:space="preserve"> P.I. de Camboya para realizar el examen de marcas;  los expertos designados examinaron la legislación sobre marcas y las prácticas de examen y formularon recomendaciones al respecto, además de impartir formación en el trabajo a los examinadores de marcas.</w:t>
            </w:r>
          </w:p>
        </w:tc>
      </w:tr>
    </w:tbl>
    <w:p w:rsidR="00B070BF" w:rsidRPr="009577DE" w:rsidRDefault="00B070BF" w:rsidP="00B070BF">
      <w:pPr>
        <w:rPr>
          <w:b/>
          <w:sz w:val="18"/>
          <w:szCs w:val="18"/>
          <w:lang w:val="es-ES_tradnl"/>
        </w:rPr>
      </w:pPr>
    </w:p>
    <w:p w:rsidR="00B070BF" w:rsidRPr="009577DE" w:rsidRDefault="00B070BF" w:rsidP="00B070BF">
      <w:pPr>
        <w:rPr>
          <w:b/>
          <w:sz w:val="18"/>
          <w:szCs w:val="18"/>
          <w:lang w:val="es-ES_tradnl"/>
        </w:rPr>
      </w:pPr>
    </w:p>
    <w:p w:rsidR="00B070BF" w:rsidRPr="009577DE" w:rsidRDefault="00B070BF" w:rsidP="00B070BF">
      <w:pPr>
        <w:rPr>
          <w:b/>
          <w:sz w:val="20"/>
          <w:lang w:val="es-ES_tradnl"/>
        </w:rPr>
      </w:pPr>
      <w:r w:rsidRPr="009577DE">
        <w:rPr>
          <w:b/>
          <w:sz w:val="20"/>
          <w:lang w:val="es-ES_tradnl"/>
        </w:rPr>
        <w:t>REPÚBLICA DE COREA – PROPIEDAD INTELECTUAL – Contribuciones de donantes y gastos en 2012</w:t>
      </w:r>
      <w:r w:rsidRPr="009577DE">
        <w:rPr>
          <w:b/>
          <w:sz w:val="20"/>
          <w:vertAlign w:val="superscript"/>
          <w:lang w:val="es-ES_tradnl"/>
        </w:rPr>
        <w:t>1</w:t>
      </w:r>
    </w:p>
    <w:p w:rsidR="00B070BF" w:rsidRPr="009577DE" w:rsidRDefault="00B070BF" w:rsidP="00B070BF">
      <w:pPr>
        <w:rPr>
          <w:sz w:val="20"/>
          <w:lang w:val="es-ES_tradn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0"/>
        <w:gridCol w:w="1650"/>
        <w:gridCol w:w="1870"/>
        <w:gridCol w:w="1650"/>
        <w:gridCol w:w="1980"/>
      </w:tblGrid>
      <w:tr w:rsidR="00B070BF" w:rsidRPr="009577DE" w:rsidTr="00C33D4A">
        <w:trPr>
          <w:trHeight w:val="567"/>
        </w:trPr>
        <w:tc>
          <w:tcPr>
            <w:tcW w:w="1870" w:type="dxa"/>
            <w:shd w:val="clear" w:color="auto" w:fill="CCFFFF"/>
            <w:vAlign w:val="center"/>
          </w:tcPr>
          <w:p w:rsidR="00B070BF" w:rsidRPr="009577DE" w:rsidRDefault="00B070BF" w:rsidP="00C33D4A">
            <w:pPr>
              <w:spacing w:after="220"/>
              <w:jc w:val="center"/>
              <w:rPr>
                <w:b/>
                <w:sz w:val="16"/>
                <w:szCs w:val="16"/>
                <w:lang w:val="es-ES_tradnl"/>
              </w:rPr>
            </w:pPr>
            <w:r w:rsidRPr="009577DE">
              <w:rPr>
                <w:b/>
                <w:sz w:val="16"/>
                <w:szCs w:val="16"/>
                <w:lang w:val="es-ES_tradnl"/>
              </w:rPr>
              <w:t>Balance a 31 de diciembre de 2011</w:t>
            </w:r>
          </w:p>
        </w:tc>
        <w:tc>
          <w:tcPr>
            <w:tcW w:w="1650" w:type="dxa"/>
            <w:shd w:val="clear" w:color="auto" w:fill="CCFFFF"/>
            <w:vAlign w:val="center"/>
          </w:tcPr>
          <w:p w:rsidR="00B070BF" w:rsidRPr="009577DE" w:rsidRDefault="00B070BF" w:rsidP="00C33D4A">
            <w:pPr>
              <w:spacing w:after="220"/>
              <w:jc w:val="center"/>
              <w:rPr>
                <w:b/>
                <w:sz w:val="16"/>
                <w:szCs w:val="16"/>
                <w:lang w:val="es-ES_tradnl"/>
              </w:rPr>
            </w:pPr>
            <w:r w:rsidRPr="009577DE">
              <w:rPr>
                <w:b/>
                <w:sz w:val="16"/>
                <w:szCs w:val="16"/>
                <w:lang w:val="es-ES_tradnl"/>
              </w:rPr>
              <w:t>Ingresos en 2012</w:t>
            </w:r>
          </w:p>
        </w:tc>
        <w:tc>
          <w:tcPr>
            <w:tcW w:w="1870" w:type="dxa"/>
            <w:shd w:val="clear" w:color="auto" w:fill="CCFFFF"/>
            <w:vAlign w:val="center"/>
          </w:tcPr>
          <w:p w:rsidR="00B070BF" w:rsidRPr="009577DE" w:rsidRDefault="00B070BF" w:rsidP="00C33D4A">
            <w:pPr>
              <w:spacing w:after="220"/>
              <w:jc w:val="center"/>
              <w:rPr>
                <w:b/>
                <w:sz w:val="16"/>
                <w:szCs w:val="16"/>
                <w:lang w:val="es-ES_tradnl"/>
              </w:rPr>
            </w:pPr>
            <w:r w:rsidRPr="009577DE">
              <w:rPr>
                <w:b/>
                <w:sz w:val="16"/>
                <w:szCs w:val="16"/>
                <w:lang w:val="es-ES_tradnl"/>
              </w:rPr>
              <w:t>Gastos en 2012</w:t>
            </w:r>
          </w:p>
        </w:tc>
        <w:tc>
          <w:tcPr>
            <w:tcW w:w="1650" w:type="dxa"/>
            <w:shd w:val="clear" w:color="auto" w:fill="CCFFFF"/>
            <w:vAlign w:val="center"/>
          </w:tcPr>
          <w:p w:rsidR="00B070BF" w:rsidRPr="009577DE" w:rsidRDefault="00B070BF" w:rsidP="00C33D4A">
            <w:pPr>
              <w:spacing w:after="220"/>
              <w:jc w:val="center"/>
              <w:rPr>
                <w:b/>
                <w:sz w:val="16"/>
                <w:szCs w:val="16"/>
                <w:lang w:val="es-ES_tradnl"/>
              </w:rPr>
            </w:pPr>
            <w:r w:rsidRPr="009577DE">
              <w:rPr>
                <w:b/>
                <w:sz w:val="16"/>
                <w:szCs w:val="16"/>
                <w:lang w:val="es-ES_tradnl"/>
              </w:rPr>
              <w:t>Reembolsos</w:t>
            </w:r>
          </w:p>
        </w:tc>
        <w:tc>
          <w:tcPr>
            <w:tcW w:w="1980" w:type="dxa"/>
            <w:shd w:val="clear" w:color="auto" w:fill="CCFFFF"/>
            <w:vAlign w:val="center"/>
          </w:tcPr>
          <w:p w:rsidR="00B070BF" w:rsidRPr="009577DE" w:rsidRDefault="00B070BF" w:rsidP="00C33D4A">
            <w:pPr>
              <w:spacing w:after="220"/>
              <w:jc w:val="center"/>
              <w:rPr>
                <w:b/>
                <w:sz w:val="16"/>
                <w:szCs w:val="16"/>
                <w:lang w:val="es-ES_tradnl"/>
              </w:rPr>
            </w:pPr>
            <w:r w:rsidRPr="009577DE">
              <w:rPr>
                <w:b/>
                <w:sz w:val="16"/>
                <w:szCs w:val="16"/>
                <w:lang w:val="es-ES_tradnl"/>
              </w:rPr>
              <w:t>Balance a 31 de diciembre de 2012</w:t>
            </w:r>
          </w:p>
        </w:tc>
      </w:tr>
      <w:tr w:rsidR="00B070BF" w:rsidRPr="009577DE" w:rsidTr="00C33D4A">
        <w:trPr>
          <w:trHeight w:val="567"/>
        </w:trPr>
        <w:tc>
          <w:tcPr>
            <w:tcW w:w="1870" w:type="dxa"/>
            <w:shd w:val="clear" w:color="auto" w:fill="auto"/>
            <w:vAlign w:val="center"/>
          </w:tcPr>
          <w:p w:rsidR="00B070BF" w:rsidRPr="009577DE" w:rsidRDefault="00B070BF" w:rsidP="00C33D4A">
            <w:pPr>
              <w:autoSpaceDE w:val="0"/>
              <w:autoSpaceDN w:val="0"/>
              <w:adjustRightInd w:val="0"/>
              <w:spacing w:after="220"/>
              <w:jc w:val="center"/>
              <w:rPr>
                <w:rFonts w:eastAsia="MS Mincho"/>
                <w:sz w:val="16"/>
                <w:szCs w:val="16"/>
                <w:lang w:val="es-ES_tradnl" w:eastAsia="ja-JP" w:bidi="th-TH"/>
              </w:rPr>
            </w:pPr>
            <w:r w:rsidRPr="009577DE">
              <w:rPr>
                <w:rFonts w:eastAsia="MS Mincho"/>
                <w:sz w:val="16"/>
                <w:szCs w:val="16"/>
                <w:lang w:val="es-ES_tradnl" w:eastAsia="ja-JP" w:bidi="th-TH"/>
              </w:rPr>
              <w:t>1.241.673</w:t>
            </w:r>
          </w:p>
        </w:tc>
        <w:tc>
          <w:tcPr>
            <w:tcW w:w="1650" w:type="dxa"/>
            <w:shd w:val="clear" w:color="auto" w:fill="auto"/>
            <w:vAlign w:val="center"/>
          </w:tcPr>
          <w:p w:rsidR="00B070BF" w:rsidRPr="009577DE" w:rsidRDefault="00B070BF" w:rsidP="00C33D4A">
            <w:pPr>
              <w:autoSpaceDE w:val="0"/>
              <w:autoSpaceDN w:val="0"/>
              <w:adjustRightInd w:val="0"/>
              <w:spacing w:after="220"/>
              <w:jc w:val="center"/>
              <w:rPr>
                <w:rFonts w:eastAsia="MS Mincho"/>
                <w:sz w:val="16"/>
                <w:szCs w:val="16"/>
                <w:lang w:val="es-ES_tradnl" w:eastAsia="ja-JP" w:bidi="th-TH"/>
              </w:rPr>
            </w:pPr>
            <w:r w:rsidRPr="009577DE">
              <w:rPr>
                <w:rFonts w:eastAsia="MS Mincho"/>
                <w:sz w:val="16"/>
                <w:szCs w:val="16"/>
                <w:lang w:val="es-ES_tradnl" w:eastAsia="ja-JP" w:bidi="th-TH"/>
              </w:rPr>
              <w:t>664.498</w:t>
            </w:r>
          </w:p>
        </w:tc>
        <w:tc>
          <w:tcPr>
            <w:tcW w:w="1870" w:type="dxa"/>
            <w:shd w:val="clear" w:color="auto" w:fill="auto"/>
            <w:vAlign w:val="center"/>
          </w:tcPr>
          <w:p w:rsidR="00B070BF" w:rsidRPr="009577DE" w:rsidRDefault="00B070BF" w:rsidP="00C33D4A">
            <w:pPr>
              <w:autoSpaceDE w:val="0"/>
              <w:autoSpaceDN w:val="0"/>
              <w:adjustRightInd w:val="0"/>
              <w:spacing w:after="220"/>
              <w:jc w:val="center"/>
              <w:rPr>
                <w:rFonts w:eastAsia="MS Mincho"/>
                <w:sz w:val="16"/>
                <w:szCs w:val="16"/>
                <w:lang w:val="es-ES_tradnl" w:eastAsia="ja-JP" w:bidi="th-TH"/>
              </w:rPr>
            </w:pPr>
            <w:r w:rsidRPr="009577DE">
              <w:rPr>
                <w:rFonts w:eastAsia="MS Mincho"/>
                <w:sz w:val="16"/>
                <w:szCs w:val="16"/>
                <w:lang w:val="es-ES_tradnl" w:eastAsia="ja-JP" w:bidi="th-TH"/>
              </w:rPr>
              <w:t>740.784</w:t>
            </w:r>
          </w:p>
        </w:tc>
        <w:tc>
          <w:tcPr>
            <w:tcW w:w="1650" w:type="dxa"/>
            <w:shd w:val="clear" w:color="auto" w:fill="auto"/>
            <w:vAlign w:val="center"/>
          </w:tcPr>
          <w:p w:rsidR="00B070BF" w:rsidRPr="009577DE" w:rsidRDefault="00B070BF" w:rsidP="00C33D4A">
            <w:pPr>
              <w:autoSpaceDE w:val="0"/>
              <w:autoSpaceDN w:val="0"/>
              <w:adjustRightInd w:val="0"/>
              <w:spacing w:after="220"/>
              <w:jc w:val="center"/>
              <w:rPr>
                <w:rFonts w:eastAsia="MS Mincho"/>
                <w:sz w:val="16"/>
                <w:szCs w:val="16"/>
                <w:lang w:val="es-ES_tradnl" w:eastAsia="ja-JP" w:bidi="th-TH"/>
              </w:rPr>
            </w:pPr>
            <w:r w:rsidRPr="009577DE">
              <w:rPr>
                <w:rFonts w:eastAsia="MS Mincho"/>
                <w:sz w:val="16"/>
                <w:szCs w:val="16"/>
                <w:lang w:val="es-ES_tradnl" w:eastAsia="ja-JP" w:bidi="th-TH"/>
              </w:rPr>
              <w:t>–</w:t>
            </w:r>
          </w:p>
        </w:tc>
        <w:tc>
          <w:tcPr>
            <w:tcW w:w="1980" w:type="dxa"/>
            <w:shd w:val="clear" w:color="auto" w:fill="auto"/>
            <w:vAlign w:val="center"/>
          </w:tcPr>
          <w:p w:rsidR="00B070BF" w:rsidRPr="009577DE" w:rsidRDefault="00B070BF" w:rsidP="00C33D4A">
            <w:pPr>
              <w:autoSpaceDE w:val="0"/>
              <w:autoSpaceDN w:val="0"/>
              <w:adjustRightInd w:val="0"/>
              <w:spacing w:after="220"/>
              <w:jc w:val="center"/>
              <w:rPr>
                <w:rFonts w:eastAsia="MS Mincho"/>
                <w:sz w:val="16"/>
                <w:szCs w:val="16"/>
                <w:lang w:val="es-ES_tradnl" w:eastAsia="ja-JP" w:bidi="th-TH"/>
              </w:rPr>
            </w:pPr>
            <w:r w:rsidRPr="009577DE">
              <w:rPr>
                <w:rFonts w:eastAsia="MS Mincho"/>
                <w:sz w:val="16"/>
                <w:szCs w:val="16"/>
                <w:lang w:val="es-ES_tradnl" w:eastAsia="ja-JP" w:bidi="th-TH"/>
              </w:rPr>
              <w:t>1.165.387</w:t>
            </w:r>
          </w:p>
        </w:tc>
      </w:tr>
    </w:tbl>
    <w:p w:rsidR="00B070BF" w:rsidRPr="009577DE" w:rsidRDefault="00B070BF" w:rsidP="00B070BF">
      <w:pPr>
        <w:spacing w:before="120"/>
        <w:rPr>
          <w:szCs w:val="22"/>
          <w:lang w:val="es-ES_tradnl"/>
        </w:rPr>
      </w:pPr>
      <w:r w:rsidRPr="009577DE">
        <w:rPr>
          <w:i/>
          <w:iCs/>
          <w:sz w:val="16"/>
          <w:szCs w:val="16"/>
          <w:vertAlign w:val="superscript"/>
          <w:lang w:val="es-ES_tradnl"/>
        </w:rPr>
        <w:t xml:space="preserve">1 </w:t>
      </w:r>
      <w:r w:rsidRPr="009577DE">
        <w:rPr>
          <w:i/>
          <w:iCs/>
          <w:sz w:val="16"/>
          <w:szCs w:val="16"/>
          <w:lang w:val="es-ES_tradnl"/>
        </w:rPr>
        <w:t>Estados financieros de la OMPI de 2012 (Anexo III)</w:t>
      </w:r>
    </w:p>
    <w:p w:rsidR="00B070BF" w:rsidRPr="009577DE" w:rsidRDefault="00B070BF" w:rsidP="00B070BF">
      <w:pPr>
        <w:rPr>
          <w:b/>
          <w:sz w:val="20"/>
          <w:lang w:val="es-ES_tradnl"/>
        </w:rPr>
      </w:pPr>
    </w:p>
    <w:p w:rsidR="00B070BF" w:rsidRPr="009577DE" w:rsidRDefault="00B070BF" w:rsidP="00B070BF">
      <w:pPr>
        <w:rPr>
          <w:b/>
          <w:sz w:val="20"/>
          <w:lang w:val="es-ES_tradnl"/>
        </w:rPr>
      </w:pPr>
    </w:p>
    <w:p w:rsidR="00B070BF" w:rsidRPr="009577DE" w:rsidRDefault="00B070BF" w:rsidP="00B070BF">
      <w:pPr>
        <w:keepNext/>
        <w:keepLines/>
        <w:rPr>
          <w:b/>
          <w:sz w:val="20"/>
          <w:lang w:val="es-ES_tradnl"/>
        </w:rPr>
      </w:pPr>
      <w:r w:rsidRPr="009577DE">
        <w:rPr>
          <w:b/>
          <w:sz w:val="20"/>
          <w:lang w:val="es-ES_tradnl"/>
        </w:rPr>
        <w:lastRenderedPageBreak/>
        <w:t>ESPAÑA</w:t>
      </w:r>
    </w:p>
    <w:p w:rsidR="00B070BF" w:rsidRPr="009577DE" w:rsidRDefault="00B070BF" w:rsidP="00B070BF">
      <w:pPr>
        <w:keepNext/>
        <w:keepLines/>
        <w:rPr>
          <w:b/>
          <w:sz w:val="20"/>
          <w:lang w:val="es-ES_tradnl"/>
        </w:rPr>
      </w:pPr>
    </w:p>
    <w:tbl>
      <w:tblPr>
        <w:tblW w:w="9102" w:type="dxa"/>
        <w:tblInd w:w="78"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2010"/>
        <w:gridCol w:w="1260"/>
        <w:gridCol w:w="2572"/>
        <w:gridCol w:w="3260"/>
      </w:tblGrid>
      <w:tr w:rsidR="00B070BF" w:rsidRPr="009577DE" w:rsidTr="00C33D4A">
        <w:trPr>
          <w:cantSplit/>
        </w:trPr>
        <w:tc>
          <w:tcPr>
            <w:tcW w:w="9102" w:type="dxa"/>
            <w:gridSpan w:val="4"/>
            <w:tcBorders>
              <w:top w:val="single" w:sz="4" w:space="0" w:color="auto"/>
              <w:left w:val="single" w:sz="4" w:space="0" w:color="auto"/>
              <w:bottom w:val="single" w:sz="4" w:space="0" w:color="auto"/>
              <w:right w:val="single" w:sz="4" w:space="0" w:color="auto"/>
            </w:tcBorders>
            <w:shd w:val="clear" w:color="auto" w:fill="CCFFFF"/>
            <w:vAlign w:val="center"/>
          </w:tcPr>
          <w:p w:rsidR="00B070BF" w:rsidRPr="009577DE" w:rsidRDefault="00B070BF" w:rsidP="00C33D4A">
            <w:pPr>
              <w:keepNext/>
              <w:keepLines/>
              <w:tabs>
                <w:tab w:val="left" w:pos="1740"/>
              </w:tabs>
              <w:spacing w:before="120" w:after="120"/>
              <w:ind w:left="1740" w:hanging="1740"/>
              <w:rPr>
                <w:b/>
                <w:bCs/>
                <w:sz w:val="16"/>
                <w:szCs w:val="16"/>
                <w:lang w:val="es-ES_tradnl"/>
              </w:rPr>
            </w:pPr>
            <w:r w:rsidRPr="009577DE">
              <w:rPr>
                <w:b/>
                <w:bCs/>
                <w:sz w:val="16"/>
                <w:szCs w:val="16"/>
                <w:lang w:val="es-ES_tradnl"/>
              </w:rPr>
              <w:t>RESULTADO:</w:t>
            </w:r>
            <w:r w:rsidRPr="009577DE">
              <w:rPr>
                <w:b/>
                <w:bCs/>
                <w:sz w:val="16"/>
                <w:szCs w:val="16"/>
                <w:lang w:val="es-ES_tradnl"/>
              </w:rPr>
              <w:tab/>
            </w:r>
            <w:r w:rsidRPr="009577DE">
              <w:rPr>
                <w:bCs/>
                <w:sz w:val="16"/>
                <w:szCs w:val="16"/>
                <w:lang w:val="es-ES_tradnl"/>
              </w:rPr>
              <w:t>Mejora de las capacidades en el ámbito de los recursos humanos para hacer frente al amplio espectro de exigencias que supone la utilización de la P.I. en aras del desarrollo en los países en desarrollo</w:t>
            </w:r>
          </w:p>
        </w:tc>
      </w:tr>
      <w:tr w:rsidR="00B070BF" w:rsidRPr="009577DE" w:rsidTr="00C33D4A">
        <w:trPr>
          <w:cantSplit/>
        </w:trPr>
        <w:tc>
          <w:tcPr>
            <w:tcW w:w="2010" w:type="dxa"/>
            <w:tcBorders>
              <w:top w:val="single" w:sz="4" w:space="0" w:color="auto"/>
              <w:left w:val="single" w:sz="4" w:space="0" w:color="auto"/>
              <w:bottom w:val="nil"/>
              <w:right w:val="nil"/>
            </w:tcBorders>
            <w:vAlign w:val="center"/>
          </w:tcPr>
          <w:p w:rsidR="00B070BF" w:rsidRPr="009577DE" w:rsidRDefault="00B070BF" w:rsidP="00C33D4A">
            <w:pPr>
              <w:keepNext/>
              <w:keepLines/>
              <w:rPr>
                <w:b/>
                <w:bCs/>
                <w:sz w:val="16"/>
                <w:szCs w:val="16"/>
                <w:lang w:val="es-ES_tradnl"/>
              </w:rPr>
            </w:pPr>
            <w:r w:rsidRPr="009577DE">
              <w:rPr>
                <w:b/>
                <w:bCs/>
                <w:sz w:val="16"/>
                <w:szCs w:val="16"/>
                <w:lang w:val="es-ES_tradnl"/>
              </w:rPr>
              <w:t>Actividad</w:t>
            </w:r>
          </w:p>
        </w:tc>
        <w:tc>
          <w:tcPr>
            <w:tcW w:w="1260" w:type="dxa"/>
            <w:tcBorders>
              <w:top w:val="single" w:sz="4" w:space="0" w:color="auto"/>
              <w:left w:val="nil"/>
              <w:bottom w:val="nil"/>
              <w:right w:val="nil"/>
            </w:tcBorders>
            <w:shd w:val="clear" w:color="auto" w:fill="auto"/>
            <w:tcMar>
              <w:top w:w="110" w:type="dxa"/>
            </w:tcMar>
            <w:vAlign w:val="center"/>
          </w:tcPr>
          <w:p w:rsidR="00B070BF" w:rsidRPr="009577DE" w:rsidRDefault="00B070BF" w:rsidP="00C33D4A">
            <w:pPr>
              <w:keepNext/>
              <w:keepLines/>
              <w:rPr>
                <w:sz w:val="16"/>
                <w:szCs w:val="16"/>
                <w:lang w:val="es-ES_tradnl"/>
              </w:rPr>
            </w:pPr>
            <w:r w:rsidRPr="009577DE">
              <w:rPr>
                <w:b/>
                <w:bCs/>
                <w:sz w:val="16"/>
                <w:szCs w:val="16"/>
                <w:lang w:val="es-ES_tradnl"/>
              </w:rPr>
              <w:t>Fecha</w:t>
            </w:r>
          </w:p>
        </w:tc>
        <w:tc>
          <w:tcPr>
            <w:tcW w:w="2572" w:type="dxa"/>
            <w:tcBorders>
              <w:top w:val="single" w:sz="4" w:space="0" w:color="auto"/>
              <w:left w:val="nil"/>
              <w:bottom w:val="nil"/>
              <w:right w:val="nil"/>
            </w:tcBorders>
            <w:shd w:val="clear" w:color="auto" w:fill="auto"/>
            <w:tcMar>
              <w:top w:w="110" w:type="dxa"/>
            </w:tcMar>
            <w:vAlign w:val="center"/>
          </w:tcPr>
          <w:p w:rsidR="00B070BF" w:rsidRPr="009577DE" w:rsidRDefault="00B070BF" w:rsidP="00C33D4A">
            <w:pPr>
              <w:keepNext/>
              <w:keepLines/>
              <w:rPr>
                <w:sz w:val="16"/>
                <w:szCs w:val="16"/>
                <w:lang w:val="es-ES_tradnl"/>
              </w:rPr>
            </w:pPr>
            <w:r w:rsidRPr="009577DE">
              <w:rPr>
                <w:b/>
                <w:bCs/>
                <w:sz w:val="16"/>
                <w:szCs w:val="16"/>
                <w:lang w:val="es-ES_tradnl"/>
              </w:rPr>
              <w:t>País anfitrión/Beneficiarios</w:t>
            </w:r>
          </w:p>
        </w:tc>
        <w:tc>
          <w:tcPr>
            <w:tcW w:w="3260" w:type="dxa"/>
            <w:tcBorders>
              <w:top w:val="single" w:sz="4" w:space="0" w:color="auto"/>
              <w:left w:val="nil"/>
              <w:bottom w:val="nil"/>
              <w:right w:val="single" w:sz="4" w:space="0" w:color="auto"/>
            </w:tcBorders>
            <w:shd w:val="clear" w:color="auto" w:fill="FFFFFF"/>
            <w:tcMar>
              <w:top w:w="110" w:type="dxa"/>
            </w:tcMar>
            <w:vAlign w:val="center"/>
          </w:tcPr>
          <w:p w:rsidR="00B070BF" w:rsidRPr="009577DE" w:rsidRDefault="00B070BF" w:rsidP="00C33D4A">
            <w:pPr>
              <w:keepNext/>
              <w:keepLines/>
              <w:rPr>
                <w:sz w:val="16"/>
                <w:szCs w:val="16"/>
                <w:lang w:val="es-ES_tradnl"/>
              </w:rPr>
            </w:pPr>
            <w:r w:rsidRPr="009577DE">
              <w:rPr>
                <w:b/>
                <w:bCs/>
                <w:sz w:val="16"/>
                <w:szCs w:val="16"/>
                <w:lang w:val="es-ES_tradnl"/>
              </w:rPr>
              <w:t>Propósito/Descripción</w:t>
            </w:r>
          </w:p>
        </w:tc>
      </w:tr>
      <w:tr w:rsidR="00B070BF" w:rsidRPr="009577DE" w:rsidTr="00C33D4A">
        <w:trPr>
          <w:cantSplit/>
        </w:trPr>
        <w:tc>
          <w:tcPr>
            <w:tcW w:w="2010" w:type="dxa"/>
            <w:tcBorders>
              <w:top w:val="nil"/>
              <w:left w:val="single" w:sz="4" w:space="0" w:color="auto"/>
              <w:bottom w:val="nil"/>
              <w:right w:val="nil"/>
            </w:tcBorders>
          </w:tcPr>
          <w:p w:rsidR="00B070BF" w:rsidRPr="009577DE" w:rsidRDefault="00B070BF" w:rsidP="00C33D4A">
            <w:pPr>
              <w:keepNext/>
              <w:keepLines/>
              <w:autoSpaceDE w:val="0"/>
              <w:autoSpaceDN w:val="0"/>
              <w:adjustRightInd w:val="0"/>
              <w:spacing w:before="120" w:after="120"/>
              <w:rPr>
                <w:sz w:val="16"/>
                <w:szCs w:val="16"/>
                <w:lang w:val="es-ES_tradnl"/>
              </w:rPr>
            </w:pPr>
            <w:r w:rsidRPr="009577DE">
              <w:rPr>
                <w:sz w:val="16"/>
                <w:szCs w:val="16"/>
                <w:lang w:val="es-ES_tradnl"/>
              </w:rPr>
              <w:t>11º Seminario regional OMPI/OEP/OEPM sobre propiedad intelectual para jueces y fiscales de América Latina.</w:t>
            </w:r>
          </w:p>
        </w:tc>
        <w:tc>
          <w:tcPr>
            <w:tcW w:w="1260" w:type="dxa"/>
            <w:tcBorders>
              <w:top w:val="nil"/>
              <w:left w:val="nil"/>
              <w:bottom w:val="nil"/>
              <w:right w:val="nil"/>
            </w:tcBorders>
          </w:tcPr>
          <w:p w:rsidR="00B070BF" w:rsidRPr="009577DE" w:rsidRDefault="00B070BF" w:rsidP="00C33D4A">
            <w:pPr>
              <w:keepNext/>
              <w:keepLines/>
              <w:autoSpaceDE w:val="0"/>
              <w:autoSpaceDN w:val="0"/>
              <w:adjustRightInd w:val="0"/>
              <w:spacing w:before="120" w:after="120"/>
              <w:rPr>
                <w:sz w:val="16"/>
                <w:szCs w:val="16"/>
                <w:lang w:val="es-ES_tradnl"/>
              </w:rPr>
            </w:pPr>
            <w:r w:rsidRPr="009577DE">
              <w:rPr>
                <w:sz w:val="16"/>
                <w:szCs w:val="16"/>
                <w:lang w:val="es-ES_tradnl"/>
              </w:rPr>
              <w:t>10 a 14 de diciembre de 2012</w:t>
            </w:r>
          </w:p>
        </w:tc>
        <w:tc>
          <w:tcPr>
            <w:tcW w:w="2572" w:type="dxa"/>
            <w:tcBorders>
              <w:top w:val="nil"/>
              <w:left w:val="nil"/>
              <w:bottom w:val="nil"/>
              <w:right w:val="nil"/>
            </w:tcBorders>
          </w:tcPr>
          <w:p w:rsidR="00B070BF" w:rsidRPr="009577DE" w:rsidRDefault="00B070BF" w:rsidP="00C33D4A">
            <w:pPr>
              <w:keepNext/>
              <w:keepLines/>
              <w:autoSpaceDE w:val="0"/>
              <w:autoSpaceDN w:val="0"/>
              <w:adjustRightInd w:val="0"/>
              <w:spacing w:before="120" w:after="120"/>
              <w:rPr>
                <w:sz w:val="16"/>
                <w:szCs w:val="16"/>
                <w:lang w:val="es-ES_tradnl"/>
              </w:rPr>
            </w:pPr>
            <w:r w:rsidRPr="009577DE">
              <w:rPr>
                <w:sz w:val="16"/>
                <w:szCs w:val="16"/>
                <w:lang w:val="es-ES_tradnl"/>
              </w:rPr>
              <w:t>Antigua, Guatemala/Todos los países América Latina y el Tribunal de la Comunidad Andina</w:t>
            </w:r>
          </w:p>
        </w:tc>
        <w:tc>
          <w:tcPr>
            <w:tcW w:w="3260" w:type="dxa"/>
            <w:tcBorders>
              <w:top w:val="nil"/>
              <w:left w:val="nil"/>
              <w:bottom w:val="nil"/>
              <w:right w:val="single" w:sz="4" w:space="0" w:color="auto"/>
            </w:tcBorders>
          </w:tcPr>
          <w:p w:rsidR="00B070BF" w:rsidRPr="009577DE" w:rsidRDefault="00B070BF" w:rsidP="00C33D4A">
            <w:pPr>
              <w:keepNext/>
              <w:keepLines/>
              <w:autoSpaceDE w:val="0"/>
              <w:autoSpaceDN w:val="0"/>
              <w:adjustRightInd w:val="0"/>
              <w:spacing w:before="120" w:after="120"/>
              <w:rPr>
                <w:sz w:val="16"/>
                <w:szCs w:val="16"/>
                <w:lang w:val="es-ES_tradnl"/>
              </w:rPr>
            </w:pPr>
            <w:r w:rsidRPr="009577DE">
              <w:rPr>
                <w:sz w:val="16"/>
                <w:szCs w:val="16"/>
                <w:lang w:val="es-ES_tradnl"/>
              </w:rPr>
              <w:t>i) Impartir a los jueces y fiscales responsables de la P.I. en los países de América Latina formación sobre asuntos de P.I. para la resolución de litigios;  y ii) dar a los participantes información actualizada e impartirles formación práctica en el ámbito de las patentes, las marcas y el derecho de autor, así como en contenciosos relacionados con la observancia.</w:t>
            </w:r>
          </w:p>
        </w:tc>
      </w:tr>
      <w:tr w:rsidR="00B070BF" w:rsidRPr="009577DE" w:rsidTr="00C33D4A">
        <w:trPr>
          <w:cantSplit/>
          <w:trHeight w:val="2194"/>
        </w:trPr>
        <w:tc>
          <w:tcPr>
            <w:tcW w:w="2010" w:type="dxa"/>
            <w:tcBorders>
              <w:top w:val="nil"/>
              <w:left w:val="single" w:sz="4" w:space="0" w:color="auto"/>
              <w:bottom w:val="single" w:sz="4" w:space="0" w:color="auto"/>
              <w:right w:val="nil"/>
            </w:tcBorders>
          </w:tcPr>
          <w:p w:rsidR="00B070BF" w:rsidRPr="009577DE" w:rsidRDefault="00B070BF" w:rsidP="00C33D4A">
            <w:pPr>
              <w:autoSpaceDE w:val="0"/>
              <w:autoSpaceDN w:val="0"/>
              <w:adjustRightInd w:val="0"/>
              <w:spacing w:before="120" w:after="120"/>
              <w:rPr>
                <w:sz w:val="16"/>
                <w:szCs w:val="16"/>
                <w:lang w:val="es-ES_tradnl"/>
              </w:rPr>
            </w:pPr>
            <w:r w:rsidRPr="009577DE">
              <w:rPr>
                <w:sz w:val="16"/>
                <w:szCs w:val="16"/>
                <w:lang w:val="es-ES_tradnl"/>
              </w:rPr>
              <w:t>Participación de expertos españoles en la Reunión Regional sobre uso estratégico de la P.I. en la industria del deporte.</w:t>
            </w:r>
          </w:p>
        </w:tc>
        <w:tc>
          <w:tcPr>
            <w:tcW w:w="1260" w:type="dxa"/>
            <w:tcBorders>
              <w:top w:val="nil"/>
              <w:left w:val="nil"/>
              <w:bottom w:val="single" w:sz="4" w:space="0" w:color="auto"/>
              <w:right w:val="nil"/>
            </w:tcBorders>
          </w:tcPr>
          <w:p w:rsidR="00B070BF" w:rsidRPr="009577DE" w:rsidRDefault="00B070BF" w:rsidP="00C33D4A">
            <w:pPr>
              <w:autoSpaceDE w:val="0"/>
              <w:autoSpaceDN w:val="0"/>
              <w:adjustRightInd w:val="0"/>
              <w:spacing w:before="120" w:after="120"/>
              <w:rPr>
                <w:sz w:val="16"/>
                <w:szCs w:val="16"/>
                <w:lang w:val="es-ES_tradnl"/>
              </w:rPr>
            </w:pPr>
            <w:r w:rsidRPr="009577DE">
              <w:rPr>
                <w:sz w:val="16"/>
                <w:szCs w:val="16"/>
                <w:lang w:val="es-ES_tradnl"/>
              </w:rPr>
              <w:t>12 y 13 de septiembre de 2012</w:t>
            </w:r>
          </w:p>
        </w:tc>
        <w:tc>
          <w:tcPr>
            <w:tcW w:w="2572" w:type="dxa"/>
            <w:tcBorders>
              <w:top w:val="nil"/>
              <w:left w:val="nil"/>
              <w:bottom w:val="single" w:sz="4" w:space="0" w:color="auto"/>
              <w:right w:val="nil"/>
            </w:tcBorders>
          </w:tcPr>
          <w:p w:rsidR="00B070BF" w:rsidRPr="009577DE" w:rsidRDefault="00B070BF" w:rsidP="00C33D4A">
            <w:pPr>
              <w:autoSpaceDE w:val="0"/>
              <w:autoSpaceDN w:val="0"/>
              <w:adjustRightInd w:val="0"/>
              <w:spacing w:before="120" w:after="120"/>
              <w:rPr>
                <w:sz w:val="16"/>
                <w:szCs w:val="16"/>
                <w:lang w:val="es-ES_tradnl"/>
              </w:rPr>
            </w:pPr>
            <w:r w:rsidRPr="009577DE">
              <w:rPr>
                <w:sz w:val="16"/>
                <w:szCs w:val="16"/>
                <w:lang w:val="es-ES_tradnl"/>
              </w:rPr>
              <w:t>Rio de Janeiro, Brasil/Todos los países América Latina</w:t>
            </w:r>
          </w:p>
        </w:tc>
        <w:tc>
          <w:tcPr>
            <w:tcW w:w="3260" w:type="dxa"/>
            <w:tcBorders>
              <w:top w:val="nil"/>
              <w:left w:val="nil"/>
              <w:bottom w:val="single" w:sz="4" w:space="0" w:color="auto"/>
              <w:right w:val="single" w:sz="4" w:space="0" w:color="auto"/>
            </w:tcBorders>
          </w:tcPr>
          <w:p w:rsidR="00B070BF" w:rsidRPr="009577DE" w:rsidRDefault="00B070BF" w:rsidP="00C33D4A">
            <w:pPr>
              <w:autoSpaceDE w:val="0"/>
              <w:autoSpaceDN w:val="0"/>
              <w:adjustRightInd w:val="0"/>
              <w:spacing w:before="120" w:after="120"/>
              <w:rPr>
                <w:sz w:val="16"/>
                <w:szCs w:val="16"/>
                <w:lang w:val="es-ES_tradnl"/>
              </w:rPr>
            </w:pPr>
            <w:r w:rsidRPr="009577DE">
              <w:rPr>
                <w:sz w:val="16"/>
                <w:szCs w:val="16"/>
                <w:lang w:val="es-ES_tradnl"/>
              </w:rPr>
              <w:t>Intercambio de experiencias y conocimientos entre especialistas y representantes del mundo del deporte, de los sectores tanto empresarial como académico, y las autoridades competentes del campo de la P.I. y el deporte, destacando y analizando especialmente el vínculo actual entre la P.I. y el deporte, así como los métodos e instrumentos eficaces en la utilización de los distintos sistemas de P.I. de cara a las oportunidades que se presenten en esa esfera en el futuro.</w:t>
            </w:r>
          </w:p>
        </w:tc>
      </w:tr>
      <w:tr w:rsidR="00B070BF" w:rsidRPr="009577DE" w:rsidTr="00C33D4A">
        <w:trPr>
          <w:cantSplit/>
        </w:trPr>
        <w:tc>
          <w:tcPr>
            <w:tcW w:w="9102" w:type="dxa"/>
            <w:gridSpan w:val="4"/>
            <w:tcBorders>
              <w:top w:val="single" w:sz="4" w:space="0" w:color="auto"/>
              <w:left w:val="single" w:sz="4" w:space="0" w:color="auto"/>
              <w:bottom w:val="single" w:sz="4" w:space="0" w:color="auto"/>
              <w:right w:val="single" w:sz="4" w:space="0" w:color="auto"/>
            </w:tcBorders>
            <w:shd w:val="clear" w:color="auto" w:fill="CCFFFF"/>
            <w:vAlign w:val="center"/>
          </w:tcPr>
          <w:p w:rsidR="00B070BF" w:rsidRPr="009577DE" w:rsidRDefault="00B070BF" w:rsidP="00C33D4A">
            <w:pPr>
              <w:keepNext/>
              <w:keepLines/>
              <w:tabs>
                <w:tab w:val="left" w:pos="1740"/>
              </w:tabs>
              <w:spacing w:before="120" w:after="120"/>
              <w:ind w:left="1740" w:hanging="1740"/>
              <w:rPr>
                <w:b/>
                <w:bCs/>
                <w:sz w:val="16"/>
                <w:szCs w:val="16"/>
                <w:lang w:val="es-ES_tradnl"/>
              </w:rPr>
            </w:pPr>
            <w:r w:rsidRPr="009577DE">
              <w:rPr>
                <w:b/>
                <w:bCs/>
                <w:sz w:val="16"/>
                <w:szCs w:val="16"/>
                <w:lang w:val="es-ES_tradnl"/>
              </w:rPr>
              <w:t>RESULTADO:</w:t>
            </w:r>
            <w:r w:rsidRPr="009577DE">
              <w:rPr>
                <w:bCs/>
                <w:sz w:val="16"/>
                <w:szCs w:val="16"/>
                <w:lang w:val="es-ES_tradnl"/>
              </w:rPr>
              <w:tab/>
              <w:t>Fomento de las capacidades de gestión de P.I. para las empresas.</w:t>
            </w:r>
          </w:p>
        </w:tc>
      </w:tr>
      <w:tr w:rsidR="00B070BF" w:rsidRPr="009577DE" w:rsidTr="00C33D4A">
        <w:trPr>
          <w:cantSplit/>
        </w:trPr>
        <w:tc>
          <w:tcPr>
            <w:tcW w:w="2010" w:type="dxa"/>
            <w:tcBorders>
              <w:top w:val="single" w:sz="4" w:space="0" w:color="auto"/>
              <w:left w:val="single" w:sz="4" w:space="0" w:color="auto"/>
              <w:bottom w:val="nil"/>
              <w:right w:val="nil"/>
            </w:tcBorders>
            <w:vAlign w:val="center"/>
          </w:tcPr>
          <w:p w:rsidR="00B070BF" w:rsidRPr="009577DE" w:rsidRDefault="00B070BF" w:rsidP="00C33D4A">
            <w:pPr>
              <w:keepNext/>
              <w:keepLines/>
              <w:rPr>
                <w:b/>
                <w:bCs/>
                <w:sz w:val="16"/>
                <w:szCs w:val="16"/>
                <w:lang w:val="es-ES_tradnl"/>
              </w:rPr>
            </w:pPr>
            <w:r w:rsidRPr="009577DE">
              <w:rPr>
                <w:b/>
                <w:bCs/>
                <w:sz w:val="16"/>
                <w:szCs w:val="16"/>
                <w:lang w:val="es-ES_tradnl"/>
              </w:rPr>
              <w:t>Actividad</w:t>
            </w:r>
          </w:p>
        </w:tc>
        <w:tc>
          <w:tcPr>
            <w:tcW w:w="1260" w:type="dxa"/>
            <w:tcBorders>
              <w:top w:val="single" w:sz="4" w:space="0" w:color="auto"/>
              <w:left w:val="nil"/>
              <w:bottom w:val="nil"/>
              <w:right w:val="nil"/>
            </w:tcBorders>
            <w:shd w:val="clear" w:color="auto" w:fill="auto"/>
            <w:tcMar>
              <w:top w:w="110" w:type="dxa"/>
            </w:tcMar>
            <w:vAlign w:val="center"/>
          </w:tcPr>
          <w:p w:rsidR="00B070BF" w:rsidRPr="009577DE" w:rsidRDefault="00B070BF" w:rsidP="00C33D4A">
            <w:pPr>
              <w:keepNext/>
              <w:keepLines/>
              <w:rPr>
                <w:sz w:val="16"/>
                <w:szCs w:val="16"/>
                <w:lang w:val="es-ES_tradnl"/>
              </w:rPr>
            </w:pPr>
            <w:r w:rsidRPr="009577DE">
              <w:rPr>
                <w:b/>
                <w:bCs/>
                <w:sz w:val="16"/>
                <w:szCs w:val="16"/>
                <w:lang w:val="es-ES_tradnl"/>
              </w:rPr>
              <w:t>Fecha</w:t>
            </w:r>
          </w:p>
        </w:tc>
        <w:tc>
          <w:tcPr>
            <w:tcW w:w="2572" w:type="dxa"/>
            <w:tcBorders>
              <w:top w:val="single" w:sz="4" w:space="0" w:color="auto"/>
              <w:left w:val="nil"/>
              <w:bottom w:val="nil"/>
              <w:right w:val="nil"/>
            </w:tcBorders>
            <w:shd w:val="clear" w:color="auto" w:fill="auto"/>
            <w:tcMar>
              <w:top w:w="110" w:type="dxa"/>
            </w:tcMar>
            <w:vAlign w:val="center"/>
          </w:tcPr>
          <w:p w:rsidR="00B070BF" w:rsidRPr="009577DE" w:rsidRDefault="00B070BF" w:rsidP="00C33D4A">
            <w:pPr>
              <w:keepNext/>
              <w:keepLines/>
              <w:rPr>
                <w:sz w:val="16"/>
                <w:szCs w:val="16"/>
                <w:lang w:val="es-ES_tradnl"/>
              </w:rPr>
            </w:pPr>
            <w:r w:rsidRPr="009577DE">
              <w:rPr>
                <w:b/>
                <w:bCs/>
                <w:sz w:val="16"/>
                <w:szCs w:val="16"/>
                <w:lang w:val="es-ES_tradnl"/>
              </w:rPr>
              <w:t>País anfitrión/Beneficiarios</w:t>
            </w:r>
          </w:p>
        </w:tc>
        <w:tc>
          <w:tcPr>
            <w:tcW w:w="3260" w:type="dxa"/>
            <w:tcBorders>
              <w:top w:val="single" w:sz="4" w:space="0" w:color="auto"/>
              <w:left w:val="nil"/>
              <w:bottom w:val="nil"/>
              <w:right w:val="single" w:sz="4" w:space="0" w:color="auto"/>
            </w:tcBorders>
            <w:shd w:val="clear" w:color="auto" w:fill="FFFFFF"/>
            <w:tcMar>
              <w:top w:w="110" w:type="dxa"/>
            </w:tcMar>
            <w:vAlign w:val="center"/>
          </w:tcPr>
          <w:p w:rsidR="00B070BF" w:rsidRPr="009577DE" w:rsidRDefault="00B070BF" w:rsidP="00C33D4A">
            <w:pPr>
              <w:keepNext/>
              <w:keepLines/>
              <w:rPr>
                <w:sz w:val="16"/>
                <w:szCs w:val="16"/>
                <w:lang w:val="es-ES_tradnl"/>
              </w:rPr>
            </w:pPr>
            <w:r w:rsidRPr="009577DE">
              <w:rPr>
                <w:b/>
                <w:bCs/>
                <w:sz w:val="16"/>
                <w:szCs w:val="16"/>
                <w:lang w:val="es-ES_tradnl"/>
              </w:rPr>
              <w:t>Propósito/Descripción</w:t>
            </w:r>
          </w:p>
        </w:tc>
      </w:tr>
      <w:tr w:rsidR="00B070BF" w:rsidRPr="009577DE" w:rsidTr="00C33D4A">
        <w:trPr>
          <w:cantSplit/>
        </w:trPr>
        <w:tc>
          <w:tcPr>
            <w:tcW w:w="2010" w:type="dxa"/>
            <w:tcBorders>
              <w:top w:val="nil"/>
              <w:left w:val="single" w:sz="4" w:space="0" w:color="auto"/>
              <w:bottom w:val="nil"/>
              <w:right w:val="nil"/>
            </w:tcBorders>
          </w:tcPr>
          <w:p w:rsidR="00B070BF" w:rsidRPr="009577DE" w:rsidRDefault="00B070BF" w:rsidP="00C33D4A">
            <w:pPr>
              <w:autoSpaceDE w:val="0"/>
              <w:autoSpaceDN w:val="0"/>
              <w:adjustRightInd w:val="0"/>
              <w:spacing w:before="120" w:after="120"/>
              <w:rPr>
                <w:sz w:val="16"/>
                <w:szCs w:val="16"/>
                <w:lang w:val="es-ES_tradnl"/>
              </w:rPr>
            </w:pPr>
            <w:r w:rsidRPr="009577DE">
              <w:rPr>
                <w:sz w:val="16"/>
                <w:szCs w:val="16"/>
                <w:lang w:val="es-ES_tradnl"/>
              </w:rPr>
              <w:t>Proyecto de elaboración de una plataforma en español sobre servicios y contenidos de propiedad industrial, dirigida al sector empresarial de América Latina, centrándose en las pymes (CIBEPYME).</w:t>
            </w:r>
          </w:p>
        </w:tc>
        <w:tc>
          <w:tcPr>
            <w:tcW w:w="1260" w:type="dxa"/>
            <w:tcBorders>
              <w:top w:val="nil"/>
              <w:left w:val="nil"/>
              <w:bottom w:val="nil"/>
              <w:right w:val="nil"/>
            </w:tcBorders>
          </w:tcPr>
          <w:p w:rsidR="00B070BF" w:rsidRPr="009577DE" w:rsidRDefault="00B070BF" w:rsidP="00C33D4A">
            <w:pPr>
              <w:autoSpaceDE w:val="0"/>
              <w:autoSpaceDN w:val="0"/>
              <w:adjustRightInd w:val="0"/>
              <w:spacing w:before="120" w:after="120"/>
              <w:rPr>
                <w:sz w:val="16"/>
                <w:szCs w:val="16"/>
                <w:lang w:val="es-ES_tradnl"/>
              </w:rPr>
            </w:pPr>
            <w:r w:rsidRPr="009577DE">
              <w:rPr>
                <w:sz w:val="16"/>
                <w:szCs w:val="16"/>
                <w:lang w:val="es-ES_tradnl"/>
              </w:rPr>
              <w:t>2012</w:t>
            </w:r>
          </w:p>
          <w:p w:rsidR="00B070BF" w:rsidRPr="009577DE" w:rsidRDefault="00B070BF" w:rsidP="00C33D4A">
            <w:pPr>
              <w:autoSpaceDE w:val="0"/>
              <w:autoSpaceDN w:val="0"/>
              <w:adjustRightInd w:val="0"/>
              <w:spacing w:before="120" w:after="120"/>
              <w:rPr>
                <w:sz w:val="16"/>
                <w:szCs w:val="16"/>
                <w:lang w:val="es-ES_tradnl"/>
              </w:rPr>
            </w:pPr>
            <w:r w:rsidRPr="009577DE">
              <w:rPr>
                <w:sz w:val="16"/>
                <w:szCs w:val="16"/>
                <w:lang w:val="es-ES_tradnl"/>
              </w:rPr>
              <w:t>(Proyecto en curso desde 2010)</w:t>
            </w:r>
          </w:p>
        </w:tc>
        <w:tc>
          <w:tcPr>
            <w:tcW w:w="2572" w:type="dxa"/>
            <w:tcBorders>
              <w:top w:val="nil"/>
              <w:left w:val="nil"/>
              <w:bottom w:val="nil"/>
              <w:right w:val="nil"/>
            </w:tcBorders>
          </w:tcPr>
          <w:p w:rsidR="00B070BF" w:rsidRPr="009577DE" w:rsidRDefault="00B070BF" w:rsidP="00C33D4A">
            <w:pPr>
              <w:autoSpaceDE w:val="0"/>
              <w:autoSpaceDN w:val="0"/>
              <w:adjustRightInd w:val="0"/>
              <w:spacing w:before="120" w:after="120"/>
              <w:rPr>
                <w:sz w:val="16"/>
                <w:szCs w:val="16"/>
                <w:lang w:val="es-ES_tradnl"/>
              </w:rPr>
            </w:pPr>
            <w:r w:rsidRPr="009577DE">
              <w:rPr>
                <w:sz w:val="16"/>
                <w:szCs w:val="16"/>
                <w:lang w:val="es-ES_tradnl"/>
              </w:rPr>
              <w:t>Todos los países de América Latina</w:t>
            </w:r>
          </w:p>
        </w:tc>
        <w:tc>
          <w:tcPr>
            <w:tcW w:w="3260" w:type="dxa"/>
            <w:tcBorders>
              <w:top w:val="nil"/>
              <w:left w:val="nil"/>
              <w:bottom w:val="nil"/>
              <w:right w:val="single" w:sz="4" w:space="0" w:color="auto"/>
            </w:tcBorders>
          </w:tcPr>
          <w:p w:rsidR="00B070BF" w:rsidRPr="009577DE" w:rsidRDefault="00B070BF" w:rsidP="00C33D4A">
            <w:pPr>
              <w:autoSpaceDE w:val="0"/>
              <w:autoSpaceDN w:val="0"/>
              <w:adjustRightInd w:val="0"/>
              <w:spacing w:before="120" w:after="120"/>
              <w:rPr>
                <w:sz w:val="16"/>
                <w:szCs w:val="16"/>
                <w:lang w:val="es-ES_tradnl"/>
              </w:rPr>
            </w:pPr>
            <w:r w:rsidRPr="009577DE">
              <w:rPr>
                <w:sz w:val="16"/>
                <w:szCs w:val="16"/>
                <w:lang w:val="es-ES_tradnl"/>
              </w:rPr>
              <w:t>Diseñar y crear una plataforma dirigida al sector privado para i) proporcionar asistencia y servicios sobre el uso de la P.I.;  ii) aumentar el valor de sus negocios;  y iii) ofrecer un foro para que el sector privado intercambie ideas y experiencias.</w:t>
            </w:r>
          </w:p>
        </w:tc>
      </w:tr>
      <w:tr w:rsidR="00B070BF" w:rsidRPr="009577DE" w:rsidTr="00C33D4A">
        <w:trPr>
          <w:cantSplit/>
          <w:trHeight w:val="1477"/>
        </w:trPr>
        <w:tc>
          <w:tcPr>
            <w:tcW w:w="2010" w:type="dxa"/>
            <w:tcBorders>
              <w:top w:val="nil"/>
              <w:left w:val="single" w:sz="4" w:space="0" w:color="auto"/>
              <w:bottom w:val="nil"/>
              <w:right w:val="nil"/>
            </w:tcBorders>
          </w:tcPr>
          <w:p w:rsidR="00B070BF" w:rsidRPr="009577DE" w:rsidDel="009E0498" w:rsidRDefault="00B070BF" w:rsidP="00C33D4A">
            <w:pPr>
              <w:widowControl w:val="0"/>
              <w:autoSpaceDE w:val="0"/>
              <w:autoSpaceDN w:val="0"/>
              <w:adjustRightInd w:val="0"/>
              <w:spacing w:before="120" w:after="120"/>
              <w:rPr>
                <w:sz w:val="16"/>
                <w:szCs w:val="16"/>
                <w:lang w:val="es-ES_tradnl"/>
              </w:rPr>
            </w:pPr>
            <w:r w:rsidRPr="009577DE">
              <w:rPr>
                <w:sz w:val="16"/>
                <w:szCs w:val="16"/>
                <w:lang w:val="es-ES_tradnl"/>
              </w:rPr>
              <w:t>La Oficina Española de Patentes y Marcas (OEPM) ha avanzado en la contratación de una empresa que desarrolle la plataforma en español adaptada a las necesidades de América Latina.</w:t>
            </w:r>
          </w:p>
        </w:tc>
        <w:tc>
          <w:tcPr>
            <w:tcW w:w="1260" w:type="dxa"/>
            <w:tcBorders>
              <w:top w:val="nil"/>
              <w:left w:val="nil"/>
              <w:bottom w:val="nil"/>
              <w:right w:val="nil"/>
            </w:tcBorders>
          </w:tcPr>
          <w:p w:rsidR="00B070BF" w:rsidRPr="009577DE" w:rsidRDefault="00B070BF" w:rsidP="00C33D4A">
            <w:pPr>
              <w:autoSpaceDE w:val="0"/>
              <w:autoSpaceDN w:val="0"/>
              <w:adjustRightInd w:val="0"/>
              <w:spacing w:before="120" w:after="120"/>
              <w:rPr>
                <w:sz w:val="16"/>
                <w:szCs w:val="16"/>
                <w:lang w:val="es-ES_tradnl"/>
              </w:rPr>
            </w:pPr>
            <w:r w:rsidRPr="009577DE">
              <w:rPr>
                <w:sz w:val="16"/>
                <w:szCs w:val="16"/>
                <w:lang w:val="es-ES_tradnl"/>
              </w:rPr>
              <w:t>2012</w:t>
            </w:r>
          </w:p>
        </w:tc>
        <w:tc>
          <w:tcPr>
            <w:tcW w:w="2572" w:type="dxa"/>
            <w:tcBorders>
              <w:top w:val="nil"/>
              <w:left w:val="nil"/>
              <w:bottom w:val="nil"/>
              <w:right w:val="nil"/>
            </w:tcBorders>
          </w:tcPr>
          <w:p w:rsidR="00B070BF" w:rsidRPr="009577DE" w:rsidRDefault="00B070BF" w:rsidP="00C33D4A">
            <w:pPr>
              <w:autoSpaceDE w:val="0"/>
              <w:autoSpaceDN w:val="0"/>
              <w:adjustRightInd w:val="0"/>
              <w:spacing w:before="120" w:after="120"/>
              <w:rPr>
                <w:sz w:val="16"/>
                <w:szCs w:val="16"/>
                <w:lang w:val="es-ES_tradnl"/>
              </w:rPr>
            </w:pPr>
            <w:r w:rsidRPr="009577DE">
              <w:rPr>
                <w:sz w:val="16"/>
                <w:szCs w:val="16"/>
                <w:lang w:val="es-ES_tradnl"/>
              </w:rPr>
              <w:t>Todos los países de América Latina</w:t>
            </w:r>
          </w:p>
          <w:p w:rsidR="00B070BF" w:rsidRPr="009577DE" w:rsidRDefault="00B070BF" w:rsidP="00C33D4A">
            <w:pPr>
              <w:autoSpaceDE w:val="0"/>
              <w:autoSpaceDN w:val="0"/>
              <w:adjustRightInd w:val="0"/>
              <w:spacing w:before="120" w:after="120"/>
              <w:rPr>
                <w:sz w:val="16"/>
                <w:szCs w:val="16"/>
                <w:lang w:val="es-ES_tradnl"/>
              </w:rPr>
            </w:pPr>
          </w:p>
        </w:tc>
        <w:tc>
          <w:tcPr>
            <w:tcW w:w="3260" w:type="dxa"/>
            <w:tcBorders>
              <w:top w:val="nil"/>
              <w:left w:val="nil"/>
              <w:bottom w:val="nil"/>
              <w:right w:val="single" w:sz="4" w:space="0" w:color="auto"/>
            </w:tcBorders>
          </w:tcPr>
          <w:p w:rsidR="00B070BF" w:rsidRPr="009577DE" w:rsidRDefault="00B070BF" w:rsidP="00C33D4A">
            <w:pPr>
              <w:autoSpaceDE w:val="0"/>
              <w:autoSpaceDN w:val="0"/>
              <w:adjustRightInd w:val="0"/>
              <w:spacing w:before="120" w:after="120"/>
              <w:rPr>
                <w:sz w:val="16"/>
                <w:szCs w:val="16"/>
                <w:lang w:val="es-ES_tradnl"/>
              </w:rPr>
            </w:pPr>
            <w:r w:rsidRPr="009577DE">
              <w:rPr>
                <w:sz w:val="16"/>
                <w:szCs w:val="16"/>
                <w:lang w:val="es-ES_tradnl"/>
              </w:rPr>
              <w:t>Elaborar la plataforma CIBEPYME.</w:t>
            </w:r>
          </w:p>
          <w:p w:rsidR="00B070BF" w:rsidRPr="009577DE" w:rsidRDefault="00B070BF" w:rsidP="00C33D4A">
            <w:pPr>
              <w:autoSpaceDE w:val="0"/>
              <w:autoSpaceDN w:val="0"/>
              <w:adjustRightInd w:val="0"/>
              <w:spacing w:before="120" w:after="120"/>
              <w:rPr>
                <w:sz w:val="16"/>
                <w:szCs w:val="16"/>
                <w:lang w:val="es-ES_tradnl"/>
              </w:rPr>
            </w:pPr>
          </w:p>
        </w:tc>
      </w:tr>
      <w:tr w:rsidR="00B070BF" w:rsidRPr="009577DE" w:rsidTr="00C33D4A">
        <w:trPr>
          <w:cantSplit/>
          <w:trHeight w:val="840"/>
        </w:trPr>
        <w:tc>
          <w:tcPr>
            <w:tcW w:w="2010" w:type="dxa"/>
            <w:tcBorders>
              <w:top w:val="nil"/>
              <w:left w:val="single" w:sz="4" w:space="0" w:color="auto"/>
              <w:bottom w:val="nil"/>
              <w:right w:val="nil"/>
            </w:tcBorders>
          </w:tcPr>
          <w:p w:rsidR="00B070BF" w:rsidRPr="009577DE" w:rsidDel="009E0498" w:rsidRDefault="00B070BF" w:rsidP="00C33D4A">
            <w:pPr>
              <w:widowControl w:val="0"/>
              <w:autoSpaceDE w:val="0"/>
              <w:autoSpaceDN w:val="0"/>
              <w:adjustRightInd w:val="0"/>
              <w:spacing w:before="120" w:after="120"/>
              <w:rPr>
                <w:sz w:val="16"/>
                <w:szCs w:val="16"/>
                <w:lang w:val="es-ES_tradnl"/>
              </w:rPr>
            </w:pPr>
            <w:r w:rsidRPr="009577DE">
              <w:rPr>
                <w:sz w:val="16"/>
                <w:szCs w:val="16"/>
                <w:lang w:val="es-ES_tradnl"/>
              </w:rPr>
              <w:t>La OEPM acoge un servidor para la plataforma.</w:t>
            </w:r>
          </w:p>
        </w:tc>
        <w:tc>
          <w:tcPr>
            <w:tcW w:w="1260" w:type="dxa"/>
            <w:tcBorders>
              <w:top w:val="nil"/>
              <w:left w:val="nil"/>
              <w:bottom w:val="nil"/>
              <w:right w:val="nil"/>
            </w:tcBorders>
          </w:tcPr>
          <w:p w:rsidR="00B070BF" w:rsidRPr="009577DE" w:rsidRDefault="00B070BF" w:rsidP="00C33D4A">
            <w:pPr>
              <w:autoSpaceDE w:val="0"/>
              <w:autoSpaceDN w:val="0"/>
              <w:adjustRightInd w:val="0"/>
              <w:spacing w:before="120" w:after="120"/>
              <w:rPr>
                <w:sz w:val="16"/>
                <w:szCs w:val="16"/>
                <w:lang w:val="es-ES_tradnl"/>
              </w:rPr>
            </w:pPr>
            <w:r w:rsidRPr="009577DE">
              <w:rPr>
                <w:sz w:val="16"/>
                <w:szCs w:val="16"/>
                <w:lang w:val="es-ES_tradnl"/>
              </w:rPr>
              <w:t>2012</w:t>
            </w:r>
          </w:p>
        </w:tc>
        <w:tc>
          <w:tcPr>
            <w:tcW w:w="2572" w:type="dxa"/>
            <w:tcBorders>
              <w:top w:val="nil"/>
              <w:left w:val="nil"/>
              <w:bottom w:val="nil"/>
              <w:right w:val="nil"/>
            </w:tcBorders>
          </w:tcPr>
          <w:p w:rsidR="00B070BF" w:rsidRPr="009577DE" w:rsidRDefault="00B070BF" w:rsidP="00C33D4A">
            <w:pPr>
              <w:autoSpaceDE w:val="0"/>
              <w:autoSpaceDN w:val="0"/>
              <w:adjustRightInd w:val="0"/>
              <w:spacing w:before="120" w:after="120"/>
              <w:rPr>
                <w:sz w:val="16"/>
                <w:szCs w:val="16"/>
                <w:lang w:val="es-ES_tradnl"/>
              </w:rPr>
            </w:pPr>
            <w:r w:rsidRPr="009577DE">
              <w:rPr>
                <w:sz w:val="16"/>
                <w:szCs w:val="16"/>
                <w:lang w:val="es-ES_tradnl"/>
              </w:rPr>
              <w:t>Todos los países de América Latina</w:t>
            </w:r>
          </w:p>
          <w:p w:rsidR="00B070BF" w:rsidRPr="009577DE" w:rsidRDefault="00B070BF" w:rsidP="00C33D4A">
            <w:pPr>
              <w:autoSpaceDE w:val="0"/>
              <w:autoSpaceDN w:val="0"/>
              <w:adjustRightInd w:val="0"/>
              <w:spacing w:before="120" w:after="120"/>
              <w:rPr>
                <w:sz w:val="16"/>
                <w:szCs w:val="16"/>
                <w:lang w:val="es-ES_tradnl"/>
              </w:rPr>
            </w:pPr>
          </w:p>
        </w:tc>
        <w:tc>
          <w:tcPr>
            <w:tcW w:w="3260" w:type="dxa"/>
            <w:tcBorders>
              <w:top w:val="nil"/>
              <w:left w:val="nil"/>
              <w:bottom w:val="nil"/>
              <w:right w:val="single" w:sz="4" w:space="0" w:color="auto"/>
            </w:tcBorders>
          </w:tcPr>
          <w:p w:rsidR="00B070BF" w:rsidRPr="009577DE" w:rsidRDefault="00B070BF" w:rsidP="00C33D4A">
            <w:pPr>
              <w:autoSpaceDE w:val="0"/>
              <w:autoSpaceDN w:val="0"/>
              <w:adjustRightInd w:val="0"/>
              <w:spacing w:before="120" w:after="120"/>
              <w:rPr>
                <w:sz w:val="16"/>
                <w:szCs w:val="16"/>
                <w:lang w:val="es-ES_tradnl"/>
              </w:rPr>
            </w:pPr>
            <w:r w:rsidRPr="009577DE">
              <w:rPr>
                <w:sz w:val="16"/>
                <w:szCs w:val="16"/>
                <w:lang w:val="es-ES_tradnl"/>
              </w:rPr>
              <w:t>Facilitar el acceso a la plataforma CIBEPYME.</w:t>
            </w:r>
          </w:p>
        </w:tc>
      </w:tr>
      <w:tr w:rsidR="00B070BF" w:rsidRPr="009577DE" w:rsidTr="00C33D4A">
        <w:trPr>
          <w:cantSplit/>
          <w:trHeight w:val="1680"/>
        </w:trPr>
        <w:tc>
          <w:tcPr>
            <w:tcW w:w="2010" w:type="dxa"/>
            <w:tcBorders>
              <w:top w:val="nil"/>
              <w:left w:val="single" w:sz="4" w:space="0" w:color="auto"/>
              <w:bottom w:val="single" w:sz="4" w:space="0" w:color="auto"/>
              <w:right w:val="nil"/>
            </w:tcBorders>
          </w:tcPr>
          <w:p w:rsidR="00B070BF" w:rsidRPr="009577DE" w:rsidRDefault="00B070BF" w:rsidP="00C33D4A">
            <w:pPr>
              <w:autoSpaceDE w:val="0"/>
              <w:autoSpaceDN w:val="0"/>
              <w:adjustRightInd w:val="0"/>
              <w:spacing w:before="120" w:after="120"/>
              <w:rPr>
                <w:sz w:val="16"/>
                <w:szCs w:val="16"/>
                <w:lang w:val="es-ES_tradnl"/>
              </w:rPr>
            </w:pPr>
            <w:r w:rsidRPr="009577DE">
              <w:rPr>
                <w:sz w:val="16"/>
                <w:szCs w:val="16"/>
                <w:lang w:val="es-ES_tradnl"/>
              </w:rPr>
              <w:t>La OMPI contrató un experto para el desarrollo de los servicios y contenidos de la plataforma y para coordinar la información aportada por América Latina.</w:t>
            </w:r>
          </w:p>
        </w:tc>
        <w:tc>
          <w:tcPr>
            <w:tcW w:w="1260" w:type="dxa"/>
            <w:tcBorders>
              <w:top w:val="nil"/>
              <w:left w:val="nil"/>
              <w:bottom w:val="single" w:sz="4" w:space="0" w:color="auto"/>
              <w:right w:val="nil"/>
            </w:tcBorders>
          </w:tcPr>
          <w:p w:rsidR="00B070BF" w:rsidRPr="009577DE" w:rsidRDefault="00B070BF" w:rsidP="00C33D4A">
            <w:pPr>
              <w:autoSpaceDE w:val="0"/>
              <w:autoSpaceDN w:val="0"/>
              <w:adjustRightInd w:val="0"/>
              <w:spacing w:before="120" w:after="120"/>
              <w:rPr>
                <w:sz w:val="16"/>
                <w:szCs w:val="16"/>
                <w:lang w:val="es-ES_tradnl"/>
              </w:rPr>
            </w:pPr>
            <w:r w:rsidRPr="009577DE">
              <w:rPr>
                <w:sz w:val="16"/>
                <w:szCs w:val="16"/>
                <w:lang w:val="es-ES_tradnl"/>
              </w:rPr>
              <w:t>2012</w:t>
            </w:r>
          </w:p>
        </w:tc>
        <w:tc>
          <w:tcPr>
            <w:tcW w:w="2572" w:type="dxa"/>
            <w:tcBorders>
              <w:top w:val="nil"/>
              <w:left w:val="nil"/>
              <w:bottom w:val="single" w:sz="4" w:space="0" w:color="auto"/>
              <w:right w:val="nil"/>
            </w:tcBorders>
          </w:tcPr>
          <w:p w:rsidR="00B070BF" w:rsidRPr="009577DE" w:rsidRDefault="00B070BF" w:rsidP="00C33D4A">
            <w:pPr>
              <w:autoSpaceDE w:val="0"/>
              <w:autoSpaceDN w:val="0"/>
              <w:adjustRightInd w:val="0"/>
              <w:spacing w:before="120" w:after="120"/>
              <w:rPr>
                <w:sz w:val="16"/>
                <w:szCs w:val="16"/>
                <w:lang w:val="es-ES_tradnl"/>
              </w:rPr>
            </w:pPr>
            <w:r w:rsidRPr="009577DE">
              <w:rPr>
                <w:sz w:val="16"/>
                <w:szCs w:val="16"/>
                <w:lang w:val="es-ES_tradnl"/>
              </w:rPr>
              <w:t>Todos los países de América Latina</w:t>
            </w:r>
          </w:p>
        </w:tc>
        <w:tc>
          <w:tcPr>
            <w:tcW w:w="3260" w:type="dxa"/>
            <w:tcBorders>
              <w:top w:val="nil"/>
              <w:left w:val="nil"/>
              <w:bottom w:val="single" w:sz="4" w:space="0" w:color="auto"/>
              <w:right w:val="single" w:sz="4" w:space="0" w:color="auto"/>
            </w:tcBorders>
          </w:tcPr>
          <w:p w:rsidR="00B070BF" w:rsidRPr="009577DE" w:rsidRDefault="00B070BF" w:rsidP="00C33D4A">
            <w:pPr>
              <w:autoSpaceDE w:val="0"/>
              <w:autoSpaceDN w:val="0"/>
              <w:adjustRightInd w:val="0"/>
              <w:spacing w:before="120" w:after="120"/>
              <w:rPr>
                <w:sz w:val="16"/>
                <w:szCs w:val="16"/>
                <w:lang w:val="es-ES_tradnl"/>
              </w:rPr>
            </w:pPr>
            <w:r w:rsidRPr="009577DE">
              <w:rPr>
                <w:sz w:val="16"/>
                <w:szCs w:val="16"/>
                <w:lang w:val="es-ES_tradnl"/>
              </w:rPr>
              <w:t>Crear y coordinar CIBEPYME.</w:t>
            </w:r>
          </w:p>
        </w:tc>
      </w:tr>
      <w:tr w:rsidR="00B070BF" w:rsidRPr="009577DE" w:rsidTr="00C33D4A">
        <w:trPr>
          <w:cantSplit/>
        </w:trPr>
        <w:tc>
          <w:tcPr>
            <w:tcW w:w="9102" w:type="dxa"/>
            <w:gridSpan w:val="4"/>
            <w:tcBorders>
              <w:top w:val="single" w:sz="4" w:space="0" w:color="auto"/>
              <w:left w:val="single" w:sz="4" w:space="0" w:color="auto"/>
              <w:bottom w:val="single" w:sz="4" w:space="0" w:color="auto"/>
              <w:right w:val="single" w:sz="4" w:space="0" w:color="auto"/>
            </w:tcBorders>
            <w:shd w:val="clear" w:color="auto" w:fill="CCFFFF"/>
            <w:vAlign w:val="center"/>
          </w:tcPr>
          <w:p w:rsidR="00B070BF" w:rsidRPr="009577DE" w:rsidRDefault="00B070BF" w:rsidP="00C33D4A">
            <w:pPr>
              <w:keepNext/>
              <w:keepLines/>
              <w:tabs>
                <w:tab w:val="left" w:pos="1740"/>
              </w:tabs>
              <w:spacing w:before="120" w:after="120"/>
              <w:ind w:left="1740" w:hanging="1740"/>
              <w:rPr>
                <w:b/>
                <w:bCs/>
                <w:sz w:val="16"/>
                <w:szCs w:val="16"/>
                <w:lang w:val="es-ES_tradnl"/>
              </w:rPr>
            </w:pPr>
            <w:r w:rsidRPr="009577DE">
              <w:rPr>
                <w:b/>
                <w:bCs/>
                <w:sz w:val="16"/>
                <w:szCs w:val="16"/>
                <w:lang w:val="es-ES_tradnl"/>
              </w:rPr>
              <w:lastRenderedPageBreak/>
              <w:t>RESULTADO:</w:t>
            </w:r>
            <w:r w:rsidRPr="009577DE">
              <w:rPr>
                <w:b/>
                <w:bCs/>
                <w:sz w:val="16"/>
                <w:szCs w:val="16"/>
                <w:lang w:val="es-ES_tradnl"/>
              </w:rPr>
              <w:tab/>
            </w:r>
            <w:r w:rsidRPr="009577DE">
              <w:rPr>
                <w:bCs/>
                <w:sz w:val="16"/>
                <w:szCs w:val="16"/>
                <w:lang w:val="es-ES_tradnl"/>
              </w:rPr>
              <w:t>Creación o fortalecimiento de mecanismos, programas y asociaciones de cooperación.</w:t>
            </w:r>
          </w:p>
        </w:tc>
      </w:tr>
      <w:tr w:rsidR="00B070BF" w:rsidRPr="009577DE" w:rsidTr="00C33D4A">
        <w:trPr>
          <w:cantSplit/>
        </w:trPr>
        <w:tc>
          <w:tcPr>
            <w:tcW w:w="2010" w:type="dxa"/>
            <w:tcBorders>
              <w:top w:val="single" w:sz="4" w:space="0" w:color="auto"/>
              <w:left w:val="single" w:sz="4" w:space="0" w:color="auto"/>
              <w:bottom w:val="nil"/>
              <w:right w:val="nil"/>
            </w:tcBorders>
            <w:vAlign w:val="center"/>
          </w:tcPr>
          <w:p w:rsidR="00B070BF" w:rsidRPr="009577DE" w:rsidRDefault="00B070BF" w:rsidP="00C33D4A">
            <w:pPr>
              <w:keepNext/>
              <w:keepLines/>
              <w:rPr>
                <w:b/>
                <w:bCs/>
                <w:sz w:val="16"/>
                <w:szCs w:val="16"/>
                <w:lang w:val="es-ES_tradnl"/>
              </w:rPr>
            </w:pPr>
            <w:r w:rsidRPr="009577DE">
              <w:rPr>
                <w:b/>
                <w:bCs/>
                <w:sz w:val="16"/>
                <w:szCs w:val="16"/>
                <w:lang w:val="es-ES_tradnl"/>
              </w:rPr>
              <w:t>Actividad</w:t>
            </w:r>
          </w:p>
        </w:tc>
        <w:tc>
          <w:tcPr>
            <w:tcW w:w="1260" w:type="dxa"/>
            <w:tcBorders>
              <w:top w:val="single" w:sz="4" w:space="0" w:color="auto"/>
              <w:left w:val="nil"/>
              <w:bottom w:val="nil"/>
              <w:right w:val="nil"/>
            </w:tcBorders>
            <w:shd w:val="clear" w:color="auto" w:fill="auto"/>
            <w:tcMar>
              <w:top w:w="110" w:type="dxa"/>
            </w:tcMar>
            <w:vAlign w:val="center"/>
          </w:tcPr>
          <w:p w:rsidR="00B070BF" w:rsidRPr="009577DE" w:rsidRDefault="00B070BF" w:rsidP="00C33D4A">
            <w:pPr>
              <w:keepNext/>
              <w:keepLines/>
              <w:rPr>
                <w:sz w:val="16"/>
                <w:szCs w:val="16"/>
                <w:lang w:val="es-ES_tradnl"/>
              </w:rPr>
            </w:pPr>
            <w:r w:rsidRPr="009577DE">
              <w:rPr>
                <w:b/>
                <w:bCs/>
                <w:sz w:val="16"/>
                <w:szCs w:val="16"/>
                <w:lang w:val="es-ES_tradnl"/>
              </w:rPr>
              <w:t>Fecha</w:t>
            </w:r>
          </w:p>
        </w:tc>
        <w:tc>
          <w:tcPr>
            <w:tcW w:w="2572" w:type="dxa"/>
            <w:tcBorders>
              <w:top w:val="single" w:sz="4" w:space="0" w:color="auto"/>
              <w:left w:val="nil"/>
              <w:bottom w:val="nil"/>
              <w:right w:val="nil"/>
            </w:tcBorders>
            <w:shd w:val="clear" w:color="auto" w:fill="auto"/>
            <w:tcMar>
              <w:top w:w="110" w:type="dxa"/>
            </w:tcMar>
            <w:vAlign w:val="center"/>
          </w:tcPr>
          <w:p w:rsidR="00B070BF" w:rsidRPr="009577DE" w:rsidRDefault="00B070BF" w:rsidP="00C33D4A">
            <w:pPr>
              <w:keepNext/>
              <w:keepLines/>
              <w:rPr>
                <w:sz w:val="16"/>
                <w:szCs w:val="16"/>
                <w:lang w:val="es-ES_tradnl"/>
              </w:rPr>
            </w:pPr>
            <w:r w:rsidRPr="009577DE">
              <w:rPr>
                <w:b/>
                <w:bCs/>
                <w:sz w:val="16"/>
                <w:szCs w:val="16"/>
                <w:lang w:val="es-ES_tradnl"/>
              </w:rPr>
              <w:t>País anfitrión/Beneficiarios</w:t>
            </w:r>
          </w:p>
        </w:tc>
        <w:tc>
          <w:tcPr>
            <w:tcW w:w="3260" w:type="dxa"/>
            <w:tcBorders>
              <w:top w:val="single" w:sz="4" w:space="0" w:color="auto"/>
              <w:left w:val="nil"/>
              <w:bottom w:val="nil"/>
              <w:right w:val="single" w:sz="4" w:space="0" w:color="auto"/>
            </w:tcBorders>
            <w:shd w:val="clear" w:color="auto" w:fill="FFFFFF"/>
            <w:tcMar>
              <w:top w:w="110" w:type="dxa"/>
            </w:tcMar>
            <w:vAlign w:val="center"/>
          </w:tcPr>
          <w:p w:rsidR="00B070BF" w:rsidRPr="009577DE" w:rsidRDefault="00B070BF" w:rsidP="00C33D4A">
            <w:pPr>
              <w:keepNext/>
              <w:keepLines/>
              <w:rPr>
                <w:sz w:val="16"/>
                <w:szCs w:val="16"/>
                <w:lang w:val="es-ES_tradnl"/>
              </w:rPr>
            </w:pPr>
            <w:r w:rsidRPr="009577DE">
              <w:rPr>
                <w:b/>
                <w:bCs/>
                <w:sz w:val="16"/>
                <w:szCs w:val="16"/>
                <w:lang w:val="es-ES_tradnl"/>
              </w:rPr>
              <w:t>Propósito/Descripción</w:t>
            </w:r>
          </w:p>
        </w:tc>
      </w:tr>
      <w:tr w:rsidR="00B070BF" w:rsidRPr="009577DE" w:rsidTr="00C33D4A">
        <w:trPr>
          <w:cantSplit/>
          <w:trHeight w:val="2597"/>
        </w:trPr>
        <w:tc>
          <w:tcPr>
            <w:tcW w:w="2010" w:type="dxa"/>
            <w:tcBorders>
              <w:top w:val="nil"/>
              <w:left w:val="single" w:sz="4" w:space="0" w:color="auto"/>
              <w:bottom w:val="nil"/>
              <w:right w:val="nil"/>
            </w:tcBorders>
          </w:tcPr>
          <w:p w:rsidR="00B070BF" w:rsidRPr="009577DE" w:rsidRDefault="00B070BF" w:rsidP="00C33D4A">
            <w:pPr>
              <w:autoSpaceDE w:val="0"/>
              <w:autoSpaceDN w:val="0"/>
              <w:adjustRightInd w:val="0"/>
              <w:spacing w:before="120" w:after="120"/>
              <w:rPr>
                <w:sz w:val="16"/>
                <w:szCs w:val="16"/>
                <w:lang w:val="es-ES_tradnl"/>
              </w:rPr>
            </w:pPr>
            <w:r w:rsidRPr="009577DE">
              <w:rPr>
                <w:sz w:val="16"/>
                <w:szCs w:val="16"/>
                <w:lang w:val="es-ES_tradnl"/>
              </w:rPr>
              <w:t>Reunión subregional sobre marcas de los países de Centroamérica, Panamá y la República Dominicana, para el examen y la aprobación de un manual sobre el examen de solicitudes de marcas.</w:t>
            </w:r>
          </w:p>
          <w:p w:rsidR="00B070BF" w:rsidRPr="009577DE" w:rsidRDefault="00B070BF" w:rsidP="00C33D4A">
            <w:pPr>
              <w:autoSpaceDE w:val="0"/>
              <w:autoSpaceDN w:val="0"/>
              <w:adjustRightInd w:val="0"/>
              <w:spacing w:before="120" w:after="120"/>
              <w:rPr>
                <w:sz w:val="16"/>
                <w:szCs w:val="16"/>
                <w:lang w:val="es-ES_tradnl"/>
              </w:rPr>
            </w:pPr>
          </w:p>
        </w:tc>
        <w:tc>
          <w:tcPr>
            <w:tcW w:w="1260" w:type="dxa"/>
            <w:tcBorders>
              <w:top w:val="nil"/>
              <w:left w:val="nil"/>
              <w:bottom w:val="nil"/>
              <w:right w:val="nil"/>
            </w:tcBorders>
          </w:tcPr>
          <w:p w:rsidR="00B070BF" w:rsidRPr="009577DE" w:rsidRDefault="00B070BF" w:rsidP="00C33D4A">
            <w:pPr>
              <w:autoSpaceDE w:val="0"/>
              <w:autoSpaceDN w:val="0"/>
              <w:adjustRightInd w:val="0"/>
              <w:spacing w:before="120" w:after="120"/>
              <w:rPr>
                <w:sz w:val="16"/>
                <w:szCs w:val="16"/>
                <w:lang w:val="es-ES_tradnl"/>
              </w:rPr>
            </w:pPr>
            <w:r w:rsidRPr="009577DE">
              <w:rPr>
                <w:sz w:val="16"/>
                <w:szCs w:val="16"/>
                <w:lang w:val="es-ES_tradnl"/>
              </w:rPr>
              <w:t>Prevista para el 5 y 6 de diciembre de 2012</w:t>
            </w:r>
          </w:p>
          <w:p w:rsidR="00B070BF" w:rsidRPr="009577DE" w:rsidRDefault="00B070BF" w:rsidP="00C33D4A">
            <w:pPr>
              <w:autoSpaceDE w:val="0"/>
              <w:autoSpaceDN w:val="0"/>
              <w:adjustRightInd w:val="0"/>
              <w:spacing w:before="120" w:after="120"/>
              <w:rPr>
                <w:sz w:val="16"/>
                <w:szCs w:val="16"/>
                <w:lang w:val="es-ES_tradnl"/>
              </w:rPr>
            </w:pPr>
            <w:r w:rsidRPr="009577DE">
              <w:rPr>
                <w:sz w:val="16"/>
                <w:szCs w:val="16"/>
                <w:lang w:val="es-ES_tradnl"/>
              </w:rPr>
              <w:t>Pospuesta hasta el 20 y 21 de febrero de 2013</w:t>
            </w:r>
          </w:p>
          <w:p w:rsidR="00B070BF" w:rsidRPr="009577DE" w:rsidRDefault="00B070BF" w:rsidP="00C33D4A">
            <w:pPr>
              <w:autoSpaceDE w:val="0"/>
              <w:autoSpaceDN w:val="0"/>
              <w:adjustRightInd w:val="0"/>
              <w:spacing w:before="120" w:after="120"/>
              <w:rPr>
                <w:sz w:val="16"/>
                <w:szCs w:val="16"/>
                <w:lang w:val="es-ES_tradnl"/>
              </w:rPr>
            </w:pPr>
          </w:p>
        </w:tc>
        <w:tc>
          <w:tcPr>
            <w:tcW w:w="2572" w:type="dxa"/>
            <w:tcBorders>
              <w:top w:val="nil"/>
              <w:left w:val="nil"/>
              <w:bottom w:val="nil"/>
              <w:right w:val="nil"/>
            </w:tcBorders>
          </w:tcPr>
          <w:p w:rsidR="00B070BF" w:rsidRPr="009577DE" w:rsidRDefault="00B070BF" w:rsidP="00C33D4A">
            <w:pPr>
              <w:autoSpaceDE w:val="0"/>
              <w:autoSpaceDN w:val="0"/>
              <w:adjustRightInd w:val="0"/>
              <w:spacing w:before="120" w:after="120"/>
              <w:rPr>
                <w:sz w:val="16"/>
                <w:szCs w:val="16"/>
                <w:lang w:val="es-ES_tradnl"/>
              </w:rPr>
            </w:pPr>
            <w:r w:rsidRPr="009577DE">
              <w:rPr>
                <w:sz w:val="16"/>
                <w:szCs w:val="16"/>
                <w:lang w:val="es-ES_tradnl"/>
              </w:rPr>
              <w:t>Panamá/Todos los países de América Central y la República Dominicana</w:t>
            </w:r>
          </w:p>
          <w:p w:rsidR="00B070BF" w:rsidRPr="009577DE" w:rsidRDefault="00B070BF" w:rsidP="00C33D4A">
            <w:pPr>
              <w:autoSpaceDE w:val="0"/>
              <w:autoSpaceDN w:val="0"/>
              <w:adjustRightInd w:val="0"/>
              <w:spacing w:before="120" w:after="120"/>
              <w:rPr>
                <w:sz w:val="16"/>
                <w:szCs w:val="16"/>
                <w:lang w:val="es-ES_tradnl"/>
              </w:rPr>
            </w:pPr>
          </w:p>
          <w:p w:rsidR="00B070BF" w:rsidRPr="009577DE" w:rsidRDefault="00B070BF" w:rsidP="00C33D4A">
            <w:pPr>
              <w:autoSpaceDE w:val="0"/>
              <w:autoSpaceDN w:val="0"/>
              <w:adjustRightInd w:val="0"/>
              <w:spacing w:before="120" w:after="120"/>
              <w:rPr>
                <w:sz w:val="16"/>
                <w:szCs w:val="16"/>
                <w:lang w:val="es-ES_tradnl"/>
              </w:rPr>
            </w:pPr>
          </w:p>
          <w:p w:rsidR="00B070BF" w:rsidRPr="009577DE" w:rsidRDefault="00B070BF" w:rsidP="00C33D4A">
            <w:pPr>
              <w:autoSpaceDE w:val="0"/>
              <w:autoSpaceDN w:val="0"/>
              <w:adjustRightInd w:val="0"/>
              <w:spacing w:before="120" w:after="120"/>
              <w:rPr>
                <w:sz w:val="16"/>
                <w:szCs w:val="16"/>
                <w:lang w:val="es-ES_tradnl"/>
              </w:rPr>
            </w:pPr>
          </w:p>
        </w:tc>
        <w:tc>
          <w:tcPr>
            <w:tcW w:w="3260" w:type="dxa"/>
            <w:tcBorders>
              <w:top w:val="nil"/>
              <w:left w:val="nil"/>
              <w:bottom w:val="nil"/>
              <w:right w:val="single" w:sz="4" w:space="0" w:color="auto"/>
            </w:tcBorders>
          </w:tcPr>
          <w:p w:rsidR="00B070BF" w:rsidRPr="009577DE" w:rsidRDefault="00B070BF" w:rsidP="00C33D4A">
            <w:pPr>
              <w:autoSpaceDE w:val="0"/>
              <w:autoSpaceDN w:val="0"/>
              <w:adjustRightInd w:val="0"/>
              <w:spacing w:before="120" w:after="120"/>
              <w:rPr>
                <w:sz w:val="16"/>
                <w:szCs w:val="16"/>
                <w:lang w:val="es-ES_tradnl"/>
              </w:rPr>
            </w:pPr>
            <w:r w:rsidRPr="009577DE">
              <w:rPr>
                <w:sz w:val="16"/>
                <w:szCs w:val="16"/>
                <w:lang w:val="es-ES_tradnl"/>
              </w:rPr>
              <w:t>i) Brindar la oportunidad de realizar una revisión final del manual sobre el examen de marcas para los países de Centroamérica, Panamá y la República Dominicana;  ii) proponer medidas conducentes a la utilización futura del manual en los procedimientos de examen de esos países;  iii) establecer medidas para lograr un consenso sobre los mecanismos, lo que contribuiría a preservar la utilidad del manual.</w:t>
            </w:r>
          </w:p>
        </w:tc>
      </w:tr>
      <w:tr w:rsidR="00B070BF" w:rsidRPr="009577DE" w:rsidTr="00C33D4A">
        <w:trPr>
          <w:cantSplit/>
          <w:trHeight w:val="1529"/>
        </w:trPr>
        <w:tc>
          <w:tcPr>
            <w:tcW w:w="2010" w:type="dxa"/>
            <w:tcBorders>
              <w:top w:val="nil"/>
              <w:left w:val="single" w:sz="4" w:space="0" w:color="auto"/>
              <w:bottom w:val="nil"/>
              <w:right w:val="nil"/>
            </w:tcBorders>
          </w:tcPr>
          <w:p w:rsidR="00B070BF" w:rsidRPr="009577DE" w:rsidRDefault="00B070BF" w:rsidP="00C33D4A">
            <w:pPr>
              <w:autoSpaceDE w:val="0"/>
              <w:autoSpaceDN w:val="0"/>
              <w:adjustRightInd w:val="0"/>
              <w:spacing w:before="120" w:after="120"/>
              <w:rPr>
                <w:sz w:val="16"/>
                <w:szCs w:val="16"/>
                <w:lang w:val="es-ES_tradnl"/>
              </w:rPr>
            </w:pPr>
            <w:r w:rsidRPr="009577DE">
              <w:rPr>
                <w:sz w:val="16"/>
                <w:szCs w:val="16"/>
                <w:lang w:val="es-ES_tradnl"/>
              </w:rPr>
              <w:t>América Latina:  Proyecto regional sobre documentación y mecanismos de acceso a las resoluciones de índole jurídica y administrativa relacionadas con la propiedad intelectual.</w:t>
            </w:r>
          </w:p>
        </w:tc>
        <w:tc>
          <w:tcPr>
            <w:tcW w:w="1260" w:type="dxa"/>
            <w:tcBorders>
              <w:top w:val="nil"/>
              <w:left w:val="nil"/>
              <w:bottom w:val="nil"/>
              <w:right w:val="nil"/>
            </w:tcBorders>
          </w:tcPr>
          <w:p w:rsidR="00B070BF" w:rsidRPr="009577DE" w:rsidRDefault="00B070BF" w:rsidP="00C33D4A">
            <w:pPr>
              <w:autoSpaceDE w:val="0"/>
              <w:autoSpaceDN w:val="0"/>
              <w:adjustRightInd w:val="0"/>
              <w:spacing w:before="120" w:after="120"/>
              <w:rPr>
                <w:sz w:val="16"/>
                <w:szCs w:val="16"/>
                <w:lang w:val="es-ES_tradnl"/>
              </w:rPr>
            </w:pPr>
            <w:r w:rsidRPr="009577DE">
              <w:rPr>
                <w:sz w:val="16"/>
                <w:szCs w:val="16"/>
                <w:lang w:val="es-ES_tradnl"/>
              </w:rPr>
              <w:t>2012</w:t>
            </w:r>
          </w:p>
          <w:p w:rsidR="00B070BF" w:rsidRPr="009577DE" w:rsidRDefault="00B070BF" w:rsidP="00C33D4A">
            <w:pPr>
              <w:autoSpaceDE w:val="0"/>
              <w:autoSpaceDN w:val="0"/>
              <w:adjustRightInd w:val="0"/>
              <w:spacing w:before="120" w:after="120"/>
              <w:rPr>
                <w:sz w:val="16"/>
                <w:szCs w:val="16"/>
                <w:lang w:val="es-ES_tradnl"/>
              </w:rPr>
            </w:pPr>
            <w:r w:rsidRPr="009577DE">
              <w:rPr>
                <w:sz w:val="16"/>
                <w:szCs w:val="16"/>
                <w:lang w:val="es-ES_tradnl"/>
              </w:rPr>
              <w:t>(Proyecto en curso desde 2005)</w:t>
            </w:r>
          </w:p>
          <w:p w:rsidR="00B070BF" w:rsidRPr="009577DE" w:rsidRDefault="00B070BF" w:rsidP="00C33D4A">
            <w:pPr>
              <w:autoSpaceDE w:val="0"/>
              <w:autoSpaceDN w:val="0"/>
              <w:adjustRightInd w:val="0"/>
              <w:spacing w:before="120" w:after="120"/>
              <w:rPr>
                <w:sz w:val="16"/>
                <w:szCs w:val="16"/>
                <w:lang w:val="es-ES_tradnl"/>
              </w:rPr>
            </w:pPr>
          </w:p>
        </w:tc>
        <w:tc>
          <w:tcPr>
            <w:tcW w:w="2572" w:type="dxa"/>
            <w:tcBorders>
              <w:top w:val="nil"/>
              <w:left w:val="nil"/>
              <w:bottom w:val="nil"/>
              <w:right w:val="nil"/>
            </w:tcBorders>
          </w:tcPr>
          <w:p w:rsidR="00B070BF" w:rsidRPr="009577DE" w:rsidRDefault="00B070BF" w:rsidP="00C33D4A">
            <w:pPr>
              <w:autoSpaceDE w:val="0"/>
              <w:autoSpaceDN w:val="0"/>
              <w:adjustRightInd w:val="0"/>
              <w:spacing w:before="120" w:after="120"/>
              <w:rPr>
                <w:sz w:val="16"/>
                <w:szCs w:val="16"/>
                <w:lang w:val="es-ES_tradnl"/>
              </w:rPr>
            </w:pPr>
            <w:r w:rsidRPr="009577DE">
              <w:rPr>
                <w:sz w:val="16"/>
                <w:szCs w:val="16"/>
                <w:lang w:val="es-ES_tradnl"/>
              </w:rPr>
              <w:t>Todos los países de América Latina</w:t>
            </w:r>
          </w:p>
          <w:p w:rsidR="00B070BF" w:rsidRPr="009577DE" w:rsidRDefault="00B070BF" w:rsidP="00C33D4A">
            <w:pPr>
              <w:autoSpaceDE w:val="0"/>
              <w:autoSpaceDN w:val="0"/>
              <w:adjustRightInd w:val="0"/>
              <w:spacing w:before="120" w:after="120"/>
              <w:rPr>
                <w:sz w:val="16"/>
                <w:szCs w:val="16"/>
                <w:lang w:val="es-ES_tradnl"/>
              </w:rPr>
            </w:pPr>
          </w:p>
        </w:tc>
        <w:tc>
          <w:tcPr>
            <w:tcW w:w="3260" w:type="dxa"/>
            <w:tcBorders>
              <w:top w:val="nil"/>
              <w:left w:val="nil"/>
              <w:bottom w:val="nil"/>
              <w:right w:val="single" w:sz="4" w:space="0" w:color="auto"/>
            </w:tcBorders>
          </w:tcPr>
          <w:p w:rsidR="00B070BF" w:rsidRPr="009577DE" w:rsidRDefault="00B070BF" w:rsidP="00C33D4A">
            <w:pPr>
              <w:autoSpaceDE w:val="0"/>
              <w:autoSpaceDN w:val="0"/>
              <w:adjustRightInd w:val="0"/>
              <w:spacing w:before="120" w:after="120"/>
              <w:rPr>
                <w:sz w:val="16"/>
                <w:szCs w:val="16"/>
                <w:lang w:val="es-ES_tradnl"/>
              </w:rPr>
            </w:pPr>
            <w:r w:rsidRPr="009577DE">
              <w:rPr>
                <w:sz w:val="16"/>
                <w:szCs w:val="16"/>
                <w:lang w:val="es-ES_tradnl"/>
              </w:rPr>
              <w:t>i) Recopilar y difundir información;  y ii) promover el uso de la plataforma Web de una base de datos de jurisprudencia de la región.</w:t>
            </w:r>
          </w:p>
        </w:tc>
      </w:tr>
      <w:tr w:rsidR="00B070BF" w:rsidRPr="009577DE" w:rsidTr="00C33D4A">
        <w:trPr>
          <w:cantSplit/>
          <w:trHeight w:val="1096"/>
        </w:trPr>
        <w:tc>
          <w:tcPr>
            <w:tcW w:w="2010" w:type="dxa"/>
            <w:tcBorders>
              <w:top w:val="nil"/>
              <w:left w:val="single" w:sz="4" w:space="0" w:color="auto"/>
              <w:bottom w:val="single" w:sz="4" w:space="0" w:color="auto"/>
              <w:right w:val="nil"/>
            </w:tcBorders>
          </w:tcPr>
          <w:p w:rsidR="00B070BF" w:rsidRPr="009577DE" w:rsidRDefault="00B070BF" w:rsidP="00C33D4A">
            <w:pPr>
              <w:autoSpaceDE w:val="0"/>
              <w:autoSpaceDN w:val="0"/>
              <w:adjustRightInd w:val="0"/>
              <w:spacing w:before="120" w:after="120"/>
              <w:rPr>
                <w:sz w:val="16"/>
                <w:szCs w:val="16"/>
                <w:lang w:val="es-ES_tradnl"/>
              </w:rPr>
            </w:pPr>
            <w:r w:rsidRPr="009577DE">
              <w:rPr>
                <w:sz w:val="16"/>
                <w:szCs w:val="16"/>
                <w:lang w:val="es-ES_tradnl"/>
              </w:rPr>
              <w:t>Programa Iberoamericano de propiedad industrial.</w:t>
            </w:r>
          </w:p>
          <w:p w:rsidR="00B070BF" w:rsidRPr="009577DE" w:rsidRDefault="00B070BF" w:rsidP="00C33D4A">
            <w:pPr>
              <w:autoSpaceDE w:val="0"/>
              <w:autoSpaceDN w:val="0"/>
              <w:adjustRightInd w:val="0"/>
              <w:spacing w:before="120" w:after="120"/>
              <w:rPr>
                <w:sz w:val="16"/>
                <w:szCs w:val="16"/>
                <w:lang w:val="es-ES_tradnl"/>
              </w:rPr>
            </w:pPr>
          </w:p>
        </w:tc>
        <w:tc>
          <w:tcPr>
            <w:tcW w:w="1260" w:type="dxa"/>
            <w:tcBorders>
              <w:top w:val="nil"/>
              <w:left w:val="nil"/>
              <w:bottom w:val="single" w:sz="4" w:space="0" w:color="auto"/>
              <w:right w:val="nil"/>
            </w:tcBorders>
          </w:tcPr>
          <w:p w:rsidR="00B070BF" w:rsidRPr="009577DE" w:rsidRDefault="00B070BF" w:rsidP="00C33D4A">
            <w:pPr>
              <w:autoSpaceDE w:val="0"/>
              <w:autoSpaceDN w:val="0"/>
              <w:adjustRightInd w:val="0"/>
              <w:spacing w:before="120" w:after="120"/>
              <w:rPr>
                <w:sz w:val="16"/>
                <w:szCs w:val="16"/>
                <w:lang w:val="es-ES_tradnl"/>
              </w:rPr>
            </w:pPr>
          </w:p>
        </w:tc>
        <w:tc>
          <w:tcPr>
            <w:tcW w:w="2572" w:type="dxa"/>
            <w:tcBorders>
              <w:top w:val="nil"/>
              <w:left w:val="nil"/>
              <w:bottom w:val="single" w:sz="4" w:space="0" w:color="auto"/>
              <w:right w:val="nil"/>
            </w:tcBorders>
          </w:tcPr>
          <w:p w:rsidR="00B070BF" w:rsidRPr="009577DE" w:rsidRDefault="00B070BF" w:rsidP="00C33D4A">
            <w:pPr>
              <w:autoSpaceDE w:val="0"/>
              <w:autoSpaceDN w:val="0"/>
              <w:adjustRightInd w:val="0"/>
              <w:spacing w:before="120" w:after="120"/>
              <w:rPr>
                <w:sz w:val="16"/>
                <w:szCs w:val="16"/>
                <w:lang w:val="es-ES_tradnl"/>
              </w:rPr>
            </w:pPr>
            <w:r w:rsidRPr="009577DE">
              <w:rPr>
                <w:sz w:val="16"/>
                <w:szCs w:val="16"/>
                <w:lang w:val="es-ES_tradnl"/>
              </w:rPr>
              <w:t>Todos los países de América Latina</w:t>
            </w:r>
          </w:p>
          <w:p w:rsidR="00B070BF" w:rsidRPr="009577DE" w:rsidRDefault="00B070BF" w:rsidP="00C33D4A">
            <w:pPr>
              <w:autoSpaceDE w:val="0"/>
              <w:autoSpaceDN w:val="0"/>
              <w:adjustRightInd w:val="0"/>
              <w:spacing w:before="120" w:after="120"/>
              <w:rPr>
                <w:sz w:val="16"/>
                <w:szCs w:val="16"/>
                <w:lang w:val="es-ES_tradnl"/>
              </w:rPr>
            </w:pPr>
          </w:p>
        </w:tc>
        <w:tc>
          <w:tcPr>
            <w:tcW w:w="3260" w:type="dxa"/>
            <w:tcBorders>
              <w:top w:val="nil"/>
              <w:left w:val="nil"/>
              <w:bottom w:val="single" w:sz="4" w:space="0" w:color="auto"/>
              <w:right w:val="single" w:sz="4" w:space="0" w:color="auto"/>
            </w:tcBorders>
          </w:tcPr>
          <w:p w:rsidR="00B070BF" w:rsidRPr="009577DE" w:rsidRDefault="00B070BF" w:rsidP="00C33D4A">
            <w:pPr>
              <w:autoSpaceDE w:val="0"/>
              <w:autoSpaceDN w:val="0"/>
              <w:adjustRightInd w:val="0"/>
              <w:spacing w:before="120" w:after="120"/>
              <w:rPr>
                <w:sz w:val="16"/>
                <w:szCs w:val="16"/>
                <w:lang w:val="es-ES_tradnl"/>
              </w:rPr>
            </w:pPr>
            <w:r w:rsidRPr="009577DE">
              <w:rPr>
                <w:sz w:val="16"/>
                <w:szCs w:val="16"/>
                <w:lang w:val="es-ES_tradnl"/>
              </w:rPr>
              <w:t>Promover el desarrollo socioeconómico de la región en el marco de la Cumbre Iberoamericana de Jefes de Estado y de Gobierno.</w:t>
            </w:r>
          </w:p>
        </w:tc>
      </w:tr>
      <w:tr w:rsidR="00B070BF" w:rsidRPr="009577DE" w:rsidTr="00C33D4A">
        <w:trPr>
          <w:cantSplit/>
          <w:trHeight w:val="1361"/>
        </w:trPr>
        <w:tc>
          <w:tcPr>
            <w:tcW w:w="2010" w:type="dxa"/>
            <w:tcBorders>
              <w:top w:val="single" w:sz="4" w:space="0" w:color="auto"/>
              <w:left w:val="single" w:sz="4" w:space="0" w:color="auto"/>
              <w:bottom w:val="single" w:sz="4" w:space="0" w:color="auto"/>
              <w:right w:val="nil"/>
            </w:tcBorders>
          </w:tcPr>
          <w:p w:rsidR="00B070BF" w:rsidRPr="009577DE" w:rsidRDefault="00B070BF" w:rsidP="00C33D4A">
            <w:pPr>
              <w:autoSpaceDE w:val="0"/>
              <w:autoSpaceDN w:val="0"/>
              <w:adjustRightInd w:val="0"/>
              <w:spacing w:before="120" w:after="120"/>
              <w:rPr>
                <w:sz w:val="16"/>
                <w:szCs w:val="16"/>
                <w:lang w:val="es-ES_tradnl"/>
              </w:rPr>
            </w:pPr>
            <w:r w:rsidRPr="009577DE">
              <w:rPr>
                <w:sz w:val="16"/>
                <w:szCs w:val="16"/>
                <w:lang w:val="es-ES_tradnl"/>
              </w:rPr>
              <w:t>Reunión regional de Jefes de las oficinas de P.I. de los países de América Latina para preparar la Cumbre Iberoamericana de Jefes de Estado y de Gobierno.</w:t>
            </w:r>
          </w:p>
          <w:p w:rsidR="00B070BF" w:rsidRPr="009577DE" w:rsidRDefault="00B070BF" w:rsidP="00C33D4A">
            <w:pPr>
              <w:autoSpaceDE w:val="0"/>
              <w:autoSpaceDN w:val="0"/>
              <w:adjustRightInd w:val="0"/>
              <w:spacing w:before="120" w:after="120"/>
              <w:rPr>
                <w:sz w:val="16"/>
                <w:szCs w:val="16"/>
                <w:lang w:val="es-ES_tradnl"/>
              </w:rPr>
            </w:pPr>
          </w:p>
        </w:tc>
        <w:tc>
          <w:tcPr>
            <w:tcW w:w="1260" w:type="dxa"/>
            <w:tcBorders>
              <w:top w:val="single" w:sz="4" w:space="0" w:color="auto"/>
              <w:left w:val="nil"/>
              <w:bottom w:val="single" w:sz="4" w:space="0" w:color="auto"/>
              <w:right w:val="nil"/>
            </w:tcBorders>
          </w:tcPr>
          <w:p w:rsidR="00B070BF" w:rsidRPr="009577DE" w:rsidRDefault="00B070BF" w:rsidP="00C33D4A">
            <w:pPr>
              <w:autoSpaceDE w:val="0"/>
              <w:autoSpaceDN w:val="0"/>
              <w:adjustRightInd w:val="0"/>
              <w:spacing w:before="120" w:after="120"/>
              <w:rPr>
                <w:sz w:val="16"/>
                <w:szCs w:val="16"/>
                <w:lang w:val="es-ES_tradnl"/>
              </w:rPr>
            </w:pPr>
            <w:r w:rsidRPr="009577DE">
              <w:rPr>
                <w:sz w:val="16"/>
                <w:szCs w:val="16"/>
                <w:lang w:val="es-ES_tradnl"/>
              </w:rPr>
              <w:t>Julio de 2012</w:t>
            </w:r>
          </w:p>
          <w:p w:rsidR="00B070BF" w:rsidRPr="009577DE" w:rsidRDefault="00B070BF" w:rsidP="00C33D4A">
            <w:pPr>
              <w:autoSpaceDE w:val="0"/>
              <w:autoSpaceDN w:val="0"/>
              <w:adjustRightInd w:val="0"/>
              <w:spacing w:before="120" w:after="120"/>
              <w:rPr>
                <w:sz w:val="16"/>
                <w:szCs w:val="16"/>
                <w:lang w:val="es-ES_tradnl"/>
              </w:rPr>
            </w:pPr>
          </w:p>
        </w:tc>
        <w:tc>
          <w:tcPr>
            <w:tcW w:w="2572" w:type="dxa"/>
            <w:tcBorders>
              <w:top w:val="single" w:sz="4" w:space="0" w:color="auto"/>
              <w:left w:val="nil"/>
              <w:bottom w:val="single" w:sz="4" w:space="0" w:color="auto"/>
              <w:right w:val="nil"/>
            </w:tcBorders>
          </w:tcPr>
          <w:p w:rsidR="00B070BF" w:rsidRPr="009577DE" w:rsidRDefault="00B070BF" w:rsidP="00C33D4A">
            <w:pPr>
              <w:autoSpaceDE w:val="0"/>
              <w:autoSpaceDN w:val="0"/>
              <w:adjustRightInd w:val="0"/>
              <w:spacing w:before="120" w:after="120"/>
              <w:rPr>
                <w:sz w:val="16"/>
                <w:szCs w:val="16"/>
                <w:lang w:val="es-ES_tradnl"/>
              </w:rPr>
            </w:pPr>
            <w:r w:rsidRPr="009577DE">
              <w:rPr>
                <w:sz w:val="16"/>
                <w:szCs w:val="16"/>
                <w:lang w:val="es-ES_tradnl"/>
              </w:rPr>
              <w:t>Cádiz (España)/Todos los países de América Latina</w:t>
            </w:r>
          </w:p>
          <w:p w:rsidR="00B070BF" w:rsidRPr="009577DE" w:rsidRDefault="00B070BF" w:rsidP="00C33D4A">
            <w:pPr>
              <w:autoSpaceDE w:val="0"/>
              <w:autoSpaceDN w:val="0"/>
              <w:adjustRightInd w:val="0"/>
              <w:spacing w:before="120" w:after="120"/>
              <w:rPr>
                <w:sz w:val="16"/>
                <w:szCs w:val="16"/>
                <w:lang w:val="es-ES_tradnl"/>
              </w:rPr>
            </w:pPr>
          </w:p>
        </w:tc>
        <w:tc>
          <w:tcPr>
            <w:tcW w:w="3260" w:type="dxa"/>
            <w:tcBorders>
              <w:top w:val="single" w:sz="4" w:space="0" w:color="auto"/>
              <w:left w:val="nil"/>
              <w:bottom w:val="single" w:sz="4" w:space="0" w:color="auto"/>
              <w:right w:val="single" w:sz="4" w:space="0" w:color="auto"/>
            </w:tcBorders>
          </w:tcPr>
          <w:p w:rsidR="00B070BF" w:rsidRPr="009577DE" w:rsidRDefault="00B070BF" w:rsidP="00C33D4A">
            <w:pPr>
              <w:autoSpaceDE w:val="0"/>
              <w:autoSpaceDN w:val="0"/>
              <w:adjustRightInd w:val="0"/>
              <w:spacing w:before="120" w:after="120"/>
              <w:rPr>
                <w:sz w:val="16"/>
                <w:szCs w:val="16"/>
                <w:lang w:val="es-ES_tradnl"/>
              </w:rPr>
            </w:pPr>
          </w:p>
        </w:tc>
      </w:tr>
      <w:tr w:rsidR="00B070BF" w:rsidRPr="009577DE" w:rsidTr="00C33D4A">
        <w:trPr>
          <w:cantSplit/>
        </w:trPr>
        <w:tc>
          <w:tcPr>
            <w:tcW w:w="2010" w:type="dxa"/>
            <w:tcBorders>
              <w:top w:val="single" w:sz="4" w:space="0" w:color="auto"/>
              <w:left w:val="single" w:sz="4" w:space="0" w:color="auto"/>
              <w:bottom w:val="single" w:sz="4" w:space="0" w:color="auto"/>
              <w:right w:val="nil"/>
            </w:tcBorders>
          </w:tcPr>
          <w:p w:rsidR="00B070BF" w:rsidRPr="009577DE" w:rsidRDefault="00B070BF" w:rsidP="00C33D4A">
            <w:pPr>
              <w:autoSpaceDE w:val="0"/>
              <w:autoSpaceDN w:val="0"/>
              <w:adjustRightInd w:val="0"/>
              <w:spacing w:before="120" w:after="120"/>
              <w:rPr>
                <w:sz w:val="16"/>
                <w:szCs w:val="16"/>
                <w:lang w:val="es-ES_tradnl"/>
              </w:rPr>
            </w:pPr>
            <w:r w:rsidRPr="009577DE">
              <w:rPr>
                <w:sz w:val="16"/>
                <w:szCs w:val="16"/>
                <w:lang w:val="es-ES_tradnl"/>
              </w:rPr>
              <w:t>Participación del primer Presidente de la Secretaría Técnica del Programa Iberoamericano de propiedad industrial en la ceremonia de firma del Memorando OMPI/Cumbre Iberoamericana.</w:t>
            </w:r>
          </w:p>
        </w:tc>
        <w:tc>
          <w:tcPr>
            <w:tcW w:w="1260" w:type="dxa"/>
            <w:tcBorders>
              <w:top w:val="single" w:sz="4" w:space="0" w:color="auto"/>
              <w:left w:val="nil"/>
              <w:bottom w:val="single" w:sz="4" w:space="0" w:color="auto"/>
              <w:right w:val="nil"/>
            </w:tcBorders>
          </w:tcPr>
          <w:p w:rsidR="00B070BF" w:rsidRPr="009577DE" w:rsidRDefault="00B070BF" w:rsidP="00C33D4A">
            <w:pPr>
              <w:autoSpaceDE w:val="0"/>
              <w:autoSpaceDN w:val="0"/>
              <w:adjustRightInd w:val="0"/>
              <w:spacing w:before="120" w:after="120"/>
              <w:rPr>
                <w:sz w:val="16"/>
                <w:szCs w:val="16"/>
                <w:lang w:val="es-ES_tradnl"/>
              </w:rPr>
            </w:pPr>
            <w:r w:rsidRPr="009577DE">
              <w:rPr>
                <w:sz w:val="16"/>
                <w:szCs w:val="16"/>
                <w:lang w:val="es-ES_tradnl"/>
              </w:rPr>
              <w:t>Octubre de 2012</w:t>
            </w:r>
          </w:p>
        </w:tc>
        <w:tc>
          <w:tcPr>
            <w:tcW w:w="2572" w:type="dxa"/>
            <w:tcBorders>
              <w:top w:val="single" w:sz="4" w:space="0" w:color="auto"/>
              <w:left w:val="nil"/>
              <w:bottom w:val="single" w:sz="4" w:space="0" w:color="auto"/>
              <w:right w:val="nil"/>
            </w:tcBorders>
          </w:tcPr>
          <w:p w:rsidR="00B070BF" w:rsidRPr="009577DE" w:rsidRDefault="00B070BF" w:rsidP="00C33D4A">
            <w:pPr>
              <w:autoSpaceDE w:val="0"/>
              <w:autoSpaceDN w:val="0"/>
              <w:adjustRightInd w:val="0"/>
              <w:spacing w:before="120" w:after="120"/>
              <w:rPr>
                <w:sz w:val="16"/>
                <w:szCs w:val="16"/>
                <w:lang w:val="es-ES_tradnl"/>
              </w:rPr>
            </w:pPr>
            <w:r w:rsidRPr="009577DE">
              <w:rPr>
                <w:sz w:val="16"/>
                <w:szCs w:val="16"/>
                <w:lang w:val="es-ES_tradnl"/>
              </w:rPr>
              <w:t>Ginebra/ Todos los países de América Latina</w:t>
            </w:r>
          </w:p>
        </w:tc>
        <w:tc>
          <w:tcPr>
            <w:tcW w:w="3260" w:type="dxa"/>
            <w:tcBorders>
              <w:top w:val="single" w:sz="4" w:space="0" w:color="auto"/>
              <w:left w:val="nil"/>
              <w:bottom w:val="single" w:sz="4" w:space="0" w:color="auto"/>
              <w:right w:val="single" w:sz="4" w:space="0" w:color="auto"/>
            </w:tcBorders>
          </w:tcPr>
          <w:p w:rsidR="00B070BF" w:rsidRPr="009577DE" w:rsidRDefault="00B070BF" w:rsidP="00C33D4A">
            <w:pPr>
              <w:autoSpaceDE w:val="0"/>
              <w:autoSpaceDN w:val="0"/>
              <w:adjustRightInd w:val="0"/>
              <w:spacing w:before="120" w:after="120"/>
              <w:rPr>
                <w:sz w:val="16"/>
                <w:szCs w:val="16"/>
                <w:lang w:val="es-ES_tradnl"/>
              </w:rPr>
            </w:pPr>
          </w:p>
        </w:tc>
      </w:tr>
      <w:tr w:rsidR="00B070BF" w:rsidRPr="009577DE" w:rsidTr="00C33D4A">
        <w:trPr>
          <w:cantSplit/>
        </w:trPr>
        <w:tc>
          <w:tcPr>
            <w:tcW w:w="9102" w:type="dxa"/>
            <w:gridSpan w:val="4"/>
            <w:tcBorders>
              <w:top w:val="single" w:sz="4" w:space="0" w:color="auto"/>
              <w:left w:val="single" w:sz="4" w:space="0" w:color="auto"/>
              <w:bottom w:val="single" w:sz="4" w:space="0" w:color="auto"/>
              <w:right w:val="single" w:sz="4" w:space="0" w:color="auto"/>
            </w:tcBorders>
            <w:shd w:val="clear" w:color="auto" w:fill="CCFFFF"/>
            <w:vAlign w:val="center"/>
          </w:tcPr>
          <w:p w:rsidR="00B070BF" w:rsidRPr="009577DE" w:rsidRDefault="00B070BF" w:rsidP="00C33D4A">
            <w:pPr>
              <w:keepNext/>
              <w:keepLines/>
              <w:tabs>
                <w:tab w:val="left" w:pos="1740"/>
              </w:tabs>
              <w:spacing w:before="120" w:after="120"/>
              <w:ind w:left="1740" w:hanging="1740"/>
              <w:rPr>
                <w:b/>
                <w:bCs/>
                <w:sz w:val="16"/>
                <w:szCs w:val="16"/>
                <w:lang w:val="es-ES_tradnl"/>
              </w:rPr>
            </w:pPr>
            <w:r w:rsidRPr="009577DE">
              <w:rPr>
                <w:b/>
                <w:bCs/>
                <w:sz w:val="16"/>
                <w:szCs w:val="16"/>
                <w:lang w:val="es-ES_tradnl"/>
              </w:rPr>
              <w:t>RESULTADO:</w:t>
            </w:r>
            <w:r w:rsidRPr="009577DE">
              <w:rPr>
                <w:b/>
                <w:bCs/>
                <w:sz w:val="16"/>
                <w:szCs w:val="16"/>
                <w:lang w:val="es-ES_tradnl"/>
              </w:rPr>
              <w:tab/>
            </w:r>
            <w:r w:rsidRPr="009577DE">
              <w:rPr>
                <w:bCs/>
                <w:sz w:val="16"/>
                <w:szCs w:val="16"/>
                <w:lang w:val="es-ES_tradnl"/>
              </w:rPr>
              <w:t>Mejor comprensión/capacidad de las Pymes y las instituciones de apoyo a las Pymes para utilizar con eficacia la P.I. en aras de la innovación y la comercialización</w:t>
            </w:r>
          </w:p>
        </w:tc>
      </w:tr>
      <w:tr w:rsidR="00B070BF" w:rsidRPr="009577DE" w:rsidTr="00C33D4A">
        <w:trPr>
          <w:cantSplit/>
        </w:trPr>
        <w:tc>
          <w:tcPr>
            <w:tcW w:w="2010" w:type="dxa"/>
            <w:tcBorders>
              <w:top w:val="single" w:sz="4" w:space="0" w:color="auto"/>
              <w:left w:val="single" w:sz="4" w:space="0" w:color="auto"/>
              <w:bottom w:val="nil"/>
              <w:right w:val="nil"/>
            </w:tcBorders>
            <w:vAlign w:val="center"/>
          </w:tcPr>
          <w:p w:rsidR="00B070BF" w:rsidRPr="009577DE" w:rsidRDefault="00B070BF" w:rsidP="00C33D4A">
            <w:pPr>
              <w:keepNext/>
              <w:keepLines/>
              <w:rPr>
                <w:b/>
                <w:bCs/>
                <w:sz w:val="16"/>
                <w:szCs w:val="16"/>
                <w:lang w:val="es-ES_tradnl"/>
              </w:rPr>
            </w:pPr>
            <w:r w:rsidRPr="009577DE">
              <w:rPr>
                <w:b/>
                <w:bCs/>
                <w:sz w:val="16"/>
                <w:szCs w:val="16"/>
                <w:lang w:val="es-ES_tradnl"/>
              </w:rPr>
              <w:t>Actividad</w:t>
            </w:r>
          </w:p>
        </w:tc>
        <w:tc>
          <w:tcPr>
            <w:tcW w:w="1260" w:type="dxa"/>
            <w:tcBorders>
              <w:top w:val="single" w:sz="4" w:space="0" w:color="auto"/>
              <w:left w:val="nil"/>
              <w:bottom w:val="nil"/>
              <w:right w:val="nil"/>
            </w:tcBorders>
            <w:shd w:val="clear" w:color="auto" w:fill="auto"/>
            <w:tcMar>
              <w:top w:w="110" w:type="dxa"/>
            </w:tcMar>
            <w:vAlign w:val="center"/>
          </w:tcPr>
          <w:p w:rsidR="00B070BF" w:rsidRPr="009577DE" w:rsidRDefault="00B070BF" w:rsidP="00C33D4A">
            <w:pPr>
              <w:keepNext/>
              <w:keepLines/>
              <w:rPr>
                <w:sz w:val="16"/>
                <w:szCs w:val="16"/>
                <w:lang w:val="es-ES_tradnl"/>
              </w:rPr>
            </w:pPr>
            <w:r w:rsidRPr="009577DE">
              <w:rPr>
                <w:b/>
                <w:bCs/>
                <w:sz w:val="16"/>
                <w:szCs w:val="16"/>
                <w:lang w:val="es-ES_tradnl"/>
              </w:rPr>
              <w:t>Fecha</w:t>
            </w:r>
          </w:p>
        </w:tc>
        <w:tc>
          <w:tcPr>
            <w:tcW w:w="2572" w:type="dxa"/>
            <w:tcBorders>
              <w:top w:val="single" w:sz="4" w:space="0" w:color="auto"/>
              <w:left w:val="nil"/>
              <w:bottom w:val="nil"/>
              <w:right w:val="nil"/>
            </w:tcBorders>
            <w:shd w:val="clear" w:color="auto" w:fill="auto"/>
            <w:tcMar>
              <w:top w:w="110" w:type="dxa"/>
            </w:tcMar>
            <w:vAlign w:val="center"/>
          </w:tcPr>
          <w:p w:rsidR="00B070BF" w:rsidRPr="009577DE" w:rsidRDefault="00B070BF" w:rsidP="00C33D4A">
            <w:pPr>
              <w:keepNext/>
              <w:keepLines/>
              <w:rPr>
                <w:sz w:val="16"/>
                <w:szCs w:val="16"/>
                <w:lang w:val="es-ES_tradnl"/>
              </w:rPr>
            </w:pPr>
            <w:r w:rsidRPr="009577DE">
              <w:rPr>
                <w:b/>
                <w:bCs/>
                <w:sz w:val="16"/>
                <w:szCs w:val="16"/>
                <w:lang w:val="es-ES_tradnl"/>
              </w:rPr>
              <w:t>País anfitrión/Beneficiarios</w:t>
            </w:r>
          </w:p>
        </w:tc>
        <w:tc>
          <w:tcPr>
            <w:tcW w:w="3260" w:type="dxa"/>
            <w:tcBorders>
              <w:top w:val="single" w:sz="4" w:space="0" w:color="auto"/>
              <w:left w:val="nil"/>
              <w:bottom w:val="nil"/>
              <w:right w:val="single" w:sz="4" w:space="0" w:color="auto"/>
            </w:tcBorders>
            <w:shd w:val="clear" w:color="auto" w:fill="FFFFFF"/>
            <w:tcMar>
              <w:top w:w="110" w:type="dxa"/>
            </w:tcMar>
            <w:vAlign w:val="center"/>
          </w:tcPr>
          <w:p w:rsidR="00B070BF" w:rsidRPr="009577DE" w:rsidRDefault="00B070BF" w:rsidP="00C33D4A">
            <w:pPr>
              <w:keepNext/>
              <w:keepLines/>
              <w:rPr>
                <w:sz w:val="16"/>
                <w:szCs w:val="16"/>
                <w:lang w:val="es-ES_tradnl"/>
              </w:rPr>
            </w:pPr>
            <w:r w:rsidRPr="009577DE">
              <w:rPr>
                <w:b/>
                <w:bCs/>
                <w:sz w:val="16"/>
                <w:szCs w:val="16"/>
                <w:lang w:val="es-ES_tradnl"/>
              </w:rPr>
              <w:t>Propósito/Descripción</w:t>
            </w:r>
          </w:p>
        </w:tc>
      </w:tr>
      <w:tr w:rsidR="00B070BF" w:rsidRPr="009577DE" w:rsidTr="00C33D4A">
        <w:trPr>
          <w:cantSplit/>
        </w:trPr>
        <w:tc>
          <w:tcPr>
            <w:tcW w:w="2010" w:type="dxa"/>
            <w:tcBorders>
              <w:top w:val="nil"/>
              <w:left w:val="single" w:sz="4" w:space="0" w:color="auto"/>
              <w:bottom w:val="single" w:sz="4" w:space="0" w:color="auto"/>
              <w:right w:val="nil"/>
            </w:tcBorders>
          </w:tcPr>
          <w:p w:rsidR="00B070BF" w:rsidRPr="009577DE" w:rsidRDefault="00B070BF" w:rsidP="00C33D4A">
            <w:pPr>
              <w:autoSpaceDE w:val="0"/>
              <w:autoSpaceDN w:val="0"/>
              <w:adjustRightInd w:val="0"/>
              <w:spacing w:before="120" w:after="120"/>
              <w:rPr>
                <w:sz w:val="16"/>
                <w:szCs w:val="16"/>
                <w:lang w:val="es-ES_tradnl"/>
              </w:rPr>
            </w:pPr>
            <w:r w:rsidRPr="009577DE">
              <w:rPr>
                <w:sz w:val="16"/>
                <w:szCs w:val="16"/>
                <w:lang w:val="es-ES_tradnl"/>
              </w:rPr>
              <w:t>Proyecto de elaboración de una plataforma en español sobre servicios y contenidos de propiedad industrial, dirigida al sector empresarial de América Latina, centrándose en las pymes (CIBEPYME).</w:t>
            </w:r>
          </w:p>
        </w:tc>
        <w:tc>
          <w:tcPr>
            <w:tcW w:w="1260" w:type="dxa"/>
            <w:tcBorders>
              <w:top w:val="nil"/>
              <w:left w:val="nil"/>
              <w:bottom w:val="single" w:sz="4" w:space="0" w:color="auto"/>
              <w:right w:val="nil"/>
            </w:tcBorders>
          </w:tcPr>
          <w:p w:rsidR="00B070BF" w:rsidRPr="009577DE" w:rsidRDefault="00B070BF" w:rsidP="00C33D4A">
            <w:pPr>
              <w:autoSpaceDE w:val="0"/>
              <w:autoSpaceDN w:val="0"/>
              <w:adjustRightInd w:val="0"/>
              <w:spacing w:before="120" w:after="120"/>
              <w:rPr>
                <w:sz w:val="16"/>
                <w:szCs w:val="16"/>
                <w:lang w:val="es-ES_tradnl"/>
              </w:rPr>
            </w:pPr>
            <w:r w:rsidRPr="009577DE">
              <w:rPr>
                <w:sz w:val="16"/>
                <w:szCs w:val="16"/>
                <w:lang w:val="es-ES_tradnl"/>
              </w:rPr>
              <w:t>2012</w:t>
            </w:r>
          </w:p>
          <w:p w:rsidR="00B070BF" w:rsidRPr="009577DE" w:rsidRDefault="00B070BF" w:rsidP="00C33D4A">
            <w:pPr>
              <w:autoSpaceDE w:val="0"/>
              <w:autoSpaceDN w:val="0"/>
              <w:adjustRightInd w:val="0"/>
              <w:spacing w:before="120" w:after="120"/>
              <w:rPr>
                <w:sz w:val="16"/>
                <w:szCs w:val="16"/>
                <w:lang w:val="es-ES_tradnl"/>
              </w:rPr>
            </w:pPr>
            <w:r w:rsidRPr="009577DE">
              <w:rPr>
                <w:sz w:val="16"/>
                <w:szCs w:val="16"/>
                <w:lang w:val="es-ES_tradnl"/>
              </w:rPr>
              <w:t>(Proyecto en curso desde 2010)</w:t>
            </w:r>
          </w:p>
        </w:tc>
        <w:tc>
          <w:tcPr>
            <w:tcW w:w="2572" w:type="dxa"/>
            <w:tcBorders>
              <w:top w:val="nil"/>
              <w:left w:val="nil"/>
              <w:bottom w:val="single" w:sz="4" w:space="0" w:color="auto"/>
              <w:right w:val="nil"/>
            </w:tcBorders>
          </w:tcPr>
          <w:p w:rsidR="00B070BF" w:rsidRPr="009577DE" w:rsidRDefault="00B070BF" w:rsidP="00C33D4A">
            <w:pPr>
              <w:autoSpaceDE w:val="0"/>
              <w:autoSpaceDN w:val="0"/>
              <w:adjustRightInd w:val="0"/>
              <w:spacing w:before="120" w:after="120"/>
              <w:rPr>
                <w:sz w:val="16"/>
                <w:szCs w:val="16"/>
                <w:lang w:val="es-ES_tradnl"/>
              </w:rPr>
            </w:pPr>
            <w:r w:rsidRPr="009577DE">
              <w:rPr>
                <w:sz w:val="16"/>
                <w:szCs w:val="16"/>
                <w:lang w:val="es-ES_tradnl"/>
              </w:rPr>
              <w:t>Todos los países de América Latina</w:t>
            </w:r>
          </w:p>
        </w:tc>
        <w:tc>
          <w:tcPr>
            <w:tcW w:w="3260" w:type="dxa"/>
            <w:tcBorders>
              <w:top w:val="nil"/>
              <w:left w:val="nil"/>
              <w:bottom w:val="single" w:sz="4" w:space="0" w:color="auto"/>
              <w:right w:val="single" w:sz="4" w:space="0" w:color="auto"/>
            </w:tcBorders>
          </w:tcPr>
          <w:p w:rsidR="00B070BF" w:rsidRPr="009577DE" w:rsidRDefault="00B070BF" w:rsidP="00C33D4A">
            <w:pPr>
              <w:autoSpaceDE w:val="0"/>
              <w:autoSpaceDN w:val="0"/>
              <w:adjustRightInd w:val="0"/>
              <w:spacing w:before="120" w:after="120"/>
              <w:rPr>
                <w:sz w:val="16"/>
                <w:szCs w:val="16"/>
                <w:lang w:val="es-ES_tradnl"/>
              </w:rPr>
            </w:pPr>
            <w:r w:rsidRPr="009577DE">
              <w:rPr>
                <w:sz w:val="16"/>
                <w:szCs w:val="16"/>
                <w:lang w:val="es-ES_tradnl"/>
              </w:rPr>
              <w:t>Diseñar y crear una plataforma dirigida al sector privado para i) proporcionar asistencia y servicios sobre el uso de la P.I.;  ii) aumentar el valor de sus negocios;  y iii) ofrecer un foro para que el sector privado intercambie ideas y experiencias.</w:t>
            </w:r>
          </w:p>
        </w:tc>
      </w:tr>
      <w:tr w:rsidR="00B070BF" w:rsidRPr="009577DE" w:rsidTr="00C33D4A">
        <w:trPr>
          <w:cantSplit/>
        </w:trPr>
        <w:tc>
          <w:tcPr>
            <w:tcW w:w="9102" w:type="dxa"/>
            <w:gridSpan w:val="4"/>
            <w:tcBorders>
              <w:top w:val="single" w:sz="4" w:space="0" w:color="auto"/>
              <w:left w:val="single" w:sz="4" w:space="0" w:color="auto"/>
              <w:bottom w:val="single" w:sz="4" w:space="0" w:color="auto"/>
              <w:right w:val="single" w:sz="4" w:space="0" w:color="auto"/>
            </w:tcBorders>
            <w:shd w:val="clear" w:color="auto" w:fill="CCFFFF"/>
            <w:vAlign w:val="center"/>
          </w:tcPr>
          <w:p w:rsidR="00B070BF" w:rsidRPr="009577DE" w:rsidRDefault="00B070BF" w:rsidP="00C33D4A">
            <w:pPr>
              <w:keepNext/>
              <w:keepLines/>
              <w:tabs>
                <w:tab w:val="left" w:pos="1740"/>
              </w:tabs>
              <w:spacing w:before="120" w:after="120"/>
              <w:ind w:left="1740" w:hanging="1740"/>
              <w:rPr>
                <w:b/>
                <w:bCs/>
                <w:sz w:val="16"/>
                <w:szCs w:val="16"/>
                <w:lang w:val="es-ES_tradnl"/>
              </w:rPr>
            </w:pPr>
            <w:r w:rsidRPr="009577DE">
              <w:rPr>
                <w:b/>
                <w:bCs/>
                <w:sz w:val="16"/>
                <w:szCs w:val="16"/>
                <w:lang w:val="es-ES_tradnl"/>
              </w:rPr>
              <w:lastRenderedPageBreak/>
              <w:t>RESULTADO:</w:t>
            </w:r>
            <w:r w:rsidRPr="009577DE">
              <w:rPr>
                <w:b/>
                <w:bCs/>
                <w:sz w:val="16"/>
                <w:szCs w:val="16"/>
                <w:lang w:val="es-ES_tradnl"/>
              </w:rPr>
              <w:tab/>
            </w:r>
            <w:r w:rsidRPr="009577DE">
              <w:rPr>
                <w:bCs/>
                <w:sz w:val="16"/>
                <w:szCs w:val="16"/>
                <w:lang w:val="es-ES_tradnl"/>
              </w:rPr>
              <w:t>Perfeccionamiento del sistema PCT en su conjunto y utilización estratégica del PCT, con conocimiento de causa, por todos los innovadores que puedan aprovecharlo</w:t>
            </w:r>
          </w:p>
        </w:tc>
      </w:tr>
      <w:tr w:rsidR="00B070BF" w:rsidRPr="009577DE" w:rsidTr="00C33D4A">
        <w:trPr>
          <w:cantSplit/>
        </w:trPr>
        <w:tc>
          <w:tcPr>
            <w:tcW w:w="2010" w:type="dxa"/>
            <w:tcBorders>
              <w:top w:val="single" w:sz="4" w:space="0" w:color="auto"/>
              <w:left w:val="single" w:sz="4" w:space="0" w:color="auto"/>
              <w:bottom w:val="nil"/>
              <w:right w:val="nil"/>
            </w:tcBorders>
            <w:vAlign w:val="center"/>
          </w:tcPr>
          <w:p w:rsidR="00B070BF" w:rsidRPr="009577DE" w:rsidRDefault="00B070BF" w:rsidP="00C33D4A">
            <w:pPr>
              <w:keepNext/>
              <w:keepLines/>
              <w:rPr>
                <w:b/>
                <w:bCs/>
                <w:sz w:val="16"/>
                <w:szCs w:val="16"/>
                <w:lang w:val="es-ES_tradnl"/>
              </w:rPr>
            </w:pPr>
            <w:r w:rsidRPr="009577DE">
              <w:rPr>
                <w:b/>
                <w:bCs/>
                <w:sz w:val="16"/>
                <w:szCs w:val="16"/>
                <w:lang w:val="es-ES_tradnl"/>
              </w:rPr>
              <w:t>Actividad</w:t>
            </w:r>
          </w:p>
        </w:tc>
        <w:tc>
          <w:tcPr>
            <w:tcW w:w="1260" w:type="dxa"/>
            <w:tcBorders>
              <w:top w:val="single" w:sz="4" w:space="0" w:color="auto"/>
              <w:left w:val="nil"/>
              <w:bottom w:val="nil"/>
              <w:right w:val="nil"/>
            </w:tcBorders>
            <w:shd w:val="clear" w:color="auto" w:fill="auto"/>
            <w:tcMar>
              <w:top w:w="110" w:type="dxa"/>
            </w:tcMar>
            <w:vAlign w:val="center"/>
          </w:tcPr>
          <w:p w:rsidR="00B070BF" w:rsidRPr="009577DE" w:rsidRDefault="00B070BF" w:rsidP="00C33D4A">
            <w:pPr>
              <w:keepNext/>
              <w:keepLines/>
              <w:rPr>
                <w:sz w:val="16"/>
                <w:szCs w:val="16"/>
                <w:lang w:val="es-ES_tradnl"/>
              </w:rPr>
            </w:pPr>
            <w:r w:rsidRPr="009577DE">
              <w:rPr>
                <w:b/>
                <w:bCs/>
                <w:sz w:val="16"/>
                <w:szCs w:val="16"/>
                <w:lang w:val="es-ES_tradnl"/>
              </w:rPr>
              <w:t>Fecha</w:t>
            </w:r>
          </w:p>
        </w:tc>
        <w:tc>
          <w:tcPr>
            <w:tcW w:w="2572" w:type="dxa"/>
            <w:tcBorders>
              <w:top w:val="single" w:sz="4" w:space="0" w:color="auto"/>
              <w:left w:val="nil"/>
              <w:bottom w:val="nil"/>
              <w:right w:val="nil"/>
            </w:tcBorders>
            <w:shd w:val="clear" w:color="auto" w:fill="auto"/>
            <w:tcMar>
              <w:top w:w="110" w:type="dxa"/>
            </w:tcMar>
            <w:vAlign w:val="center"/>
          </w:tcPr>
          <w:p w:rsidR="00B070BF" w:rsidRPr="009577DE" w:rsidRDefault="00B070BF" w:rsidP="00C33D4A">
            <w:pPr>
              <w:keepNext/>
              <w:keepLines/>
              <w:rPr>
                <w:sz w:val="16"/>
                <w:szCs w:val="16"/>
                <w:lang w:val="es-ES_tradnl"/>
              </w:rPr>
            </w:pPr>
            <w:r w:rsidRPr="009577DE">
              <w:rPr>
                <w:b/>
                <w:bCs/>
                <w:sz w:val="16"/>
                <w:szCs w:val="16"/>
                <w:lang w:val="es-ES_tradnl"/>
              </w:rPr>
              <w:t>País anfitrión/Beneficiarios</w:t>
            </w:r>
          </w:p>
        </w:tc>
        <w:tc>
          <w:tcPr>
            <w:tcW w:w="3260" w:type="dxa"/>
            <w:tcBorders>
              <w:top w:val="single" w:sz="4" w:space="0" w:color="auto"/>
              <w:left w:val="nil"/>
              <w:bottom w:val="nil"/>
              <w:right w:val="single" w:sz="4" w:space="0" w:color="auto"/>
            </w:tcBorders>
            <w:shd w:val="clear" w:color="auto" w:fill="FFFFFF"/>
            <w:tcMar>
              <w:top w:w="110" w:type="dxa"/>
            </w:tcMar>
            <w:vAlign w:val="center"/>
          </w:tcPr>
          <w:p w:rsidR="00B070BF" w:rsidRPr="009577DE" w:rsidRDefault="00B070BF" w:rsidP="00C33D4A">
            <w:pPr>
              <w:keepNext/>
              <w:keepLines/>
              <w:rPr>
                <w:sz w:val="16"/>
                <w:szCs w:val="16"/>
                <w:lang w:val="es-ES_tradnl"/>
              </w:rPr>
            </w:pPr>
            <w:r w:rsidRPr="009577DE">
              <w:rPr>
                <w:b/>
                <w:bCs/>
                <w:sz w:val="16"/>
                <w:szCs w:val="16"/>
                <w:lang w:val="es-ES_tradnl"/>
              </w:rPr>
              <w:t>Propósito/Descripción</w:t>
            </w:r>
          </w:p>
        </w:tc>
      </w:tr>
      <w:tr w:rsidR="00B070BF" w:rsidRPr="009577DE" w:rsidTr="00C33D4A">
        <w:trPr>
          <w:cantSplit/>
        </w:trPr>
        <w:tc>
          <w:tcPr>
            <w:tcW w:w="2010" w:type="dxa"/>
            <w:tcBorders>
              <w:top w:val="nil"/>
              <w:left w:val="single" w:sz="4" w:space="0" w:color="auto"/>
              <w:bottom w:val="single" w:sz="4" w:space="0" w:color="auto"/>
              <w:right w:val="nil"/>
            </w:tcBorders>
          </w:tcPr>
          <w:p w:rsidR="00B070BF" w:rsidRPr="009577DE" w:rsidRDefault="00B070BF" w:rsidP="00C33D4A">
            <w:pPr>
              <w:autoSpaceDE w:val="0"/>
              <w:autoSpaceDN w:val="0"/>
              <w:adjustRightInd w:val="0"/>
              <w:spacing w:before="120" w:after="120"/>
              <w:rPr>
                <w:sz w:val="16"/>
                <w:szCs w:val="16"/>
                <w:lang w:val="es-ES_tradnl"/>
              </w:rPr>
            </w:pPr>
            <w:r w:rsidRPr="009577DE">
              <w:rPr>
                <w:sz w:val="16"/>
                <w:szCs w:val="16"/>
                <w:lang w:val="es-ES_tradnl"/>
              </w:rPr>
              <w:t>14º Seminario regional sobre el PCT dirigido a los países de América Latina:  el PCT en el marco de la organización institucional de la gestión de la P.I.;  en la capital de Panamá.</w:t>
            </w:r>
          </w:p>
        </w:tc>
        <w:tc>
          <w:tcPr>
            <w:tcW w:w="1260" w:type="dxa"/>
            <w:tcBorders>
              <w:top w:val="nil"/>
              <w:left w:val="nil"/>
              <w:bottom w:val="single" w:sz="4" w:space="0" w:color="auto"/>
              <w:right w:val="nil"/>
            </w:tcBorders>
          </w:tcPr>
          <w:p w:rsidR="00B070BF" w:rsidRPr="009577DE" w:rsidRDefault="00B070BF" w:rsidP="00C33D4A">
            <w:pPr>
              <w:autoSpaceDE w:val="0"/>
              <w:autoSpaceDN w:val="0"/>
              <w:adjustRightInd w:val="0"/>
              <w:spacing w:before="120" w:after="120"/>
              <w:rPr>
                <w:sz w:val="16"/>
                <w:szCs w:val="16"/>
                <w:lang w:val="es-ES_tradnl"/>
              </w:rPr>
            </w:pPr>
            <w:r w:rsidRPr="009577DE">
              <w:rPr>
                <w:sz w:val="16"/>
                <w:szCs w:val="16"/>
                <w:lang w:val="es-ES_tradnl"/>
              </w:rPr>
              <w:t>12 a 14 de junio de 2012</w:t>
            </w:r>
          </w:p>
        </w:tc>
        <w:tc>
          <w:tcPr>
            <w:tcW w:w="2572" w:type="dxa"/>
            <w:tcBorders>
              <w:top w:val="nil"/>
              <w:left w:val="nil"/>
              <w:bottom w:val="single" w:sz="4" w:space="0" w:color="auto"/>
              <w:right w:val="nil"/>
            </w:tcBorders>
          </w:tcPr>
          <w:p w:rsidR="00B070BF" w:rsidRPr="009577DE" w:rsidRDefault="00B070BF" w:rsidP="00C33D4A">
            <w:pPr>
              <w:autoSpaceDE w:val="0"/>
              <w:autoSpaceDN w:val="0"/>
              <w:adjustRightInd w:val="0"/>
              <w:spacing w:before="120" w:after="120"/>
              <w:rPr>
                <w:sz w:val="16"/>
                <w:szCs w:val="16"/>
                <w:lang w:val="es-ES_tradnl"/>
              </w:rPr>
            </w:pPr>
            <w:r w:rsidRPr="009577DE">
              <w:rPr>
                <w:sz w:val="16"/>
                <w:szCs w:val="16"/>
                <w:lang w:val="es-ES_tradnl"/>
              </w:rPr>
              <w:t>República Dominicana/Todos los países de América Latina</w:t>
            </w:r>
          </w:p>
        </w:tc>
        <w:tc>
          <w:tcPr>
            <w:tcW w:w="3260" w:type="dxa"/>
            <w:tcBorders>
              <w:top w:val="nil"/>
              <w:left w:val="nil"/>
              <w:bottom w:val="single" w:sz="4" w:space="0" w:color="auto"/>
              <w:right w:val="single" w:sz="4" w:space="0" w:color="auto"/>
            </w:tcBorders>
          </w:tcPr>
          <w:p w:rsidR="00B070BF" w:rsidRPr="009577DE" w:rsidRDefault="00B070BF" w:rsidP="00C33D4A">
            <w:pPr>
              <w:autoSpaceDE w:val="0"/>
              <w:autoSpaceDN w:val="0"/>
              <w:adjustRightInd w:val="0"/>
              <w:spacing w:before="120" w:after="120"/>
              <w:rPr>
                <w:sz w:val="16"/>
                <w:szCs w:val="16"/>
                <w:lang w:val="es-ES_tradnl"/>
              </w:rPr>
            </w:pPr>
            <w:r w:rsidRPr="009577DE">
              <w:rPr>
                <w:sz w:val="16"/>
                <w:szCs w:val="16"/>
                <w:lang w:val="es-ES_tradnl"/>
              </w:rPr>
              <w:t>Celebrada tradicionalmente cada año con la cooperación de la Oficina Española de Patentes y Marcas (OEPM), su objetivo es promover el debate sobre el PCT en la región y propiciar el intercambio de ideas y experiencias sobre la aplicación del PCT.</w:t>
            </w:r>
          </w:p>
        </w:tc>
      </w:tr>
      <w:tr w:rsidR="00B070BF" w:rsidRPr="009577DE" w:rsidTr="00C33D4A">
        <w:trPr>
          <w:cantSplit/>
        </w:trPr>
        <w:tc>
          <w:tcPr>
            <w:tcW w:w="9102" w:type="dxa"/>
            <w:gridSpan w:val="4"/>
            <w:tcBorders>
              <w:top w:val="single" w:sz="4" w:space="0" w:color="auto"/>
              <w:left w:val="single" w:sz="4" w:space="0" w:color="auto"/>
              <w:bottom w:val="single" w:sz="4" w:space="0" w:color="auto"/>
              <w:right w:val="single" w:sz="4" w:space="0" w:color="auto"/>
            </w:tcBorders>
            <w:shd w:val="clear" w:color="auto" w:fill="CCFFFF"/>
            <w:vAlign w:val="center"/>
          </w:tcPr>
          <w:p w:rsidR="00B070BF" w:rsidRPr="009577DE" w:rsidRDefault="00B070BF" w:rsidP="00C33D4A">
            <w:pPr>
              <w:keepNext/>
              <w:keepLines/>
              <w:tabs>
                <w:tab w:val="left" w:pos="1740"/>
              </w:tabs>
              <w:spacing w:before="120" w:after="120"/>
              <w:ind w:left="1740" w:hanging="1740"/>
              <w:rPr>
                <w:b/>
                <w:bCs/>
                <w:sz w:val="16"/>
                <w:szCs w:val="16"/>
                <w:lang w:val="es-ES_tradnl"/>
              </w:rPr>
            </w:pPr>
            <w:r w:rsidRPr="009577DE">
              <w:rPr>
                <w:b/>
                <w:bCs/>
                <w:sz w:val="16"/>
                <w:szCs w:val="16"/>
                <w:lang w:val="es-ES_tradnl"/>
              </w:rPr>
              <w:t>RESULTADO:</w:t>
            </w:r>
            <w:r w:rsidRPr="009577DE">
              <w:rPr>
                <w:bCs/>
                <w:sz w:val="16"/>
                <w:szCs w:val="16"/>
                <w:lang w:val="es-ES_tradnl"/>
              </w:rPr>
              <w:tab/>
              <w:t>Sistema actualizado y aceptado mundialmente de clasificaciones internacionales y normas técnicas de la OMPI para facilitar el acceso, el uso y la difusión de información de P.I. entre los sectores interesados de todo el mundo.</w:t>
            </w:r>
          </w:p>
        </w:tc>
      </w:tr>
      <w:tr w:rsidR="00B070BF" w:rsidRPr="009577DE" w:rsidTr="00C33D4A">
        <w:trPr>
          <w:cantSplit/>
        </w:trPr>
        <w:tc>
          <w:tcPr>
            <w:tcW w:w="2010" w:type="dxa"/>
            <w:tcBorders>
              <w:top w:val="single" w:sz="4" w:space="0" w:color="auto"/>
              <w:left w:val="single" w:sz="4" w:space="0" w:color="auto"/>
              <w:bottom w:val="nil"/>
              <w:right w:val="nil"/>
            </w:tcBorders>
            <w:vAlign w:val="center"/>
          </w:tcPr>
          <w:p w:rsidR="00B070BF" w:rsidRPr="009577DE" w:rsidRDefault="00B070BF" w:rsidP="00C33D4A">
            <w:pPr>
              <w:keepNext/>
              <w:keepLines/>
              <w:rPr>
                <w:b/>
                <w:bCs/>
                <w:sz w:val="16"/>
                <w:szCs w:val="16"/>
                <w:lang w:val="es-ES_tradnl"/>
              </w:rPr>
            </w:pPr>
            <w:r w:rsidRPr="009577DE">
              <w:rPr>
                <w:b/>
                <w:bCs/>
                <w:sz w:val="16"/>
                <w:szCs w:val="16"/>
                <w:lang w:val="es-ES_tradnl"/>
              </w:rPr>
              <w:t>Actividad</w:t>
            </w:r>
          </w:p>
        </w:tc>
        <w:tc>
          <w:tcPr>
            <w:tcW w:w="1260" w:type="dxa"/>
            <w:tcBorders>
              <w:top w:val="single" w:sz="4" w:space="0" w:color="auto"/>
              <w:left w:val="nil"/>
              <w:bottom w:val="nil"/>
              <w:right w:val="nil"/>
            </w:tcBorders>
            <w:shd w:val="clear" w:color="auto" w:fill="auto"/>
            <w:tcMar>
              <w:top w:w="110" w:type="dxa"/>
            </w:tcMar>
            <w:vAlign w:val="center"/>
          </w:tcPr>
          <w:p w:rsidR="00B070BF" w:rsidRPr="009577DE" w:rsidRDefault="00B070BF" w:rsidP="00C33D4A">
            <w:pPr>
              <w:keepNext/>
              <w:keepLines/>
              <w:rPr>
                <w:sz w:val="16"/>
                <w:szCs w:val="16"/>
                <w:lang w:val="es-ES_tradnl"/>
              </w:rPr>
            </w:pPr>
            <w:r w:rsidRPr="009577DE">
              <w:rPr>
                <w:b/>
                <w:bCs/>
                <w:sz w:val="16"/>
                <w:szCs w:val="16"/>
                <w:lang w:val="es-ES_tradnl"/>
              </w:rPr>
              <w:t>Fecha</w:t>
            </w:r>
          </w:p>
        </w:tc>
        <w:tc>
          <w:tcPr>
            <w:tcW w:w="2572" w:type="dxa"/>
            <w:tcBorders>
              <w:top w:val="single" w:sz="4" w:space="0" w:color="auto"/>
              <w:left w:val="nil"/>
              <w:bottom w:val="nil"/>
              <w:right w:val="nil"/>
            </w:tcBorders>
            <w:shd w:val="clear" w:color="auto" w:fill="auto"/>
            <w:tcMar>
              <w:top w:w="110" w:type="dxa"/>
            </w:tcMar>
            <w:vAlign w:val="center"/>
          </w:tcPr>
          <w:p w:rsidR="00B070BF" w:rsidRPr="009577DE" w:rsidRDefault="00B070BF" w:rsidP="00C33D4A">
            <w:pPr>
              <w:keepNext/>
              <w:keepLines/>
              <w:rPr>
                <w:sz w:val="16"/>
                <w:szCs w:val="16"/>
                <w:lang w:val="es-ES_tradnl"/>
              </w:rPr>
            </w:pPr>
            <w:r w:rsidRPr="009577DE">
              <w:rPr>
                <w:b/>
                <w:bCs/>
                <w:sz w:val="16"/>
                <w:szCs w:val="16"/>
                <w:lang w:val="es-ES_tradnl"/>
              </w:rPr>
              <w:t>País anfitrión/Beneficiarios</w:t>
            </w:r>
          </w:p>
        </w:tc>
        <w:tc>
          <w:tcPr>
            <w:tcW w:w="3260" w:type="dxa"/>
            <w:tcBorders>
              <w:top w:val="single" w:sz="4" w:space="0" w:color="auto"/>
              <w:left w:val="nil"/>
              <w:bottom w:val="nil"/>
              <w:right w:val="single" w:sz="4" w:space="0" w:color="auto"/>
            </w:tcBorders>
            <w:shd w:val="clear" w:color="auto" w:fill="FFFFFF"/>
            <w:tcMar>
              <w:top w:w="110" w:type="dxa"/>
            </w:tcMar>
            <w:vAlign w:val="center"/>
          </w:tcPr>
          <w:p w:rsidR="00B070BF" w:rsidRPr="009577DE" w:rsidRDefault="00B070BF" w:rsidP="00C33D4A">
            <w:pPr>
              <w:keepNext/>
              <w:keepLines/>
              <w:rPr>
                <w:sz w:val="16"/>
                <w:szCs w:val="16"/>
                <w:lang w:val="es-ES_tradnl"/>
              </w:rPr>
            </w:pPr>
            <w:r w:rsidRPr="009577DE">
              <w:rPr>
                <w:b/>
                <w:bCs/>
                <w:sz w:val="16"/>
                <w:szCs w:val="16"/>
                <w:lang w:val="es-ES_tradnl"/>
              </w:rPr>
              <w:t>Propósito/Descripción</w:t>
            </w:r>
          </w:p>
        </w:tc>
      </w:tr>
      <w:tr w:rsidR="00B070BF" w:rsidRPr="009577DE" w:rsidTr="00C33D4A">
        <w:trPr>
          <w:cantSplit/>
        </w:trPr>
        <w:tc>
          <w:tcPr>
            <w:tcW w:w="2010" w:type="dxa"/>
            <w:tcBorders>
              <w:top w:val="nil"/>
              <w:left w:val="single" w:sz="4" w:space="0" w:color="auto"/>
              <w:bottom w:val="single" w:sz="4" w:space="0" w:color="auto"/>
              <w:right w:val="nil"/>
            </w:tcBorders>
          </w:tcPr>
          <w:p w:rsidR="00B070BF" w:rsidRPr="009577DE" w:rsidRDefault="00B070BF" w:rsidP="00C33D4A">
            <w:pPr>
              <w:autoSpaceDE w:val="0"/>
              <w:autoSpaceDN w:val="0"/>
              <w:adjustRightInd w:val="0"/>
              <w:spacing w:before="120" w:after="120"/>
              <w:rPr>
                <w:sz w:val="16"/>
                <w:szCs w:val="16"/>
                <w:lang w:val="es-ES_tradnl"/>
              </w:rPr>
            </w:pPr>
            <w:r w:rsidRPr="009577DE">
              <w:rPr>
                <w:sz w:val="16"/>
                <w:szCs w:val="16"/>
                <w:lang w:val="es-ES_tradnl"/>
              </w:rPr>
              <w:t>Proyecto regional de automatización para la traducción al español del nivel avanzado de la Clasificación Internacional de Patentes (CIP).</w:t>
            </w:r>
          </w:p>
        </w:tc>
        <w:tc>
          <w:tcPr>
            <w:tcW w:w="1260" w:type="dxa"/>
            <w:tcBorders>
              <w:top w:val="nil"/>
              <w:left w:val="nil"/>
              <w:bottom w:val="single" w:sz="4" w:space="0" w:color="auto"/>
              <w:right w:val="nil"/>
            </w:tcBorders>
          </w:tcPr>
          <w:p w:rsidR="00B070BF" w:rsidRPr="009577DE" w:rsidRDefault="00B070BF" w:rsidP="00C33D4A">
            <w:pPr>
              <w:autoSpaceDE w:val="0"/>
              <w:autoSpaceDN w:val="0"/>
              <w:adjustRightInd w:val="0"/>
              <w:spacing w:before="120" w:after="120"/>
              <w:rPr>
                <w:sz w:val="16"/>
                <w:szCs w:val="16"/>
                <w:lang w:val="es-ES_tradnl"/>
              </w:rPr>
            </w:pPr>
            <w:r w:rsidRPr="009577DE">
              <w:rPr>
                <w:sz w:val="16"/>
                <w:szCs w:val="16"/>
                <w:lang w:val="es-ES_tradnl"/>
              </w:rPr>
              <w:t>2012</w:t>
            </w:r>
          </w:p>
          <w:p w:rsidR="00B070BF" w:rsidRPr="009577DE" w:rsidRDefault="00B070BF" w:rsidP="00C33D4A">
            <w:pPr>
              <w:autoSpaceDE w:val="0"/>
              <w:autoSpaceDN w:val="0"/>
              <w:adjustRightInd w:val="0"/>
              <w:spacing w:before="120" w:after="120"/>
              <w:rPr>
                <w:sz w:val="16"/>
                <w:szCs w:val="16"/>
                <w:lang w:val="es-ES_tradnl"/>
              </w:rPr>
            </w:pPr>
            <w:r w:rsidRPr="009577DE">
              <w:rPr>
                <w:sz w:val="16"/>
                <w:szCs w:val="16"/>
                <w:lang w:val="es-ES_tradnl"/>
              </w:rPr>
              <w:t>(Proyecto en curso desde 2010)</w:t>
            </w:r>
          </w:p>
        </w:tc>
        <w:tc>
          <w:tcPr>
            <w:tcW w:w="2572" w:type="dxa"/>
            <w:tcBorders>
              <w:top w:val="nil"/>
              <w:left w:val="nil"/>
              <w:bottom w:val="single" w:sz="4" w:space="0" w:color="auto"/>
              <w:right w:val="nil"/>
            </w:tcBorders>
          </w:tcPr>
          <w:p w:rsidR="00B070BF" w:rsidRPr="009577DE" w:rsidRDefault="00B070BF" w:rsidP="00C33D4A">
            <w:pPr>
              <w:autoSpaceDE w:val="0"/>
              <w:autoSpaceDN w:val="0"/>
              <w:adjustRightInd w:val="0"/>
              <w:spacing w:before="120" w:after="120"/>
              <w:rPr>
                <w:sz w:val="16"/>
                <w:szCs w:val="16"/>
                <w:lang w:val="es-ES_tradnl"/>
              </w:rPr>
            </w:pPr>
            <w:r w:rsidRPr="009577DE">
              <w:rPr>
                <w:sz w:val="16"/>
                <w:szCs w:val="16"/>
                <w:lang w:val="es-ES_tradnl"/>
              </w:rPr>
              <w:t>Todos los países de América Latina</w:t>
            </w:r>
          </w:p>
        </w:tc>
        <w:tc>
          <w:tcPr>
            <w:tcW w:w="3260" w:type="dxa"/>
            <w:tcBorders>
              <w:top w:val="nil"/>
              <w:left w:val="nil"/>
              <w:bottom w:val="single" w:sz="4" w:space="0" w:color="auto"/>
              <w:right w:val="single" w:sz="4" w:space="0" w:color="auto"/>
            </w:tcBorders>
          </w:tcPr>
          <w:p w:rsidR="00B070BF" w:rsidRPr="009577DE" w:rsidRDefault="00B070BF" w:rsidP="00C33D4A">
            <w:pPr>
              <w:autoSpaceDE w:val="0"/>
              <w:autoSpaceDN w:val="0"/>
              <w:adjustRightInd w:val="0"/>
              <w:spacing w:before="120" w:after="120"/>
              <w:rPr>
                <w:sz w:val="16"/>
                <w:szCs w:val="16"/>
                <w:lang w:val="es-ES_tradnl"/>
              </w:rPr>
            </w:pPr>
            <w:r w:rsidRPr="009577DE">
              <w:rPr>
                <w:sz w:val="16"/>
                <w:szCs w:val="16"/>
                <w:lang w:val="es-ES_tradnl"/>
              </w:rPr>
              <w:t>i) Instrumentar la automatización de la traducción al español del nivel avanzado de la CIP, puesto que se encargó inicialmente solo en francés e inglés;  y ii) ponerla a disposición de las oficinas de propiedad industrial de los países de América Latina.</w:t>
            </w:r>
          </w:p>
        </w:tc>
      </w:tr>
      <w:tr w:rsidR="00B070BF" w:rsidRPr="009577DE" w:rsidTr="00C33D4A">
        <w:trPr>
          <w:cantSplit/>
        </w:trPr>
        <w:tc>
          <w:tcPr>
            <w:tcW w:w="9102" w:type="dxa"/>
            <w:gridSpan w:val="4"/>
            <w:tcBorders>
              <w:top w:val="single" w:sz="4" w:space="0" w:color="auto"/>
              <w:left w:val="single" w:sz="4" w:space="0" w:color="auto"/>
              <w:bottom w:val="single" w:sz="4" w:space="0" w:color="auto"/>
              <w:right w:val="single" w:sz="4" w:space="0" w:color="auto"/>
            </w:tcBorders>
            <w:shd w:val="clear" w:color="auto" w:fill="CCFFFF"/>
            <w:vAlign w:val="center"/>
          </w:tcPr>
          <w:p w:rsidR="00B070BF" w:rsidRPr="009577DE" w:rsidRDefault="00B070BF" w:rsidP="00C33D4A">
            <w:pPr>
              <w:keepNext/>
              <w:keepLines/>
              <w:tabs>
                <w:tab w:val="left" w:pos="1740"/>
              </w:tabs>
              <w:spacing w:before="120" w:after="120"/>
              <w:ind w:left="1740" w:hanging="1740"/>
              <w:rPr>
                <w:b/>
                <w:bCs/>
                <w:sz w:val="16"/>
                <w:szCs w:val="16"/>
                <w:lang w:val="es-ES_tradnl"/>
              </w:rPr>
            </w:pPr>
            <w:r w:rsidRPr="009577DE">
              <w:rPr>
                <w:b/>
                <w:bCs/>
                <w:sz w:val="16"/>
                <w:szCs w:val="16"/>
                <w:lang w:val="es-ES_tradnl"/>
              </w:rPr>
              <w:t>RESULTADO:</w:t>
            </w:r>
            <w:r w:rsidRPr="009577DE">
              <w:rPr>
                <w:bCs/>
                <w:sz w:val="16"/>
                <w:szCs w:val="16"/>
                <w:lang w:val="es-ES_tradnl"/>
              </w:rPr>
              <w:tab/>
              <w:t>Mejora en el acceso a la información y los conocimientos sobre P.I. y su utilización por las instituciones de P.I. y el público, para fomentar la innovación y aumentar el acceso a las obras que son fruto de la creatividad, tanto las que están protegidas como las que se encuentran en el dominio público.</w:t>
            </w:r>
          </w:p>
        </w:tc>
      </w:tr>
      <w:tr w:rsidR="00B070BF" w:rsidRPr="009577DE" w:rsidTr="00C33D4A">
        <w:trPr>
          <w:cantSplit/>
        </w:trPr>
        <w:tc>
          <w:tcPr>
            <w:tcW w:w="2010" w:type="dxa"/>
            <w:tcBorders>
              <w:top w:val="single" w:sz="4" w:space="0" w:color="auto"/>
              <w:left w:val="single" w:sz="4" w:space="0" w:color="auto"/>
              <w:bottom w:val="nil"/>
              <w:right w:val="nil"/>
            </w:tcBorders>
            <w:vAlign w:val="center"/>
          </w:tcPr>
          <w:p w:rsidR="00B070BF" w:rsidRPr="009577DE" w:rsidRDefault="00B070BF" w:rsidP="00C33D4A">
            <w:pPr>
              <w:keepNext/>
              <w:keepLines/>
              <w:rPr>
                <w:b/>
                <w:bCs/>
                <w:sz w:val="16"/>
                <w:szCs w:val="16"/>
                <w:lang w:val="es-ES_tradnl"/>
              </w:rPr>
            </w:pPr>
            <w:r w:rsidRPr="009577DE">
              <w:rPr>
                <w:b/>
                <w:bCs/>
                <w:sz w:val="16"/>
                <w:szCs w:val="16"/>
                <w:lang w:val="es-ES_tradnl"/>
              </w:rPr>
              <w:t>Actividad</w:t>
            </w:r>
          </w:p>
        </w:tc>
        <w:tc>
          <w:tcPr>
            <w:tcW w:w="1260" w:type="dxa"/>
            <w:tcBorders>
              <w:top w:val="single" w:sz="4" w:space="0" w:color="auto"/>
              <w:left w:val="nil"/>
              <w:bottom w:val="nil"/>
              <w:right w:val="nil"/>
            </w:tcBorders>
            <w:shd w:val="clear" w:color="auto" w:fill="auto"/>
            <w:tcMar>
              <w:top w:w="110" w:type="dxa"/>
            </w:tcMar>
            <w:vAlign w:val="center"/>
          </w:tcPr>
          <w:p w:rsidR="00B070BF" w:rsidRPr="009577DE" w:rsidRDefault="00B070BF" w:rsidP="00C33D4A">
            <w:pPr>
              <w:keepNext/>
              <w:keepLines/>
              <w:rPr>
                <w:sz w:val="16"/>
                <w:szCs w:val="16"/>
                <w:lang w:val="es-ES_tradnl"/>
              </w:rPr>
            </w:pPr>
            <w:r w:rsidRPr="009577DE">
              <w:rPr>
                <w:b/>
                <w:bCs/>
                <w:sz w:val="16"/>
                <w:szCs w:val="16"/>
                <w:lang w:val="es-ES_tradnl"/>
              </w:rPr>
              <w:t>Fecha</w:t>
            </w:r>
          </w:p>
        </w:tc>
        <w:tc>
          <w:tcPr>
            <w:tcW w:w="2572" w:type="dxa"/>
            <w:tcBorders>
              <w:top w:val="single" w:sz="4" w:space="0" w:color="auto"/>
              <w:left w:val="nil"/>
              <w:bottom w:val="nil"/>
              <w:right w:val="nil"/>
            </w:tcBorders>
            <w:shd w:val="clear" w:color="auto" w:fill="auto"/>
            <w:tcMar>
              <w:top w:w="110" w:type="dxa"/>
            </w:tcMar>
            <w:vAlign w:val="center"/>
          </w:tcPr>
          <w:p w:rsidR="00B070BF" w:rsidRPr="009577DE" w:rsidRDefault="00B070BF" w:rsidP="00C33D4A">
            <w:pPr>
              <w:keepNext/>
              <w:keepLines/>
              <w:rPr>
                <w:sz w:val="16"/>
                <w:szCs w:val="16"/>
                <w:lang w:val="es-ES_tradnl"/>
              </w:rPr>
            </w:pPr>
            <w:r w:rsidRPr="009577DE">
              <w:rPr>
                <w:b/>
                <w:bCs/>
                <w:sz w:val="16"/>
                <w:szCs w:val="16"/>
                <w:lang w:val="es-ES_tradnl"/>
              </w:rPr>
              <w:t>País anfitrión/Beneficiarios</w:t>
            </w:r>
          </w:p>
        </w:tc>
        <w:tc>
          <w:tcPr>
            <w:tcW w:w="3260" w:type="dxa"/>
            <w:tcBorders>
              <w:top w:val="single" w:sz="4" w:space="0" w:color="auto"/>
              <w:left w:val="nil"/>
              <w:bottom w:val="nil"/>
              <w:right w:val="single" w:sz="4" w:space="0" w:color="auto"/>
            </w:tcBorders>
            <w:shd w:val="clear" w:color="auto" w:fill="FFFFFF"/>
            <w:tcMar>
              <w:top w:w="110" w:type="dxa"/>
            </w:tcMar>
            <w:vAlign w:val="center"/>
          </w:tcPr>
          <w:p w:rsidR="00B070BF" w:rsidRPr="009577DE" w:rsidRDefault="00B070BF" w:rsidP="00C33D4A">
            <w:pPr>
              <w:keepNext/>
              <w:keepLines/>
              <w:rPr>
                <w:sz w:val="16"/>
                <w:szCs w:val="16"/>
                <w:lang w:val="es-ES_tradnl"/>
              </w:rPr>
            </w:pPr>
            <w:r w:rsidRPr="009577DE">
              <w:rPr>
                <w:b/>
                <w:bCs/>
                <w:sz w:val="16"/>
                <w:szCs w:val="16"/>
                <w:lang w:val="es-ES_tradnl"/>
              </w:rPr>
              <w:t>Propósito/Descripción</w:t>
            </w:r>
          </w:p>
        </w:tc>
      </w:tr>
      <w:tr w:rsidR="00B070BF" w:rsidRPr="009577DE" w:rsidTr="00C33D4A">
        <w:trPr>
          <w:cantSplit/>
        </w:trPr>
        <w:tc>
          <w:tcPr>
            <w:tcW w:w="2010" w:type="dxa"/>
            <w:tcBorders>
              <w:top w:val="nil"/>
              <w:left w:val="single" w:sz="4" w:space="0" w:color="auto"/>
              <w:bottom w:val="single" w:sz="4" w:space="0" w:color="auto"/>
              <w:right w:val="nil"/>
            </w:tcBorders>
          </w:tcPr>
          <w:p w:rsidR="00B070BF" w:rsidRPr="009577DE" w:rsidRDefault="00B070BF" w:rsidP="00C33D4A">
            <w:pPr>
              <w:autoSpaceDE w:val="0"/>
              <w:autoSpaceDN w:val="0"/>
              <w:adjustRightInd w:val="0"/>
              <w:spacing w:before="120" w:after="120"/>
              <w:rPr>
                <w:sz w:val="16"/>
                <w:szCs w:val="16"/>
                <w:lang w:val="es-ES_tradnl"/>
              </w:rPr>
            </w:pPr>
            <w:r w:rsidRPr="009577DE">
              <w:rPr>
                <w:sz w:val="16"/>
                <w:szCs w:val="16"/>
                <w:lang w:val="es-ES_tradnl"/>
              </w:rPr>
              <w:t>LATIPAT PROJECT – 8ª Reunión regional OMPI/OEPM/OEP de especialistas en tecnologías de la información y gestión de la información contenida en las patentes de las oficinas de propiedad industrial de América Latina.</w:t>
            </w:r>
          </w:p>
        </w:tc>
        <w:tc>
          <w:tcPr>
            <w:tcW w:w="1260" w:type="dxa"/>
            <w:tcBorders>
              <w:top w:val="nil"/>
              <w:left w:val="nil"/>
              <w:bottom w:val="single" w:sz="4" w:space="0" w:color="auto"/>
              <w:right w:val="nil"/>
            </w:tcBorders>
          </w:tcPr>
          <w:p w:rsidR="00B070BF" w:rsidRPr="009577DE" w:rsidRDefault="00B070BF" w:rsidP="00C33D4A">
            <w:pPr>
              <w:autoSpaceDE w:val="0"/>
              <w:autoSpaceDN w:val="0"/>
              <w:adjustRightInd w:val="0"/>
              <w:spacing w:before="120" w:after="120"/>
              <w:rPr>
                <w:sz w:val="16"/>
                <w:szCs w:val="16"/>
                <w:lang w:val="es-ES_tradnl"/>
              </w:rPr>
            </w:pPr>
            <w:r>
              <w:rPr>
                <w:sz w:val="16"/>
                <w:szCs w:val="16"/>
                <w:lang w:val="es-ES_tradnl"/>
              </w:rPr>
              <w:t>5 a 7 de noviembre de 2012</w:t>
            </w:r>
          </w:p>
        </w:tc>
        <w:tc>
          <w:tcPr>
            <w:tcW w:w="2572" w:type="dxa"/>
            <w:tcBorders>
              <w:top w:val="nil"/>
              <w:left w:val="nil"/>
              <w:bottom w:val="single" w:sz="4" w:space="0" w:color="auto"/>
              <w:right w:val="nil"/>
            </w:tcBorders>
          </w:tcPr>
          <w:p w:rsidR="00B070BF" w:rsidRPr="009577DE" w:rsidRDefault="00B070BF" w:rsidP="00C33D4A">
            <w:pPr>
              <w:autoSpaceDE w:val="0"/>
              <w:autoSpaceDN w:val="0"/>
              <w:adjustRightInd w:val="0"/>
              <w:spacing w:before="120" w:after="120"/>
              <w:rPr>
                <w:sz w:val="16"/>
                <w:szCs w:val="16"/>
                <w:lang w:val="es-ES_tradnl"/>
              </w:rPr>
            </w:pPr>
            <w:r w:rsidRPr="009577DE">
              <w:rPr>
                <w:sz w:val="16"/>
                <w:szCs w:val="16"/>
                <w:lang w:val="es-ES_tradnl"/>
              </w:rPr>
              <w:t>Medellín, Colombia/Todos los países de América Latina, OEPM/OEP</w:t>
            </w:r>
          </w:p>
        </w:tc>
        <w:tc>
          <w:tcPr>
            <w:tcW w:w="3260" w:type="dxa"/>
            <w:tcBorders>
              <w:top w:val="nil"/>
              <w:left w:val="nil"/>
              <w:bottom w:val="single" w:sz="4" w:space="0" w:color="auto"/>
              <w:right w:val="single" w:sz="4" w:space="0" w:color="auto"/>
            </w:tcBorders>
          </w:tcPr>
          <w:p w:rsidR="00B070BF" w:rsidRPr="009577DE" w:rsidRDefault="00B070BF" w:rsidP="00C33D4A">
            <w:pPr>
              <w:autoSpaceDE w:val="0"/>
              <w:autoSpaceDN w:val="0"/>
              <w:adjustRightInd w:val="0"/>
              <w:spacing w:before="120" w:after="120"/>
              <w:rPr>
                <w:sz w:val="16"/>
                <w:szCs w:val="16"/>
                <w:lang w:val="es-ES_tradnl"/>
              </w:rPr>
            </w:pPr>
            <w:r w:rsidRPr="009577DE">
              <w:rPr>
                <w:sz w:val="16"/>
                <w:szCs w:val="16"/>
                <w:lang w:val="es-ES_tradnl"/>
              </w:rPr>
              <w:t>El proyecto LATIPAT se concibió para crear y ofrecer una base de datos con información de patentes de todos los países de América Latina.</w:t>
            </w:r>
            <w:r w:rsidRPr="009577DE">
              <w:rPr>
                <w:lang w:val="es-ES_tradnl"/>
              </w:rPr>
              <w:t xml:space="preserve">  </w:t>
            </w:r>
            <w:r w:rsidRPr="009577DE">
              <w:rPr>
                <w:sz w:val="16"/>
                <w:szCs w:val="16"/>
                <w:lang w:val="es-ES_tradnl"/>
              </w:rPr>
              <w:t>En la actualidad, tanto en los países de América Latina como en distintos foros internacionales relacionados con la información contenida en las patentes, el proyecto LATIPAT constituye un ejemplo de dedicación, perseverancia y trabajo en equipo que, gracias a una labor de 12 años, ofrece una base de datos con 2 millones de documentos en una plataforma que recibe una media de 14.000 visitas al mes.</w:t>
            </w:r>
          </w:p>
        </w:tc>
      </w:tr>
      <w:tr w:rsidR="00B070BF" w:rsidRPr="009577DE" w:rsidTr="00C33D4A">
        <w:trPr>
          <w:cantSplit/>
        </w:trPr>
        <w:tc>
          <w:tcPr>
            <w:tcW w:w="9102" w:type="dxa"/>
            <w:gridSpan w:val="4"/>
            <w:tcBorders>
              <w:top w:val="single" w:sz="4" w:space="0" w:color="auto"/>
              <w:left w:val="single" w:sz="4" w:space="0" w:color="auto"/>
              <w:bottom w:val="single" w:sz="4" w:space="0" w:color="auto"/>
              <w:right w:val="single" w:sz="4" w:space="0" w:color="auto"/>
            </w:tcBorders>
            <w:shd w:val="clear" w:color="auto" w:fill="CCFFFF"/>
            <w:vAlign w:val="center"/>
          </w:tcPr>
          <w:p w:rsidR="00B070BF" w:rsidRPr="009577DE" w:rsidRDefault="00B070BF" w:rsidP="00C33D4A">
            <w:pPr>
              <w:keepNext/>
              <w:keepLines/>
              <w:tabs>
                <w:tab w:val="left" w:pos="1740"/>
              </w:tabs>
              <w:spacing w:before="120" w:after="120"/>
              <w:ind w:left="1740" w:hanging="1740"/>
              <w:rPr>
                <w:b/>
                <w:bCs/>
                <w:sz w:val="16"/>
                <w:szCs w:val="16"/>
                <w:lang w:val="es-ES_tradnl"/>
              </w:rPr>
            </w:pPr>
            <w:r w:rsidRPr="009577DE">
              <w:rPr>
                <w:b/>
                <w:bCs/>
                <w:sz w:val="16"/>
                <w:szCs w:val="16"/>
                <w:lang w:val="es-ES_tradnl"/>
              </w:rPr>
              <w:t>RESULTADO:</w:t>
            </w:r>
            <w:r w:rsidRPr="009577DE">
              <w:rPr>
                <w:b/>
                <w:bCs/>
                <w:sz w:val="16"/>
                <w:szCs w:val="16"/>
                <w:lang w:val="es-ES_tradnl"/>
              </w:rPr>
              <w:tab/>
            </w:r>
            <w:r w:rsidRPr="009577DE">
              <w:rPr>
                <w:bCs/>
                <w:sz w:val="16"/>
                <w:szCs w:val="16"/>
                <w:lang w:val="es-ES_tradnl"/>
              </w:rPr>
              <w:t>Mejora en la infraestructura técnica y de conocimientos de las oficinas y demás instituciones de P.I. que les permite prestar mejores servicios (más económicos, más rápidos y de mejor calidad) a sus usuarios</w:t>
            </w:r>
          </w:p>
        </w:tc>
      </w:tr>
      <w:tr w:rsidR="00B070BF" w:rsidRPr="009577DE" w:rsidTr="00C33D4A">
        <w:trPr>
          <w:cantSplit/>
        </w:trPr>
        <w:tc>
          <w:tcPr>
            <w:tcW w:w="2010" w:type="dxa"/>
            <w:tcBorders>
              <w:top w:val="single" w:sz="4" w:space="0" w:color="auto"/>
              <w:left w:val="single" w:sz="4" w:space="0" w:color="auto"/>
              <w:bottom w:val="nil"/>
              <w:right w:val="nil"/>
            </w:tcBorders>
            <w:vAlign w:val="center"/>
          </w:tcPr>
          <w:p w:rsidR="00B070BF" w:rsidRPr="009577DE" w:rsidRDefault="00B070BF" w:rsidP="00C33D4A">
            <w:pPr>
              <w:keepNext/>
              <w:keepLines/>
              <w:rPr>
                <w:b/>
                <w:bCs/>
                <w:sz w:val="16"/>
                <w:szCs w:val="16"/>
                <w:lang w:val="es-ES_tradnl"/>
              </w:rPr>
            </w:pPr>
            <w:r w:rsidRPr="009577DE">
              <w:rPr>
                <w:b/>
                <w:bCs/>
                <w:sz w:val="16"/>
                <w:szCs w:val="16"/>
                <w:lang w:val="es-ES_tradnl"/>
              </w:rPr>
              <w:t>Actividad</w:t>
            </w:r>
          </w:p>
        </w:tc>
        <w:tc>
          <w:tcPr>
            <w:tcW w:w="1260" w:type="dxa"/>
            <w:tcBorders>
              <w:top w:val="single" w:sz="4" w:space="0" w:color="auto"/>
              <w:left w:val="nil"/>
              <w:bottom w:val="nil"/>
              <w:right w:val="nil"/>
            </w:tcBorders>
            <w:shd w:val="clear" w:color="auto" w:fill="auto"/>
            <w:tcMar>
              <w:top w:w="110" w:type="dxa"/>
            </w:tcMar>
            <w:vAlign w:val="center"/>
          </w:tcPr>
          <w:p w:rsidR="00B070BF" w:rsidRPr="009577DE" w:rsidRDefault="00B070BF" w:rsidP="00C33D4A">
            <w:pPr>
              <w:keepNext/>
              <w:keepLines/>
              <w:rPr>
                <w:sz w:val="16"/>
                <w:szCs w:val="16"/>
                <w:lang w:val="es-ES_tradnl"/>
              </w:rPr>
            </w:pPr>
            <w:r w:rsidRPr="009577DE">
              <w:rPr>
                <w:b/>
                <w:bCs/>
                <w:sz w:val="16"/>
                <w:szCs w:val="16"/>
                <w:lang w:val="es-ES_tradnl"/>
              </w:rPr>
              <w:t>Fecha</w:t>
            </w:r>
          </w:p>
        </w:tc>
        <w:tc>
          <w:tcPr>
            <w:tcW w:w="2572" w:type="dxa"/>
            <w:tcBorders>
              <w:top w:val="single" w:sz="4" w:space="0" w:color="auto"/>
              <w:left w:val="nil"/>
              <w:bottom w:val="nil"/>
              <w:right w:val="nil"/>
            </w:tcBorders>
            <w:shd w:val="clear" w:color="auto" w:fill="auto"/>
            <w:tcMar>
              <w:top w:w="110" w:type="dxa"/>
            </w:tcMar>
            <w:vAlign w:val="center"/>
          </w:tcPr>
          <w:p w:rsidR="00B070BF" w:rsidRPr="009577DE" w:rsidRDefault="00B070BF" w:rsidP="00C33D4A">
            <w:pPr>
              <w:keepNext/>
              <w:keepLines/>
              <w:rPr>
                <w:sz w:val="16"/>
                <w:szCs w:val="16"/>
                <w:lang w:val="es-ES_tradnl"/>
              </w:rPr>
            </w:pPr>
            <w:r w:rsidRPr="009577DE">
              <w:rPr>
                <w:b/>
                <w:bCs/>
                <w:sz w:val="16"/>
                <w:szCs w:val="16"/>
                <w:lang w:val="es-ES_tradnl"/>
              </w:rPr>
              <w:t>País anfitrión/Beneficiarios</w:t>
            </w:r>
          </w:p>
        </w:tc>
        <w:tc>
          <w:tcPr>
            <w:tcW w:w="3260" w:type="dxa"/>
            <w:tcBorders>
              <w:top w:val="single" w:sz="4" w:space="0" w:color="auto"/>
              <w:left w:val="nil"/>
              <w:bottom w:val="nil"/>
              <w:right w:val="single" w:sz="4" w:space="0" w:color="auto"/>
            </w:tcBorders>
            <w:shd w:val="clear" w:color="auto" w:fill="FFFFFF"/>
            <w:tcMar>
              <w:top w:w="110" w:type="dxa"/>
            </w:tcMar>
            <w:vAlign w:val="center"/>
          </w:tcPr>
          <w:p w:rsidR="00B070BF" w:rsidRPr="009577DE" w:rsidRDefault="00B070BF" w:rsidP="00C33D4A">
            <w:pPr>
              <w:keepNext/>
              <w:keepLines/>
              <w:rPr>
                <w:sz w:val="16"/>
                <w:szCs w:val="16"/>
                <w:lang w:val="es-ES_tradnl"/>
              </w:rPr>
            </w:pPr>
            <w:r w:rsidRPr="009577DE">
              <w:rPr>
                <w:b/>
                <w:bCs/>
                <w:sz w:val="16"/>
                <w:szCs w:val="16"/>
                <w:lang w:val="es-ES_tradnl"/>
              </w:rPr>
              <w:t>Propósito/Descripción</w:t>
            </w:r>
          </w:p>
        </w:tc>
      </w:tr>
      <w:tr w:rsidR="00B070BF" w:rsidRPr="009577DE" w:rsidTr="00C33D4A">
        <w:trPr>
          <w:cantSplit/>
        </w:trPr>
        <w:tc>
          <w:tcPr>
            <w:tcW w:w="2010" w:type="dxa"/>
            <w:tcBorders>
              <w:top w:val="nil"/>
              <w:left w:val="single" w:sz="4" w:space="0" w:color="auto"/>
              <w:bottom w:val="single" w:sz="4" w:space="0" w:color="auto"/>
              <w:right w:val="nil"/>
            </w:tcBorders>
          </w:tcPr>
          <w:p w:rsidR="00B070BF" w:rsidRPr="009577DE" w:rsidRDefault="00B070BF" w:rsidP="00C33D4A">
            <w:pPr>
              <w:autoSpaceDE w:val="0"/>
              <w:autoSpaceDN w:val="0"/>
              <w:adjustRightInd w:val="0"/>
              <w:spacing w:before="120" w:after="120"/>
              <w:rPr>
                <w:sz w:val="16"/>
                <w:szCs w:val="16"/>
                <w:lang w:val="es-ES_tradnl"/>
              </w:rPr>
            </w:pPr>
            <w:r w:rsidRPr="009577DE">
              <w:rPr>
                <w:sz w:val="16"/>
                <w:szCs w:val="16"/>
                <w:lang w:val="es-ES_tradnl"/>
              </w:rPr>
              <w:t>3º Seminario regional OMPI/OEPM sobre planificación estratégica y sistemas de gestión de calidad en oficinas de propiedad industrial de los países de América Latina.</w:t>
            </w:r>
          </w:p>
          <w:p w:rsidR="00B070BF" w:rsidRPr="009577DE" w:rsidRDefault="00B070BF" w:rsidP="00C33D4A">
            <w:pPr>
              <w:autoSpaceDE w:val="0"/>
              <w:autoSpaceDN w:val="0"/>
              <w:adjustRightInd w:val="0"/>
              <w:spacing w:before="120" w:after="120"/>
              <w:rPr>
                <w:sz w:val="16"/>
                <w:szCs w:val="16"/>
                <w:lang w:val="es-ES_tradnl"/>
              </w:rPr>
            </w:pPr>
          </w:p>
        </w:tc>
        <w:tc>
          <w:tcPr>
            <w:tcW w:w="1260" w:type="dxa"/>
            <w:tcBorders>
              <w:top w:val="nil"/>
              <w:left w:val="nil"/>
              <w:bottom w:val="single" w:sz="4" w:space="0" w:color="auto"/>
              <w:right w:val="nil"/>
            </w:tcBorders>
          </w:tcPr>
          <w:p w:rsidR="00B070BF" w:rsidRPr="009577DE" w:rsidRDefault="00B070BF" w:rsidP="00C33D4A">
            <w:pPr>
              <w:autoSpaceDE w:val="0"/>
              <w:autoSpaceDN w:val="0"/>
              <w:adjustRightInd w:val="0"/>
              <w:spacing w:before="120" w:after="120"/>
              <w:rPr>
                <w:sz w:val="16"/>
                <w:szCs w:val="16"/>
                <w:lang w:val="es-ES_tradnl"/>
              </w:rPr>
            </w:pPr>
            <w:r w:rsidRPr="009577DE">
              <w:rPr>
                <w:sz w:val="16"/>
                <w:szCs w:val="16"/>
                <w:lang w:val="es-ES_tradnl"/>
              </w:rPr>
              <w:t>12 a 16 de noviembre de 2012</w:t>
            </w:r>
          </w:p>
        </w:tc>
        <w:tc>
          <w:tcPr>
            <w:tcW w:w="2572" w:type="dxa"/>
            <w:tcBorders>
              <w:top w:val="nil"/>
              <w:left w:val="nil"/>
              <w:bottom w:val="single" w:sz="4" w:space="0" w:color="auto"/>
              <w:right w:val="nil"/>
            </w:tcBorders>
          </w:tcPr>
          <w:p w:rsidR="00B070BF" w:rsidRPr="009577DE" w:rsidRDefault="00B070BF" w:rsidP="00C33D4A">
            <w:pPr>
              <w:autoSpaceDE w:val="0"/>
              <w:autoSpaceDN w:val="0"/>
              <w:adjustRightInd w:val="0"/>
              <w:spacing w:before="120" w:after="120"/>
              <w:rPr>
                <w:sz w:val="16"/>
                <w:szCs w:val="16"/>
                <w:lang w:val="es-ES_tradnl"/>
              </w:rPr>
            </w:pPr>
            <w:r w:rsidRPr="009577DE">
              <w:rPr>
                <w:sz w:val="16"/>
                <w:szCs w:val="16"/>
                <w:lang w:val="es-ES_tradnl"/>
              </w:rPr>
              <w:t>La Antigua (Guatemala)/Todos los países de América Latina</w:t>
            </w:r>
          </w:p>
        </w:tc>
        <w:tc>
          <w:tcPr>
            <w:tcW w:w="3260" w:type="dxa"/>
            <w:tcBorders>
              <w:top w:val="nil"/>
              <w:left w:val="nil"/>
              <w:bottom w:val="single" w:sz="4" w:space="0" w:color="auto"/>
              <w:right w:val="single" w:sz="4" w:space="0" w:color="auto"/>
            </w:tcBorders>
          </w:tcPr>
          <w:p w:rsidR="00B070BF" w:rsidRPr="009577DE" w:rsidRDefault="00B070BF" w:rsidP="00C33D4A">
            <w:pPr>
              <w:autoSpaceDE w:val="0"/>
              <w:autoSpaceDN w:val="0"/>
              <w:adjustRightInd w:val="0"/>
              <w:spacing w:before="120" w:after="120"/>
              <w:rPr>
                <w:sz w:val="16"/>
                <w:szCs w:val="16"/>
                <w:lang w:val="es-ES_tradnl"/>
              </w:rPr>
            </w:pPr>
            <w:r w:rsidRPr="009577DE">
              <w:rPr>
                <w:sz w:val="16"/>
                <w:szCs w:val="16"/>
                <w:lang w:val="es-ES_tradnl"/>
              </w:rPr>
              <w:t>i) Ofrecer a los participantes información actualizada, formación práctica e instrumentos útiles en el campo de la planificación estratégica, las políticas sobre recursos humanos y la gestión de calidad;  ii) modernizar las administraciones de P.I.;  y iii) generar entre los administradores de las oficinas de P.I. de los países de América Latina un fuerte sentido del concepto de gestión orientada a la prestación de servicios.</w:t>
            </w:r>
          </w:p>
        </w:tc>
      </w:tr>
      <w:tr w:rsidR="00B070BF" w:rsidRPr="009577DE" w:rsidTr="00C33D4A">
        <w:trPr>
          <w:cantSplit/>
        </w:trPr>
        <w:tc>
          <w:tcPr>
            <w:tcW w:w="9102" w:type="dxa"/>
            <w:gridSpan w:val="4"/>
            <w:tcBorders>
              <w:top w:val="single" w:sz="4" w:space="0" w:color="auto"/>
              <w:left w:val="single" w:sz="4" w:space="0" w:color="auto"/>
              <w:bottom w:val="single" w:sz="4" w:space="0" w:color="auto"/>
              <w:right w:val="single" w:sz="4" w:space="0" w:color="auto"/>
            </w:tcBorders>
            <w:shd w:val="clear" w:color="auto" w:fill="CCFFFF"/>
            <w:vAlign w:val="center"/>
          </w:tcPr>
          <w:p w:rsidR="00B070BF" w:rsidRPr="009577DE" w:rsidRDefault="00B070BF" w:rsidP="00C33D4A">
            <w:pPr>
              <w:keepNext/>
              <w:keepLines/>
              <w:tabs>
                <w:tab w:val="left" w:pos="1740"/>
              </w:tabs>
              <w:spacing w:before="120" w:after="120"/>
              <w:ind w:left="1740" w:hanging="1740"/>
              <w:rPr>
                <w:b/>
                <w:bCs/>
                <w:sz w:val="16"/>
                <w:szCs w:val="16"/>
                <w:lang w:val="es-ES_tradnl"/>
              </w:rPr>
            </w:pPr>
            <w:r w:rsidRPr="009577DE">
              <w:rPr>
                <w:b/>
                <w:bCs/>
                <w:sz w:val="16"/>
                <w:szCs w:val="16"/>
                <w:lang w:val="es-ES_tradnl"/>
              </w:rPr>
              <w:lastRenderedPageBreak/>
              <w:t>RESULTADO:</w:t>
            </w:r>
            <w:r w:rsidRPr="009577DE">
              <w:rPr>
                <w:bCs/>
                <w:sz w:val="16"/>
                <w:szCs w:val="16"/>
                <w:lang w:val="es-ES_tradnl"/>
              </w:rPr>
              <w:tab/>
              <w:t>Fortalecimiento de las relaciones con los usuarios del PCT y las oficinas.</w:t>
            </w:r>
            <w:r w:rsidRPr="009577DE">
              <w:rPr>
                <w:b/>
                <w:bCs/>
                <w:sz w:val="16"/>
                <w:szCs w:val="16"/>
                <w:lang w:val="es-ES_tradnl"/>
              </w:rPr>
              <w:t xml:space="preserve"> </w:t>
            </w:r>
          </w:p>
        </w:tc>
      </w:tr>
      <w:tr w:rsidR="00B070BF" w:rsidRPr="009577DE" w:rsidTr="00C33D4A">
        <w:trPr>
          <w:cantSplit/>
        </w:trPr>
        <w:tc>
          <w:tcPr>
            <w:tcW w:w="2010" w:type="dxa"/>
            <w:tcBorders>
              <w:top w:val="single" w:sz="4" w:space="0" w:color="auto"/>
              <w:left w:val="single" w:sz="4" w:space="0" w:color="auto"/>
              <w:bottom w:val="nil"/>
              <w:right w:val="nil"/>
            </w:tcBorders>
            <w:vAlign w:val="center"/>
          </w:tcPr>
          <w:p w:rsidR="00B070BF" w:rsidRPr="009577DE" w:rsidRDefault="00B070BF" w:rsidP="00C33D4A">
            <w:pPr>
              <w:keepNext/>
              <w:keepLines/>
              <w:rPr>
                <w:b/>
                <w:bCs/>
                <w:sz w:val="16"/>
                <w:szCs w:val="16"/>
                <w:lang w:val="es-ES_tradnl"/>
              </w:rPr>
            </w:pPr>
            <w:r w:rsidRPr="009577DE">
              <w:rPr>
                <w:b/>
                <w:bCs/>
                <w:sz w:val="16"/>
                <w:szCs w:val="16"/>
                <w:lang w:val="es-ES_tradnl"/>
              </w:rPr>
              <w:t>Actividad</w:t>
            </w:r>
          </w:p>
        </w:tc>
        <w:tc>
          <w:tcPr>
            <w:tcW w:w="1260" w:type="dxa"/>
            <w:tcBorders>
              <w:top w:val="single" w:sz="4" w:space="0" w:color="auto"/>
              <w:left w:val="nil"/>
              <w:bottom w:val="nil"/>
              <w:right w:val="nil"/>
            </w:tcBorders>
            <w:shd w:val="clear" w:color="auto" w:fill="auto"/>
            <w:tcMar>
              <w:top w:w="110" w:type="dxa"/>
            </w:tcMar>
            <w:vAlign w:val="center"/>
          </w:tcPr>
          <w:p w:rsidR="00B070BF" w:rsidRPr="009577DE" w:rsidRDefault="00B070BF" w:rsidP="00C33D4A">
            <w:pPr>
              <w:keepNext/>
              <w:keepLines/>
              <w:rPr>
                <w:sz w:val="16"/>
                <w:szCs w:val="16"/>
                <w:lang w:val="es-ES_tradnl"/>
              </w:rPr>
            </w:pPr>
            <w:r w:rsidRPr="009577DE">
              <w:rPr>
                <w:b/>
                <w:bCs/>
                <w:sz w:val="16"/>
                <w:szCs w:val="16"/>
                <w:lang w:val="es-ES_tradnl"/>
              </w:rPr>
              <w:t>Fecha</w:t>
            </w:r>
          </w:p>
        </w:tc>
        <w:tc>
          <w:tcPr>
            <w:tcW w:w="2572" w:type="dxa"/>
            <w:tcBorders>
              <w:top w:val="single" w:sz="4" w:space="0" w:color="auto"/>
              <w:left w:val="nil"/>
              <w:bottom w:val="nil"/>
              <w:right w:val="nil"/>
            </w:tcBorders>
            <w:shd w:val="clear" w:color="auto" w:fill="auto"/>
            <w:tcMar>
              <w:top w:w="110" w:type="dxa"/>
            </w:tcMar>
            <w:vAlign w:val="center"/>
          </w:tcPr>
          <w:p w:rsidR="00B070BF" w:rsidRPr="009577DE" w:rsidRDefault="00B070BF" w:rsidP="00C33D4A">
            <w:pPr>
              <w:keepNext/>
              <w:keepLines/>
              <w:rPr>
                <w:sz w:val="16"/>
                <w:szCs w:val="16"/>
                <w:lang w:val="es-ES_tradnl"/>
              </w:rPr>
            </w:pPr>
            <w:r w:rsidRPr="009577DE">
              <w:rPr>
                <w:b/>
                <w:bCs/>
                <w:sz w:val="16"/>
                <w:szCs w:val="16"/>
                <w:lang w:val="es-ES_tradnl"/>
              </w:rPr>
              <w:t>País anfitrión/Beneficiarios</w:t>
            </w:r>
          </w:p>
        </w:tc>
        <w:tc>
          <w:tcPr>
            <w:tcW w:w="3260" w:type="dxa"/>
            <w:tcBorders>
              <w:top w:val="single" w:sz="4" w:space="0" w:color="auto"/>
              <w:left w:val="nil"/>
              <w:bottom w:val="nil"/>
              <w:right w:val="single" w:sz="4" w:space="0" w:color="auto"/>
            </w:tcBorders>
            <w:shd w:val="clear" w:color="auto" w:fill="FFFFFF"/>
            <w:tcMar>
              <w:top w:w="110" w:type="dxa"/>
            </w:tcMar>
            <w:vAlign w:val="center"/>
          </w:tcPr>
          <w:p w:rsidR="00B070BF" w:rsidRPr="009577DE" w:rsidRDefault="00B070BF" w:rsidP="00C33D4A">
            <w:pPr>
              <w:keepNext/>
              <w:keepLines/>
              <w:rPr>
                <w:sz w:val="16"/>
                <w:szCs w:val="16"/>
                <w:lang w:val="es-ES_tradnl"/>
              </w:rPr>
            </w:pPr>
            <w:r w:rsidRPr="009577DE">
              <w:rPr>
                <w:b/>
                <w:bCs/>
                <w:sz w:val="16"/>
                <w:szCs w:val="16"/>
                <w:lang w:val="es-ES_tradnl"/>
              </w:rPr>
              <w:t>Propósito/Descripción</w:t>
            </w:r>
          </w:p>
        </w:tc>
      </w:tr>
      <w:tr w:rsidR="00B070BF" w:rsidRPr="009577DE" w:rsidTr="00C33D4A">
        <w:trPr>
          <w:cantSplit/>
        </w:trPr>
        <w:tc>
          <w:tcPr>
            <w:tcW w:w="2010" w:type="dxa"/>
            <w:tcBorders>
              <w:top w:val="nil"/>
              <w:left w:val="single" w:sz="4" w:space="0" w:color="auto"/>
              <w:bottom w:val="single" w:sz="4" w:space="0" w:color="auto"/>
              <w:right w:val="nil"/>
            </w:tcBorders>
          </w:tcPr>
          <w:p w:rsidR="00B070BF" w:rsidRPr="009577DE" w:rsidRDefault="00B070BF" w:rsidP="00C33D4A">
            <w:pPr>
              <w:keepNext/>
              <w:keepLines/>
              <w:autoSpaceDE w:val="0"/>
              <w:autoSpaceDN w:val="0"/>
              <w:adjustRightInd w:val="0"/>
              <w:spacing w:before="120" w:after="120"/>
              <w:rPr>
                <w:sz w:val="16"/>
                <w:szCs w:val="16"/>
                <w:lang w:val="es-ES_tradnl"/>
              </w:rPr>
            </w:pPr>
            <w:r w:rsidRPr="009577DE">
              <w:rPr>
                <w:sz w:val="16"/>
                <w:szCs w:val="16"/>
                <w:lang w:val="es-ES_tradnl"/>
              </w:rPr>
              <w:t>Seminario regional sobre el PCT dirigido a la región de América Latina.</w:t>
            </w:r>
          </w:p>
        </w:tc>
        <w:tc>
          <w:tcPr>
            <w:tcW w:w="1260" w:type="dxa"/>
            <w:tcBorders>
              <w:top w:val="nil"/>
              <w:left w:val="nil"/>
              <w:bottom w:val="single" w:sz="4" w:space="0" w:color="auto"/>
              <w:right w:val="nil"/>
            </w:tcBorders>
          </w:tcPr>
          <w:p w:rsidR="00B070BF" w:rsidRPr="009577DE" w:rsidRDefault="00B070BF" w:rsidP="00C33D4A">
            <w:pPr>
              <w:keepNext/>
              <w:keepLines/>
              <w:autoSpaceDE w:val="0"/>
              <w:autoSpaceDN w:val="0"/>
              <w:adjustRightInd w:val="0"/>
              <w:spacing w:before="120" w:after="120"/>
              <w:rPr>
                <w:sz w:val="16"/>
                <w:szCs w:val="16"/>
                <w:lang w:val="es-ES_tradnl" w:eastAsia="ja-JP"/>
              </w:rPr>
            </w:pPr>
            <w:r w:rsidRPr="009577DE">
              <w:rPr>
                <w:sz w:val="16"/>
                <w:szCs w:val="16"/>
                <w:lang w:val="es-ES_tradnl"/>
              </w:rPr>
              <w:t>12 a 14 de junio de </w:t>
            </w:r>
            <w:r w:rsidRPr="009577DE">
              <w:rPr>
                <w:sz w:val="16"/>
                <w:szCs w:val="16"/>
                <w:lang w:val="es-ES_tradnl" w:eastAsia="ja-JP"/>
              </w:rPr>
              <w:t>2012</w:t>
            </w:r>
            <w:r w:rsidRPr="009577DE">
              <w:rPr>
                <w:sz w:val="16"/>
                <w:szCs w:val="16"/>
                <w:lang w:val="es-ES_tradnl"/>
              </w:rPr>
              <w:t xml:space="preserve"> </w:t>
            </w:r>
          </w:p>
        </w:tc>
        <w:tc>
          <w:tcPr>
            <w:tcW w:w="2572" w:type="dxa"/>
            <w:tcBorders>
              <w:top w:val="nil"/>
              <w:left w:val="nil"/>
              <w:bottom w:val="single" w:sz="4" w:space="0" w:color="auto"/>
              <w:right w:val="nil"/>
            </w:tcBorders>
          </w:tcPr>
          <w:p w:rsidR="00B070BF" w:rsidRPr="009577DE" w:rsidRDefault="00B070BF" w:rsidP="00C33D4A">
            <w:pPr>
              <w:keepNext/>
              <w:keepLines/>
              <w:autoSpaceDE w:val="0"/>
              <w:autoSpaceDN w:val="0"/>
              <w:adjustRightInd w:val="0"/>
              <w:spacing w:before="120" w:after="120"/>
              <w:rPr>
                <w:sz w:val="16"/>
                <w:szCs w:val="16"/>
                <w:lang w:val="es-ES_tradnl" w:eastAsia="ja-JP"/>
              </w:rPr>
            </w:pPr>
            <w:r w:rsidRPr="009577DE">
              <w:rPr>
                <w:sz w:val="16"/>
                <w:szCs w:val="16"/>
                <w:lang w:val="es-ES_tradnl"/>
              </w:rPr>
              <w:t>Santo Domingo/República Dominicana</w:t>
            </w:r>
            <w:r w:rsidRPr="009577DE">
              <w:rPr>
                <w:sz w:val="16"/>
                <w:szCs w:val="16"/>
                <w:lang w:val="es-ES_tradnl" w:eastAsia="ja-JP"/>
              </w:rPr>
              <w:t>, Argentina, Bolivia, Brasil, Chile, Costa Rica, Cuba, Ecuador, El Salvador, Guatemala, Honduras, México, Nicaragua, Panamá, Paraguay, Perú, Uruguay</w:t>
            </w:r>
          </w:p>
        </w:tc>
        <w:tc>
          <w:tcPr>
            <w:tcW w:w="3260" w:type="dxa"/>
            <w:tcBorders>
              <w:top w:val="nil"/>
              <w:left w:val="nil"/>
              <w:bottom w:val="single" w:sz="4" w:space="0" w:color="auto"/>
              <w:right w:val="single" w:sz="4" w:space="0" w:color="auto"/>
            </w:tcBorders>
          </w:tcPr>
          <w:p w:rsidR="00B070BF" w:rsidRPr="009577DE" w:rsidRDefault="00B070BF" w:rsidP="00C33D4A">
            <w:pPr>
              <w:keepNext/>
              <w:keepLines/>
              <w:autoSpaceDE w:val="0"/>
              <w:autoSpaceDN w:val="0"/>
              <w:adjustRightInd w:val="0"/>
              <w:spacing w:before="120" w:after="120"/>
              <w:rPr>
                <w:sz w:val="16"/>
                <w:szCs w:val="16"/>
                <w:lang w:val="es-ES_tradnl" w:eastAsia="ja-JP"/>
              </w:rPr>
            </w:pPr>
            <w:r w:rsidRPr="009577DE">
              <w:rPr>
                <w:sz w:val="16"/>
                <w:szCs w:val="16"/>
                <w:lang w:val="es-ES_tradnl" w:eastAsia="ja-JP"/>
              </w:rPr>
              <w:t>Promover el debate sobre el PCT en la región y propiciar el intercambio de ideas y experiencias sobre la aplicación del PCT.</w:t>
            </w:r>
          </w:p>
        </w:tc>
      </w:tr>
    </w:tbl>
    <w:p w:rsidR="00B070BF" w:rsidRPr="009577DE" w:rsidRDefault="00B070BF" w:rsidP="00B070BF">
      <w:pPr>
        <w:rPr>
          <w:b/>
          <w:sz w:val="20"/>
          <w:lang w:val="es-ES_tradnl"/>
        </w:rPr>
      </w:pPr>
    </w:p>
    <w:p w:rsidR="00B070BF" w:rsidRPr="009577DE" w:rsidRDefault="00B070BF" w:rsidP="00B070BF">
      <w:pPr>
        <w:rPr>
          <w:b/>
          <w:sz w:val="20"/>
          <w:lang w:val="es-ES_tradnl"/>
        </w:rPr>
      </w:pPr>
    </w:p>
    <w:p w:rsidR="00B070BF" w:rsidRPr="009577DE" w:rsidRDefault="00B070BF" w:rsidP="00B070BF">
      <w:pPr>
        <w:rPr>
          <w:rFonts w:ascii="Arial Bold" w:hAnsi="Arial Bold" w:cs="Arial Bold" w:hint="eastAsia"/>
          <w:b/>
          <w:bCs/>
          <w:sz w:val="20"/>
          <w:vertAlign w:val="superscript"/>
          <w:lang w:val="es-ES_tradnl"/>
        </w:rPr>
      </w:pPr>
      <w:r w:rsidRPr="009577DE">
        <w:rPr>
          <w:b/>
          <w:sz w:val="20"/>
          <w:lang w:val="es-ES_tradnl"/>
        </w:rPr>
        <w:t>ESPAÑA – Contribuciones de donantes y gastos en 2012</w:t>
      </w:r>
      <w:r w:rsidRPr="009577DE">
        <w:rPr>
          <w:b/>
          <w:sz w:val="20"/>
          <w:vertAlign w:val="superscript"/>
          <w:lang w:val="es-ES_tradnl"/>
        </w:rPr>
        <w:t>1</w:t>
      </w:r>
    </w:p>
    <w:p w:rsidR="00B070BF" w:rsidRPr="009577DE" w:rsidRDefault="00B070BF" w:rsidP="00B070BF">
      <w:pPr>
        <w:rPr>
          <w:b/>
          <w:sz w:val="18"/>
          <w:szCs w:val="18"/>
          <w:lang w:val="es-ES_tradn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3"/>
        <w:gridCol w:w="1701"/>
        <w:gridCol w:w="1843"/>
        <w:gridCol w:w="1701"/>
        <w:gridCol w:w="1984"/>
      </w:tblGrid>
      <w:tr w:rsidR="00B070BF" w:rsidRPr="009577DE" w:rsidTr="00C33D4A">
        <w:trPr>
          <w:trHeight w:val="567"/>
        </w:trPr>
        <w:tc>
          <w:tcPr>
            <w:tcW w:w="1843" w:type="dxa"/>
            <w:shd w:val="clear" w:color="auto" w:fill="CCFFFF"/>
            <w:vAlign w:val="center"/>
          </w:tcPr>
          <w:p w:rsidR="00B070BF" w:rsidRPr="009577DE" w:rsidRDefault="00B070BF" w:rsidP="00C33D4A">
            <w:pPr>
              <w:spacing w:after="220"/>
              <w:jc w:val="center"/>
              <w:rPr>
                <w:b/>
                <w:sz w:val="16"/>
                <w:szCs w:val="16"/>
                <w:lang w:val="es-ES_tradnl"/>
              </w:rPr>
            </w:pPr>
            <w:r w:rsidRPr="009577DE">
              <w:rPr>
                <w:b/>
                <w:sz w:val="16"/>
                <w:szCs w:val="16"/>
                <w:lang w:val="es-ES_tradnl"/>
              </w:rPr>
              <w:t>Balance a 31 de diciembre de 2011</w:t>
            </w:r>
          </w:p>
        </w:tc>
        <w:tc>
          <w:tcPr>
            <w:tcW w:w="1701" w:type="dxa"/>
            <w:shd w:val="clear" w:color="auto" w:fill="CCFFFF"/>
            <w:vAlign w:val="center"/>
          </w:tcPr>
          <w:p w:rsidR="00B070BF" w:rsidRPr="009577DE" w:rsidRDefault="00B070BF" w:rsidP="00C33D4A">
            <w:pPr>
              <w:spacing w:after="220"/>
              <w:jc w:val="center"/>
              <w:rPr>
                <w:b/>
                <w:sz w:val="16"/>
                <w:szCs w:val="16"/>
                <w:lang w:val="es-ES_tradnl"/>
              </w:rPr>
            </w:pPr>
            <w:r w:rsidRPr="009577DE">
              <w:rPr>
                <w:b/>
                <w:sz w:val="16"/>
                <w:szCs w:val="16"/>
                <w:lang w:val="es-ES_tradnl"/>
              </w:rPr>
              <w:t>Ingresos en 2012</w:t>
            </w:r>
          </w:p>
        </w:tc>
        <w:tc>
          <w:tcPr>
            <w:tcW w:w="1843" w:type="dxa"/>
            <w:shd w:val="clear" w:color="auto" w:fill="CCFFFF"/>
            <w:vAlign w:val="center"/>
          </w:tcPr>
          <w:p w:rsidR="00B070BF" w:rsidRPr="009577DE" w:rsidRDefault="00B070BF" w:rsidP="00C33D4A">
            <w:pPr>
              <w:spacing w:after="220"/>
              <w:jc w:val="center"/>
              <w:rPr>
                <w:b/>
                <w:sz w:val="16"/>
                <w:szCs w:val="16"/>
                <w:lang w:val="es-ES_tradnl"/>
              </w:rPr>
            </w:pPr>
            <w:r w:rsidRPr="009577DE">
              <w:rPr>
                <w:b/>
                <w:sz w:val="16"/>
                <w:szCs w:val="16"/>
                <w:lang w:val="es-ES_tradnl"/>
              </w:rPr>
              <w:t>Gastos en 2012</w:t>
            </w:r>
          </w:p>
        </w:tc>
        <w:tc>
          <w:tcPr>
            <w:tcW w:w="1701" w:type="dxa"/>
            <w:shd w:val="clear" w:color="auto" w:fill="CCFFFF"/>
            <w:vAlign w:val="center"/>
          </w:tcPr>
          <w:p w:rsidR="00B070BF" w:rsidRPr="009577DE" w:rsidRDefault="00B070BF" w:rsidP="00C33D4A">
            <w:pPr>
              <w:spacing w:after="220"/>
              <w:jc w:val="center"/>
              <w:rPr>
                <w:b/>
                <w:sz w:val="16"/>
                <w:szCs w:val="16"/>
                <w:lang w:val="es-ES_tradnl"/>
              </w:rPr>
            </w:pPr>
            <w:r w:rsidRPr="009577DE">
              <w:rPr>
                <w:b/>
                <w:sz w:val="16"/>
                <w:szCs w:val="16"/>
                <w:lang w:val="es-ES_tradnl"/>
              </w:rPr>
              <w:t>Reembolsos</w:t>
            </w:r>
          </w:p>
        </w:tc>
        <w:tc>
          <w:tcPr>
            <w:tcW w:w="1984" w:type="dxa"/>
            <w:shd w:val="clear" w:color="auto" w:fill="CCFFFF"/>
            <w:vAlign w:val="center"/>
          </w:tcPr>
          <w:p w:rsidR="00B070BF" w:rsidRPr="009577DE" w:rsidRDefault="00B070BF" w:rsidP="00C33D4A">
            <w:pPr>
              <w:spacing w:after="220"/>
              <w:jc w:val="center"/>
              <w:rPr>
                <w:b/>
                <w:sz w:val="16"/>
                <w:szCs w:val="16"/>
                <w:lang w:val="es-ES_tradnl"/>
              </w:rPr>
            </w:pPr>
            <w:r w:rsidRPr="009577DE">
              <w:rPr>
                <w:b/>
                <w:sz w:val="16"/>
                <w:szCs w:val="16"/>
                <w:lang w:val="es-ES_tradnl"/>
              </w:rPr>
              <w:t>Balance a 31 de diciembre de 2012</w:t>
            </w:r>
          </w:p>
        </w:tc>
      </w:tr>
      <w:tr w:rsidR="00B070BF" w:rsidRPr="009577DE" w:rsidTr="00C33D4A">
        <w:trPr>
          <w:trHeight w:val="567"/>
        </w:trPr>
        <w:tc>
          <w:tcPr>
            <w:tcW w:w="1843" w:type="dxa"/>
            <w:shd w:val="clear" w:color="auto" w:fill="auto"/>
            <w:vAlign w:val="center"/>
          </w:tcPr>
          <w:p w:rsidR="00B070BF" w:rsidRPr="009577DE" w:rsidRDefault="00B070BF" w:rsidP="00C33D4A">
            <w:pPr>
              <w:autoSpaceDE w:val="0"/>
              <w:autoSpaceDN w:val="0"/>
              <w:adjustRightInd w:val="0"/>
              <w:spacing w:after="220"/>
              <w:jc w:val="center"/>
              <w:rPr>
                <w:rFonts w:eastAsia="MS Mincho"/>
                <w:sz w:val="16"/>
                <w:szCs w:val="16"/>
                <w:lang w:val="es-ES_tradnl" w:eastAsia="ja-JP" w:bidi="th-TH"/>
              </w:rPr>
            </w:pPr>
            <w:r w:rsidRPr="009577DE">
              <w:rPr>
                <w:rFonts w:eastAsia="MS Mincho"/>
                <w:sz w:val="16"/>
                <w:szCs w:val="16"/>
                <w:lang w:val="es-ES_tradnl" w:eastAsia="ja-JP" w:bidi="th-TH"/>
              </w:rPr>
              <w:t>–</w:t>
            </w:r>
          </w:p>
        </w:tc>
        <w:tc>
          <w:tcPr>
            <w:tcW w:w="1701" w:type="dxa"/>
            <w:shd w:val="clear" w:color="auto" w:fill="auto"/>
            <w:vAlign w:val="center"/>
          </w:tcPr>
          <w:p w:rsidR="00B070BF" w:rsidRPr="009577DE" w:rsidRDefault="00B070BF" w:rsidP="00C33D4A">
            <w:pPr>
              <w:autoSpaceDE w:val="0"/>
              <w:autoSpaceDN w:val="0"/>
              <w:adjustRightInd w:val="0"/>
              <w:spacing w:after="220"/>
              <w:jc w:val="center"/>
              <w:rPr>
                <w:rFonts w:eastAsia="MS Mincho"/>
                <w:sz w:val="16"/>
                <w:szCs w:val="16"/>
                <w:lang w:val="es-ES_tradnl" w:eastAsia="ja-JP" w:bidi="th-TH"/>
              </w:rPr>
            </w:pPr>
            <w:r w:rsidRPr="009577DE">
              <w:rPr>
                <w:rFonts w:eastAsia="MS Mincho"/>
                <w:sz w:val="16"/>
                <w:szCs w:val="16"/>
                <w:lang w:val="es-ES_tradnl" w:eastAsia="ja-JP" w:bidi="th-TH"/>
              </w:rPr>
              <w:t>293.317</w:t>
            </w:r>
          </w:p>
        </w:tc>
        <w:tc>
          <w:tcPr>
            <w:tcW w:w="1843" w:type="dxa"/>
            <w:shd w:val="clear" w:color="auto" w:fill="auto"/>
            <w:vAlign w:val="center"/>
          </w:tcPr>
          <w:p w:rsidR="00B070BF" w:rsidRPr="009577DE" w:rsidRDefault="00B070BF" w:rsidP="00C33D4A">
            <w:pPr>
              <w:autoSpaceDE w:val="0"/>
              <w:autoSpaceDN w:val="0"/>
              <w:adjustRightInd w:val="0"/>
              <w:spacing w:after="220"/>
              <w:jc w:val="center"/>
              <w:rPr>
                <w:rFonts w:eastAsia="MS Mincho"/>
                <w:sz w:val="16"/>
                <w:szCs w:val="16"/>
                <w:lang w:val="es-ES_tradnl" w:eastAsia="ja-JP" w:bidi="th-TH"/>
              </w:rPr>
            </w:pPr>
            <w:r w:rsidRPr="009577DE">
              <w:rPr>
                <w:rFonts w:eastAsia="MS Mincho"/>
                <w:sz w:val="16"/>
                <w:szCs w:val="16"/>
                <w:lang w:val="es-ES_tradnl" w:eastAsia="ja-JP" w:bidi="th-TH"/>
              </w:rPr>
              <w:t>171.917</w:t>
            </w:r>
          </w:p>
        </w:tc>
        <w:tc>
          <w:tcPr>
            <w:tcW w:w="1701" w:type="dxa"/>
            <w:shd w:val="clear" w:color="auto" w:fill="auto"/>
            <w:vAlign w:val="center"/>
          </w:tcPr>
          <w:p w:rsidR="00B070BF" w:rsidRPr="009577DE" w:rsidRDefault="00B070BF" w:rsidP="00C33D4A">
            <w:pPr>
              <w:autoSpaceDE w:val="0"/>
              <w:autoSpaceDN w:val="0"/>
              <w:adjustRightInd w:val="0"/>
              <w:spacing w:after="220"/>
              <w:jc w:val="center"/>
              <w:rPr>
                <w:rFonts w:eastAsia="MS Mincho"/>
                <w:sz w:val="16"/>
                <w:szCs w:val="16"/>
                <w:lang w:val="es-ES_tradnl" w:eastAsia="ja-JP" w:bidi="th-TH"/>
              </w:rPr>
            </w:pPr>
            <w:r w:rsidRPr="009577DE">
              <w:rPr>
                <w:rFonts w:eastAsia="MS Mincho"/>
                <w:sz w:val="16"/>
                <w:szCs w:val="16"/>
                <w:lang w:val="es-ES_tradnl" w:eastAsia="ja-JP" w:bidi="th-TH"/>
              </w:rPr>
              <w:t>–</w:t>
            </w:r>
          </w:p>
        </w:tc>
        <w:tc>
          <w:tcPr>
            <w:tcW w:w="1984" w:type="dxa"/>
            <w:shd w:val="clear" w:color="auto" w:fill="auto"/>
            <w:vAlign w:val="center"/>
          </w:tcPr>
          <w:p w:rsidR="00B070BF" w:rsidRPr="009577DE" w:rsidRDefault="00B070BF" w:rsidP="00C33D4A">
            <w:pPr>
              <w:autoSpaceDE w:val="0"/>
              <w:autoSpaceDN w:val="0"/>
              <w:adjustRightInd w:val="0"/>
              <w:spacing w:after="220"/>
              <w:jc w:val="center"/>
              <w:rPr>
                <w:rFonts w:eastAsia="MS Mincho"/>
                <w:sz w:val="16"/>
                <w:szCs w:val="16"/>
                <w:lang w:val="es-ES_tradnl" w:eastAsia="ja-JP" w:bidi="th-TH"/>
              </w:rPr>
            </w:pPr>
            <w:r w:rsidRPr="009577DE">
              <w:rPr>
                <w:rFonts w:eastAsia="MS Mincho"/>
                <w:sz w:val="16"/>
                <w:szCs w:val="16"/>
                <w:lang w:val="es-ES_tradnl" w:eastAsia="ja-JP" w:bidi="th-TH"/>
              </w:rPr>
              <w:t>121.</w:t>
            </w:r>
            <w:r>
              <w:rPr>
                <w:rFonts w:eastAsia="MS Mincho"/>
                <w:sz w:val="16"/>
                <w:szCs w:val="16"/>
                <w:lang w:val="es-ES_tradnl" w:eastAsia="ja-JP" w:bidi="th-TH"/>
              </w:rPr>
              <w:t>399</w:t>
            </w:r>
          </w:p>
        </w:tc>
      </w:tr>
    </w:tbl>
    <w:p w:rsidR="00B070BF" w:rsidRPr="009577DE" w:rsidRDefault="00B070BF" w:rsidP="00B070BF">
      <w:pPr>
        <w:spacing w:before="120"/>
        <w:rPr>
          <w:szCs w:val="22"/>
          <w:lang w:val="es-ES_tradnl"/>
        </w:rPr>
      </w:pPr>
      <w:r w:rsidRPr="009577DE">
        <w:rPr>
          <w:i/>
          <w:iCs/>
          <w:sz w:val="16"/>
          <w:szCs w:val="16"/>
          <w:vertAlign w:val="superscript"/>
          <w:lang w:val="es-ES_tradnl"/>
        </w:rPr>
        <w:t xml:space="preserve">1 </w:t>
      </w:r>
      <w:r w:rsidRPr="009577DE">
        <w:rPr>
          <w:i/>
          <w:iCs/>
          <w:sz w:val="16"/>
          <w:szCs w:val="16"/>
          <w:lang w:val="es-ES_tradnl"/>
        </w:rPr>
        <w:t>Estados financieros de la OMPI de 2012 (Anexo III)</w:t>
      </w:r>
    </w:p>
    <w:p w:rsidR="00B070BF" w:rsidRPr="009577DE" w:rsidRDefault="00B070BF" w:rsidP="00B070BF">
      <w:pPr>
        <w:rPr>
          <w:sz w:val="20"/>
          <w:lang w:val="es-ES_tradnl"/>
        </w:rPr>
      </w:pPr>
    </w:p>
    <w:p w:rsidR="00B070BF" w:rsidRPr="009577DE" w:rsidRDefault="00B070BF" w:rsidP="00B070BF">
      <w:pPr>
        <w:rPr>
          <w:b/>
          <w:sz w:val="20"/>
          <w:lang w:val="es-ES_tradnl"/>
        </w:rPr>
      </w:pPr>
    </w:p>
    <w:p w:rsidR="00B070BF" w:rsidRPr="009577DE" w:rsidRDefault="00B070BF" w:rsidP="00B070BF">
      <w:pPr>
        <w:rPr>
          <w:b/>
          <w:sz w:val="20"/>
          <w:lang w:val="es-ES_tradnl"/>
        </w:rPr>
      </w:pPr>
      <w:r w:rsidRPr="009577DE">
        <w:rPr>
          <w:b/>
          <w:sz w:val="20"/>
          <w:lang w:val="es-ES_tradnl"/>
        </w:rPr>
        <w:t>ESTADOS UNIDOS DE AMÉRICA – DERECHO DE AUTOR</w:t>
      </w:r>
    </w:p>
    <w:p w:rsidR="00B070BF" w:rsidRPr="009577DE" w:rsidRDefault="00B070BF" w:rsidP="00B070BF">
      <w:pPr>
        <w:rPr>
          <w:b/>
          <w:sz w:val="20"/>
          <w:lang w:val="es-ES_tradnl"/>
        </w:rPr>
      </w:pPr>
    </w:p>
    <w:tbl>
      <w:tblPr>
        <w:tblW w:w="9102" w:type="dxa"/>
        <w:tblInd w:w="78"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1873"/>
        <w:gridCol w:w="1134"/>
        <w:gridCol w:w="2835"/>
        <w:gridCol w:w="3260"/>
      </w:tblGrid>
      <w:tr w:rsidR="00B070BF" w:rsidRPr="009577DE" w:rsidTr="00C33D4A">
        <w:trPr>
          <w:cantSplit/>
        </w:trPr>
        <w:tc>
          <w:tcPr>
            <w:tcW w:w="9102" w:type="dxa"/>
            <w:gridSpan w:val="4"/>
            <w:tcBorders>
              <w:top w:val="single" w:sz="4" w:space="0" w:color="auto"/>
              <w:left w:val="single" w:sz="4" w:space="0" w:color="auto"/>
              <w:bottom w:val="single" w:sz="4" w:space="0" w:color="auto"/>
              <w:right w:val="single" w:sz="4" w:space="0" w:color="auto"/>
            </w:tcBorders>
            <w:shd w:val="clear" w:color="auto" w:fill="CCFFFF"/>
            <w:vAlign w:val="center"/>
          </w:tcPr>
          <w:p w:rsidR="00B070BF" w:rsidRPr="009577DE" w:rsidRDefault="00B070BF" w:rsidP="00C33D4A">
            <w:pPr>
              <w:keepNext/>
              <w:keepLines/>
              <w:tabs>
                <w:tab w:val="left" w:pos="1740"/>
              </w:tabs>
              <w:spacing w:before="120" w:after="120"/>
              <w:ind w:left="1740" w:hanging="1740"/>
              <w:rPr>
                <w:b/>
                <w:bCs/>
                <w:sz w:val="16"/>
                <w:szCs w:val="16"/>
                <w:lang w:val="es-ES_tradnl"/>
              </w:rPr>
            </w:pPr>
            <w:r w:rsidRPr="009577DE">
              <w:rPr>
                <w:b/>
                <w:bCs/>
                <w:sz w:val="16"/>
                <w:szCs w:val="16"/>
                <w:lang w:val="es-ES_tradnl"/>
              </w:rPr>
              <w:t>RESULTADO:</w:t>
            </w:r>
            <w:r w:rsidRPr="009577DE">
              <w:rPr>
                <w:bCs/>
                <w:sz w:val="16"/>
                <w:szCs w:val="16"/>
                <w:lang w:val="es-ES_tradnl"/>
              </w:rPr>
              <w:tab/>
              <w:t>Decisión fundamentada sobre cuestiones de derecho de autor.</w:t>
            </w:r>
          </w:p>
        </w:tc>
      </w:tr>
      <w:tr w:rsidR="00B070BF" w:rsidRPr="009577DE" w:rsidTr="00C33D4A">
        <w:trPr>
          <w:cantSplit/>
        </w:trPr>
        <w:tc>
          <w:tcPr>
            <w:tcW w:w="1873" w:type="dxa"/>
            <w:tcBorders>
              <w:top w:val="single" w:sz="4" w:space="0" w:color="auto"/>
              <w:left w:val="single" w:sz="4" w:space="0" w:color="auto"/>
              <w:bottom w:val="nil"/>
              <w:right w:val="nil"/>
            </w:tcBorders>
            <w:vAlign w:val="center"/>
          </w:tcPr>
          <w:p w:rsidR="00B070BF" w:rsidRPr="009577DE" w:rsidRDefault="00B070BF" w:rsidP="00C33D4A">
            <w:pPr>
              <w:keepNext/>
              <w:keepLines/>
              <w:rPr>
                <w:b/>
                <w:bCs/>
                <w:sz w:val="16"/>
                <w:szCs w:val="16"/>
                <w:lang w:val="es-ES_tradnl"/>
              </w:rPr>
            </w:pPr>
            <w:r w:rsidRPr="009577DE">
              <w:rPr>
                <w:b/>
                <w:bCs/>
                <w:sz w:val="16"/>
                <w:szCs w:val="16"/>
                <w:lang w:val="es-ES_tradnl"/>
              </w:rPr>
              <w:t>Actividad</w:t>
            </w:r>
          </w:p>
        </w:tc>
        <w:tc>
          <w:tcPr>
            <w:tcW w:w="1134" w:type="dxa"/>
            <w:tcBorders>
              <w:top w:val="single" w:sz="4" w:space="0" w:color="auto"/>
              <w:left w:val="nil"/>
              <w:bottom w:val="nil"/>
              <w:right w:val="nil"/>
            </w:tcBorders>
            <w:shd w:val="clear" w:color="auto" w:fill="auto"/>
            <w:tcMar>
              <w:top w:w="110" w:type="dxa"/>
            </w:tcMar>
            <w:vAlign w:val="center"/>
          </w:tcPr>
          <w:p w:rsidR="00B070BF" w:rsidRPr="009577DE" w:rsidRDefault="00B070BF" w:rsidP="00C33D4A">
            <w:pPr>
              <w:keepNext/>
              <w:keepLines/>
              <w:rPr>
                <w:sz w:val="16"/>
                <w:szCs w:val="16"/>
                <w:lang w:val="es-ES_tradnl"/>
              </w:rPr>
            </w:pPr>
            <w:r w:rsidRPr="009577DE">
              <w:rPr>
                <w:b/>
                <w:bCs/>
                <w:sz w:val="16"/>
                <w:szCs w:val="16"/>
                <w:lang w:val="es-ES_tradnl"/>
              </w:rPr>
              <w:t>Fecha</w:t>
            </w:r>
          </w:p>
        </w:tc>
        <w:tc>
          <w:tcPr>
            <w:tcW w:w="2835" w:type="dxa"/>
            <w:tcBorders>
              <w:top w:val="single" w:sz="4" w:space="0" w:color="auto"/>
              <w:left w:val="nil"/>
              <w:bottom w:val="nil"/>
              <w:right w:val="nil"/>
            </w:tcBorders>
            <w:shd w:val="clear" w:color="auto" w:fill="auto"/>
            <w:tcMar>
              <w:top w:w="110" w:type="dxa"/>
            </w:tcMar>
            <w:vAlign w:val="center"/>
          </w:tcPr>
          <w:p w:rsidR="00B070BF" w:rsidRPr="009577DE" w:rsidRDefault="00B070BF" w:rsidP="00C33D4A">
            <w:pPr>
              <w:keepNext/>
              <w:keepLines/>
              <w:rPr>
                <w:sz w:val="16"/>
                <w:szCs w:val="16"/>
                <w:lang w:val="es-ES_tradnl"/>
              </w:rPr>
            </w:pPr>
            <w:r w:rsidRPr="009577DE">
              <w:rPr>
                <w:b/>
                <w:bCs/>
                <w:sz w:val="16"/>
                <w:szCs w:val="16"/>
                <w:lang w:val="es-ES_tradnl"/>
              </w:rPr>
              <w:t>País anfitrión/Beneficiarios</w:t>
            </w:r>
          </w:p>
        </w:tc>
        <w:tc>
          <w:tcPr>
            <w:tcW w:w="3260" w:type="dxa"/>
            <w:tcBorders>
              <w:top w:val="single" w:sz="4" w:space="0" w:color="auto"/>
              <w:left w:val="nil"/>
              <w:bottom w:val="nil"/>
              <w:right w:val="single" w:sz="4" w:space="0" w:color="auto"/>
            </w:tcBorders>
            <w:shd w:val="clear" w:color="auto" w:fill="FFFFFF"/>
            <w:tcMar>
              <w:top w:w="110" w:type="dxa"/>
            </w:tcMar>
            <w:vAlign w:val="center"/>
          </w:tcPr>
          <w:p w:rsidR="00B070BF" w:rsidRPr="009577DE" w:rsidRDefault="00B070BF" w:rsidP="00C33D4A">
            <w:pPr>
              <w:keepNext/>
              <w:keepLines/>
              <w:rPr>
                <w:sz w:val="16"/>
                <w:szCs w:val="16"/>
                <w:lang w:val="es-ES_tradnl"/>
              </w:rPr>
            </w:pPr>
            <w:r w:rsidRPr="009577DE">
              <w:rPr>
                <w:b/>
                <w:bCs/>
                <w:sz w:val="16"/>
                <w:szCs w:val="16"/>
                <w:lang w:val="es-ES_tradnl"/>
              </w:rPr>
              <w:t>Propósito/Descripción</w:t>
            </w:r>
          </w:p>
        </w:tc>
      </w:tr>
      <w:tr w:rsidR="00B070BF" w:rsidRPr="009577DE" w:rsidTr="00C33D4A">
        <w:trPr>
          <w:cantSplit/>
          <w:trHeight w:val="487"/>
        </w:trPr>
        <w:tc>
          <w:tcPr>
            <w:tcW w:w="1873" w:type="dxa"/>
            <w:tcBorders>
              <w:top w:val="nil"/>
              <w:left w:val="single" w:sz="4" w:space="0" w:color="auto"/>
              <w:bottom w:val="nil"/>
              <w:right w:val="nil"/>
            </w:tcBorders>
          </w:tcPr>
          <w:p w:rsidR="00B070BF" w:rsidRPr="009577DE" w:rsidRDefault="00B070BF" w:rsidP="00C33D4A">
            <w:pPr>
              <w:autoSpaceDE w:val="0"/>
              <w:autoSpaceDN w:val="0"/>
              <w:adjustRightInd w:val="0"/>
              <w:spacing w:before="120" w:after="120"/>
              <w:rPr>
                <w:sz w:val="16"/>
                <w:szCs w:val="16"/>
                <w:lang w:val="es-ES_tradnl"/>
              </w:rPr>
            </w:pPr>
            <w:r w:rsidRPr="009577DE">
              <w:rPr>
                <w:sz w:val="16"/>
                <w:szCs w:val="16"/>
                <w:lang w:val="es-ES_tradnl"/>
              </w:rPr>
              <w:t xml:space="preserve">Estudios nacionales sobre la contribución económica de las industrias basadas en el derecho de autor. </w:t>
            </w:r>
          </w:p>
        </w:tc>
        <w:tc>
          <w:tcPr>
            <w:tcW w:w="1134" w:type="dxa"/>
            <w:tcBorders>
              <w:top w:val="nil"/>
              <w:left w:val="nil"/>
              <w:bottom w:val="nil"/>
              <w:right w:val="nil"/>
            </w:tcBorders>
          </w:tcPr>
          <w:p w:rsidR="00B070BF" w:rsidRPr="009577DE" w:rsidRDefault="00B070BF" w:rsidP="00C33D4A">
            <w:pPr>
              <w:autoSpaceDE w:val="0"/>
              <w:autoSpaceDN w:val="0"/>
              <w:adjustRightInd w:val="0"/>
              <w:spacing w:before="120" w:after="120"/>
              <w:rPr>
                <w:sz w:val="16"/>
                <w:szCs w:val="16"/>
                <w:lang w:val="es-ES_tradnl"/>
              </w:rPr>
            </w:pPr>
            <w:r w:rsidRPr="009577DE">
              <w:rPr>
                <w:sz w:val="16"/>
                <w:szCs w:val="16"/>
                <w:lang w:val="es-ES_tradnl"/>
              </w:rPr>
              <w:t>Enero a diciembre de 2012</w:t>
            </w:r>
          </w:p>
        </w:tc>
        <w:tc>
          <w:tcPr>
            <w:tcW w:w="2835" w:type="dxa"/>
            <w:tcBorders>
              <w:top w:val="nil"/>
              <w:left w:val="nil"/>
              <w:bottom w:val="nil"/>
              <w:right w:val="nil"/>
            </w:tcBorders>
          </w:tcPr>
          <w:p w:rsidR="00B070BF" w:rsidRPr="009577DE" w:rsidRDefault="00B070BF" w:rsidP="00C33D4A">
            <w:pPr>
              <w:autoSpaceDE w:val="0"/>
              <w:autoSpaceDN w:val="0"/>
              <w:adjustRightInd w:val="0"/>
              <w:spacing w:before="120" w:after="120"/>
              <w:rPr>
                <w:sz w:val="16"/>
                <w:szCs w:val="16"/>
                <w:lang w:val="es-ES_tradnl"/>
              </w:rPr>
            </w:pPr>
            <w:r w:rsidRPr="009577DE">
              <w:rPr>
                <w:sz w:val="16"/>
                <w:szCs w:val="16"/>
                <w:lang w:val="es-ES_tradnl"/>
              </w:rPr>
              <w:t xml:space="preserve">Albania, Argentina, Brasil, China, Indonesia, Jordania, Lituania, Malawi, Organización de los Estados del Caribe Oriental (OECO), República de Corea, República Unida de </w:t>
            </w:r>
            <w:proofErr w:type="spellStart"/>
            <w:r w:rsidRPr="009577DE">
              <w:rPr>
                <w:sz w:val="16"/>
                <w:szCs w:val="16"/>
                <w:lang w:val="es-ES_tradnl"/>
              </w:rPr>
              <w:t>Tanzanía</w:t>
            </w:r>
            <w:proofErr w:type="spellEnd"/>
            <w:r w:rsidRPr="009577DE">
              <w:rPr>
                <w:sz w:val="16"/>
                <w:szCs w:val="16"/>
                <w:lang w:val="es-ES_tradnl"/>
              </w:rPr>
              <w:t xml:space="preserve">, Tailandia, Trinidad y </w:t>
            </w:r>
            <w:proofErr w:type="spellStart"/>
            <w:r w:rsidRPr="009577DE">
              <w:rPr>
                <w:sz w:val="16"/>
                <w:szCs w:val="16"/>
                <w:lang w:val="es-ES_tradnl"/>
              </w:rPr>
              <w:t>Tabago</w:t>
            </w:r>
            <w:proofErr w:type="spellEnd"/>
            <w:r w:rsidRPr="009577DE">
              <w:rPr>
                <w:sz w:val="16"/>
                <w:szCs w:val="16"/>
                <w:lang w:val="es-ES_tradnl"/>
              </w:rPr>
              <w:t>, Sudáfrica</w:t>
            </w:r>
          </w:p>
          <w:p w:rsidR="00B070BF" w:rsidRPr="009577DE" w:rsidRDefault="00B070BF" w:rsidP="00C33D4A">
            <w:pPr>
              <w:autoSpaceDE w:val="0"/>
              <w:autoSpaceDN w:val="0"/>
              <w:adjustRightInd w:val="0"/>
              <w:spacing w:before="120" w:after="120"/>
              <w:rPr>
                <w:sz w:val="16"/>
                <w:szCs w:val="16"/>
                <w:lang w:val="es-ES_tradnl"/>
              </w:rPr>
            </w:pPr>
          </w:p>
        </w:tc>
        <w:tc>
          <w:tcPr>
            <w:tcW w:w="3260" w:type="dxa"/>
            <w:tcBorders>
              <w:top w:val="nil"/>
              <w:left w:val="nil"/>
              <w:bottom w:val="nil"/>
              <w:right w:val="single" w:sz="4" w:space="0" w:color="auto"/>
            </w:tcBorders>
          </w:tcPr>
          <w:p w:rsidR="00B070BF" w:rsidRPr="009577DE" w:rsidRDefault="00B070BF" w:rsidP="00C33D4A">
            <w:pPr>
              <w:autoSpaceDE w:val="0"/>
              <w:autoSpaceDN w:val="0"/>
              <w:adjustRightInd w:val="0"/>
              <w:spacing w:before="120" w:after="120"/>
              <w:rPr>
                <w:sz w:val="16"/>
                <w:szCs w:val="16"/>
                <w:lang w:val="es-ES_tradnl"/>
              </w:rPr>
            </w:pPr>
            <w:r w:rsidRPr="009577DE">
              <w:rPr>
                <w:sz w:val="16"/>
                <w:szCs w:val="16"/>
                <w:lang w:val="es-ES_tradnl"/>
              </w:rPr>
              <w:t>i) Cuantificar la contribución económica que las industrias basadas en el derecho de autor hacen a la economía;  y ii) ofrecer una base para la determinación de políticas a través del recurso a la información estadística.</w:t>
            </w:r>
          </w:p>
        </w:tc>
      </w:tr>
      <w:tr w:rsidR="00B070BF" w:rsidRPr="009577DE" w:rsidTr="00C33D4A">
        <w:trPr>
          <w:cantSplit/>
          <w:trHeight w:val="537"/>
        </w:trPr>
        <w:tc>
          <w:tcPr>
            <w:tcW w:w="1873" w:type="dxa"/>
            <w:tcBorders>
              <w:top w:val="nil"/>
              <w:left w:val="single" w:sz="4" w:space="0" w:color="auto"/>
              <w:bottom w:val="single" w:sz="4" w:space="0" w:color="auto"/>
              <w:right w:val="nil"/>
            </w:tcBorders>
          </w:tcPr>
          <w:p w:rsidR="00B070BF" w:rsidRPr="009577DE" w:rsidRDefault="00B070BF" w:rsidP="00C33D4A">
            <w:pPr>
              <w:autoSpaceDE w:val="0"/>
              <w:autoSpaceDN w:val="0"/>
              <w:adjustRightInd w:val="0"/>
              <w:spacing w:before="120" w:after="120"/>
              <w:rPr>
                <w:sz w:val="16"/>
                <w:szCs w:val="16"/>
                <w:lang w:val="es-ES_tradnl"/>
              </w:rPr>
            </w:pPr>
            <w:r w:rsidRPr="009577DE">
              <w:rPr>
                <w:sz w:val="16"/>
                <w:szCs w:val="16"/>
                <w:lang w:val="es-ES_tradnl"/>
              </w:rPr>
              <w:t>Estudios de impacto sobre determinadas industrias basadas en el derecho de autor.</w:t>
            </w:r>
          </w:p>
        </w:tc>
        <w:tc>
          <w:tcPr>
            <w:tcW w:w="1134" w:type="dxa"/>
            <w:tcBorders>
              <w:top w:val="nil"/>
              <w:left w:val="nil"/>
              <w:bottom w:val="single" w:sz="4" w:space="0" w:color="auto"/>
              <w:right w:val="nil"/>
            </w:tcBorders>
          </w:tcPr>
          <w:p w:rsidR="00B070BF" w:rsidRPr="009577DE" w:rsidRDefault="00B070BF" w:rsidP="00C33D4A">
            <w:pPr>
              <w:autoSpaceDE w:val="0"/>
              <w:autoSpaceDN w:val="0"/>
              <w:adjustRightInd w:val="0"/>
              <w:spacing w:before="120" w:after="120"/>
              <w:rPr>
                <w:sz w:val="16"/>
                <w:szCs w:val="16"/>
                <w:lang w:val="es-ES_tradnl"/>
              </w:rPr>
            </w:pPr>
            <w:r w:rsidRPr="009577DE">
              <w:rPr>
                <w:sz w:val="16"/>
                <w:szCs w:val="16"/>
                <w:lang w:val="es-ES_tradnl"/>
              </w:rPr>
              <w:t>Enero a diciembre de 2012</w:t>
            </w:r>
          </w:p>
        </w:tc>
        <w:tc>
          <w:tcPr>
            <w:tcW w:w="2835" w:type="dxa"/>
            <w:tcBorders>
              <w:top w:val="nil"/>
              <w:left w:val="nil"/>
              <w:bottom w:val="single" w:sz="4" w:space="0" w:color="auto"/>
              <w:right w:val="nil"/>
            </w:tcBorders>
          </w:tcPr>
          <w:p w:rsidR="00B070BF" w:rsidRPr="009577DE" w:rsidRDefault="00B070BF" w:rsidP="00C33D4A">
            <w:pPr>
              <w:autoSpaceDE w:val="0"/>
              <w:autoSpaceDN w:val="0"/>
              <w:adjustRightInd w:val="0"/>
              <w:spacing w:before="120" w:after="120"/>
              <w:rPr>
                <w:sz w:val="16"/>
                <w:szCs w:val="16"/>
                <w:lang w:val="es-ES_tradnl"/>
              </w:rPr>
            </w:pPr>
            <w:r w:rsidRPr="009577DE">
              <w:rPr>
                <w:sz w:val="16"/>
                <w:szCs w:val="16"/>
                <w:lang w:val="es-ES_tradnl"/>
              </w:rPr>
              <w:t>China, México, Líbano</w:t>
            </w:r>
          </w:p>
        </w:tc>
        <w:tc>
          <w:tcPr>
            <w:tcW w:w="3260" w:type="dxa"/>
            <w:tcBorders>
              <w:top w:val="nil"/>
              <w:left w:val="nil"/>
              <w:bottom w:val="single" w:sz="4" w:space="0" w:color="auto"/>
              <w:right w:val="single" w:sz="4" w:space="0" w:color="auto"/>
            </w:tcBorders>
          </w:tcPr>
          <w:p w:rsidR="00B070BF" w:rsidRPr="009577DE" w:rsidRDefault="00B070BF" w:rsidP="00C33D4A">
            <w:pPr>
              <w:autoSpaceDE w:val="0"/>
              <w:autoSpaceDN w:val="0"/>
              <w:adjustRightInd w:val="0"/>
              <w:spacing w:before="120" w:after="120"/>
              <w:rPr>
                <w:sz w:val="16"/>
                <w:szCs w:val="16"/>
                <w:lang w:val="es-ES_tradnl"/>
              </w:rPr>
            </w:pPr>
            <w:r w:rsidRPr="009577DE">
              <w:rPr>
                <w:sz w:val="16"/>
                <w:szCs w:val="16"/>
                <w:lang w:val="es-ES_tradnl"/>
              </w:rPr>
              <w:t>i) Analizar las repercusiones del derecho de autor en distintos sectores de las industrias basadas en él;  y ii) velar por que se comprendan mejor las tendencias de las industrias creativas y los factores que influyen en su rendimiento.</w:t>
            </w:r>
          </w:p>
        </w:tc>
      </w:tr>
      <w:tr w:rsidR="00B070BF" w:rsidRPr="009577DE" w:rsidTr="00C33D4A">
        <w:trPr>
          <w:cantSplit/>
        </w:trPr>
        <w:tc>
          <w:tcPr>
            <w:tcW w:w="9102" w:type="dxa"/>
            <w:gridSpan w:val="4"/>
            <w:tcBorders>
              <w:top w:val="single" w:sz="4" w:space="0" w:color="auto"/>
              <w:left w:val="single" w:sz="4" w:space="0" w:color="auto"/>
              <w:bottom w:val="single" w:sz="4" w:space="0" w:color="auto"/>
              <w:right w:val="single" w:sz="4" w:space="0" w:color="auto"/>
            </w:tcBorders>
            <w:shd w:val="clear" w:color="auto" w:fill="CCFFFF"/>
            <w:vAlign w:val="center"/>
          </w:tcPr>
          <w:p w:rsidR="00B070BF" w:rsidRPr="009577DE" w:rsidRDefault="00B070BF" w:rsidP="00C33D4A">
            <w:pPr>
              <w:keepNext/>
              <w:keepLines/>
              <w:tabs>
                <w:tab w:val="left" w:pos="1740"/>
              </w:tabs>
              <w:spacing w:before="120" w:after="120"/>
              <w:ind w:left="1740" w:hanging="1740"/>
              <w:rPr>
                <w:b/>
                <w:bCs/>
                <w:sz w:val="16"/>
                <w:szCs w:val="16"/>
                <w:lang w:val="es-ES_tradnl"/>
              </w:rPr>
            </w:pPr>
            <w:r w:rsidRPr="009577DE">
              <w:rPr>
                <w:b/>
                <w:bCs/>
                <w:sz w:val="16"/>
                <w:szCs w:val="16"/>
                <w:lang w:val="es-ES_tradnl"/>
              </w:rPr>
              <w:t>RESULTADO:</w:t>
            </w:r>
            <w:r w:rsidRPr="009577DE">
              <w:rPr>
                <w:b/>
                <w:bCs/>
                <w:sz w:val="16"/>
                <w:szCs w:val="16"/>
                <w:lang w:val="es-ES_tradnl"/>
              </w:rPr>
              <w:tab/>
            </w:r>
            <w:r w:rsidRPr="009577DE">
              <w:rPr>
                <w:bCs/>
                <w:sz w:val="16"/>
                <w:szCs w:val="16"/>
                <w:lang w:val="es-ES_tradnl"/>
              </w:rPr>
              <w:t>Mejora de las capacidades en el ámbito de los recursos humanos para hacer frente al amplio espectro de exigencias que supone la utilización eficaz de la P.I. en aras del desarrollo en los países en desarrollo, PMA y países con economías en transición</w:t>
            </w:r>
          </w:p>
        </w:tc>
      </w:tr>
      <w:tr w:rsidR="00B070BF" w:rsidRPr="009577DE" w:rsidTr="00C33D4A">
        <w:trPr>
          <w:cantSplit/>
          <w:trHeight w:val="1524"/>
        </w:trPr>
        <w:tc>
          <w:tcPr>
            <w:tcW w:w="1873" w:type="dxa"/>
            <w:tcBorders>
              <w:top w:val="single" w:sz="4" w:space="0" w:color="auto"/>
              <w:left w:val="single" w:sz="4" w:space="0" w:color="auto"/>
              <w:bottom w:val="nil"/>
              <w:right w:val="nil"/>
            </w:tcBorders>
          </w:tcPr>
          <w:p w:rsidR="00B070BF" w:rsidRPr="009577DE" w:rsidRDefault="00B070BF" w:rsidP="00C33D4A">
            <w:pPr>
              <w:autoSpaceDE w:val="0"/>
              <w:autoSpaceDN w:val="0"/>
              <w:adjustRightInd w:val="0"/>
              <w:spacing w:before="120" w:after="120"/>
              <w:rPr>
                <w:sz w:val="16"/>
                <w:szCs w:val="16"/>
                <w:lang w:val="es-ES_tradnl"/>
              </w:rPr>
            </w:pPr>
            <w:r w:rsidRPr="009577DE">
              <w:rPr>
                <w:sz w:val="16"/>
                <w:szCs w:val="16"/>
                <w:lang w:val="es-ES_tradnl"/>
              </w:rPr>
              <w:t>Publicación y traducción de los instrumentos de formación en gestión de la P.I. para determinados sectores de las industrias basadas en el derecho de autor.</w:t>
            </w:r>
          </w:p>
        </w:tc>
        <w:tc>
          <w:tcPr>
            <w:tcW w:w="1134" w:type="dxa"/>
            <w:tcBorders>
              <w:top w:val="single" w:sz="4" w:space="0" w:color="auto"/>
              <w:left w:val="nil"/>
              <w:bottom w:val="nil"/>
              <w:right w:val="nil"/>
            </w:tcBorders>
          </w:tcPr>
          <w:p w:rsidR="00B070BF" w:rsidRPr="009577DE" w:rsidRDefault="00B070BF" w:rsidP="00C33D4A">
            <w:pPr>
              <w:autoSpaceDE w:val="0"/>
              <w:autoSpaceDN w:val="0"/>
              <w:adjustRightInd w:val="0"/>
              <w:spacing w:before="120" w:after="120"/>
              <w:rPr>
                <w:sz w:val="16"/>
                <w:szCs w:val="16"/>
                <w:lang w:val="es-ES_tradnl"/>
              </w:rPr>
            </w:pPr>
            <w:r w:rsidRPr="009577DE">
              <w:rPr>
                <w:sz w:val="16"/>
                <w:szCs w:val="16"/>
                <w:lang w:val="es-ES_tradnl"/>
              </w:rPr>
              <w:t>Enero a diciembre de 2012</w:t>
            </w:r>
          </w:p>
        </w:tc>
        <w:tc>
          <w:tcPr>
            <w:tcW w:w="2835" w:type="dxa"/>
            <w:tcBorders>
              <w:top w:val="single" w:sz="4" w:space="0" w:color="auto"/>
              <w:left w:val="nil"/>
              <w:bottom w:val="nil"/>
              <w:right w:val="nil"/>
            </w:tcBorders>
          </w:tcPr>
          <w:p w:rsidR="00B070BF" w:rsidRPr="009577DE" w:rsidRDefault="00B070BF" w:rsidP="00C33D4A">
            <w:pPr>
              <w:autoSpaceDE w:val="0"/>
              <w:autoSpaceDN w:val="0"/>
              <w:adjustRightInd w:val="0"/>
              <w:spacing w:before="120" w:after="120"/>
              <w:rPr>
                <w:sz w:val="16"/>
                <w:szCs w:val="16"/>
                <w:lang w:val="es-ES_tradnl"/>
              </w:rPr>
            </w:pPr>
            <w:r w:rsidRPr="009577DE">
              <w:rPr>
                <w:sz w:val="16"/>
                <w:szCs w:val="16"/>
                <w:lang w:val="es-ES_tradnl"/>
              </w:rPr>
              <w:t>Todos los Estados miembros de la OMPI</w:t>
            </w:r>
          </w:p>
        </w:tc>
        <w:tc>
          <w:tcPr>
            <w:tcW w:w="3260" w:type="dxa"/>
            <w:tcBorders>
              <w:top w:val="single" w:sz="4" w:space="0" w:color="auto"/>
              <w:left w:val="nil"/>
              <w:bottom w:val="nil"/>
              <w:right w:val="single" w:sz="4" w:space="0" w:color="auto"/>
            </w:tcBorders>
          </w:tcPr>
          <w:p w:rsidR="00B070BF" w:rsidRPr="009577DE" w:rsidRDefault="00B070BF" w:rsidP="00C33D4A">
            <w:pPr>
              <w:autoSpaceDE w:val="0"/>
              <w:autoSpaceDN w:val="0"/>
              <w:adjustRightInd w:val="0"/>
              <w:spacing w:before="120" w:after="120"/>
              <w:rPr>
                <w:sz w:val="16"/>
                <w:szCs w:val="16"/>
                <w:lang w:val="es-ES_tradnl"/>
              </w:rPr>
            </w:pPr>
            <w:r w:rsidRPr="009577DE">
              <w:rPr>
                <w:sz w:val="16"/>
                <w:szCs w:val="16"/>
                <w:lang w:val="es-ES_tradnl"/>
              </w:rPr>
              <w:t>Afianzar el conocimiento de los colectivos interesados en las industrias creativas para que comprendan y gestionen la P.I. o el derecho de autor en determinados sectores de esas industrias.</w:t>
            </w:r>
          </w:p>
        </w:tc>
      </w:tr>
      <w:tr w:rsidR="00B070BF" w:rsidRPr="009577DE" w:rsidTr="00C33D4A">
        <w:trPr>
          <w:cantSplit/>
          <w:trHeight w:val="547"/>
        </w:trPr>
        <w:tc>
          <w:tcPr>
            <w:tcW w:w="1873" w:type="dxa"/>
            <w:tcBorders>
              <w:top w:val="nil"/>
              <w:left w:val="single" w:sz="4" w:space="0" w:color="auto"/>
              <w:bottom w:val="single" w:sz="4" w:space="0" w:color="auto"/>
              <w:right w:val="nil"/>
            </w:tcBorders>
          </w:tcPr>
          <w:p w:rsidR="00B070BF" w:rsidRPr="009577DE" w:rsidRDefault="00B070BF" w:rsidP="00C33D4A">
            <w:pPr>
              <w:autoSpaceDE w:val="0"/>
              <w:autoSpaceDN w:val="0"/>
              <w:adjustRightInd w:val="0"/>
              <w:spacing w:before="120" w:after="120"/>
              <w:rPr>
                <w:sz w:val="16"/>
                <w:szCs w:val="16"/>
                <w:lang w:val="es-ES_tradnl"/>
              </w:rPr>
            </w:pPr>
            <w:r w:rsidRPr="009577DE">
              <w:rPr>
                <w:sz w:val="16"/>
                <w:szCs w:val="16"/>
                <w:lang w:val="es-ES_tradnl"/>
              </w:rPr>
              <w:t>Actividades de concienciación y formación.</w:t>
            </w:r>
          </w:p>
        </w:tc>
        <w:tc>
          <w:tcPr>
            <w:tcW w:w="1134" w:type="dxa"/>
            <w:tcBorders>
              <w:top w:val="nil"/>
              <w:left w:val="nil"/>
              <w:bottom w:val="single" w:sz="4" w:space="0" w:color="auto"/>
              <w:right w:val="nil"/>
            </w:tcBorders>
          </w:tcPr>
          <w:p w:rsidR="00B070BF" w:rsidRPr="009577DE" w:rsidRDefault="00B070BF" w:rsidP="00C33D4A">
            <w:pPr>
              <w:autoSpaceDE w:val="0"/>
              <w:autoSpaceDN w:val="0"/>
              <w:adjustRightInd w:val="0"/>
              <w:spacing w:before="120" w:after="120"/>
              <w:rPr>
                <w:sz w:val="16"/>
                <w:szCs w:val="16"/>
                <w:lang w:val="es-ES_tradnl"/>
              </w:rPr>
            </w:pPr>
            <w:r w:rsidRPr="009577DE">
              <w:rPr>
                <w:sz w:val="16"/>
                <w:szCs w:val="16"/>
                <w:lang w:val="es-ES_tradnl"/>
              </w:rPr>
              <w:t>Enero a diciembre de 2012</w:t>
            </w:r>
          </w:p>
        </w:tc>
        <w:tc>
          <w:tcPr>
            <w:tcW w:w="2835" w:type="dxa"/>
            <w:tcBorders>
              <w:top w:val="nil"/>
              <w:left w:val="nil"/>
              <w:bottom w:val="single" w:sz="4" w:space="0" w:color="auto"/>
              <w:right w:val="nil"/>
            </w:tcBorders>
          </w:tcPr>
          <w:p w:rsidR="00B070BF" w:rsidRPr="009577DE" w:rsidRDefault="00B070BF" w:rsidP="00C33D4A">
            <w:pPr>
              <w:autoSpaceDE w:val="0"/>
              <w:autoSpaceDN w:val="0"/>
              <w:adjustRightInd w:val="0"/>
              <w:spacing w:before="120" w:after="120"/>
              <w:rPr>
                <w:sz w:val="16"/>
                <w:szCs w:val="16"/>
                <w:lang w:val="es-ES_tradnl"/>
              </w:rPr>
            </w:pPr>
            <w:r w:rsidRPr="009577DE">
              <w:rPr>
                <w:sz w:val="16"/>
                <w:szCs w:val="16"/>
                <w:lang w:val="es-ES_tradnl"/>
              </w:rPr>
              <w:t>Ecuador, India, Jamaica, Paraguay, Nigeria, Túnez, Filipinas</w:t>
            </w:r>
          </w:p>
        </w:tc>
        <w:tc>
          <w:tcPr>
            <w:tcW w:w="3260" w:type="dxa"/>
            <w:tcBorders>
              <w:top w:val="nil"/>
              <w:left w:val="nil"/>
              <w:bottom w:val="single" w:sz="4" w:space="0" w:color="auto"/>
              <w:right w:val="single" w:sz="4" w:space="0" w:color="auto"/>
            </w:tcBorders>
          </w:tcPr>
          <w:p w:rsidR="00B070BF" w:rsidRPr="009577DE" w:rsidRDefault="00B070BF" w:rsidP="00C33D4A">
            <w:pPr>
              <w:autoSpaceDE w:val="0"/>
              <w:autoSpaceDN w:val="0"/>
              <w:adjustRightInd w:val="0"/>
              <w:spacing w:before="120" w:after="120"/>
              <w:rPr>
                <w:sz w:val="16"/>
                <w:szCs w:val="16"/>
                <w:lang w:val="es-ES_tradnl"/>
              </w:rPr>
            </w:pPr>
            <w:r w:rsidRPr="009577DE">
              <w:rPr>
                <w:sz w:val="16"/>
                <w:szCs w:val="16"/>
                <w:lang w:val="es-ES_tradnl"/>
              </w:rPr>
              <w:t>Afianzar el conocimiento de los colectivos interesados en las industrias creativas para que comprendan y gestionen la P.I. o el derecho de autor en determinados sectores de esas industrias.</w:t>
            </w:r>
          </w:p>
        </w:tc>
      </w:tr>
      <w:tr w:rsidR="00B070BF" w:rsidRPr="009577DE" w:rsidTr="00C33D4A">
        <w:trPr>
          <w:cantSplit/>
        </w:trPr>
        <w:tc>
          <w:tcPr>
            <w:tcW w:w="9102" w:type="dxa"/>
            <w:gridSpan w:val="4"/>
            <w:tcBorders>
              <w:top w:val="single" w:sz="4" w:space="0" w:color="auto"/>
              <w:left w:val="single" w:sz="4" w:space="0" w:color="auto"/>
              <w:bottom w:val="single" w:sz="4" w:space="0" w:color="auto"/>
              <w:right w:val="single" w:sz="4" w:space="0" w:color="auto"/>
            </w:tcBorders>
            <w:shd w:val="clear" w:color="auto" w:fill="CCFFFF"/>
            <w:vAlign w:val="center"/>
          </w:tcPr>
          <w:p w:rsidR="00B070BF" w:rsidRPr="009577DE" w:rsidRDefault="00B070BF" w:rsidP="00C33D4A">
            <w:pPr>
              <w:keepNext/>
              <w:keepLines/>
              <w:tabs>
                <w:tab w:val="left" w:pos="1740"/>
              </w:tabs>
              <w:spacing w:before="120" w:after="120"/>
              <w:ind w:left="1740" w:hanging="1740"/>
              <w:rPr>
                <w:b/>
                <w:bCs/>
                <w:sz w:val="16"/>
                <w:szCs w:val="16"/>
                <w:lang w:val="es-ES_tradnl"/>
              </w:rPr>
            </w:pPr>
            <w:r w:rsidRPr="009577DE">
              <w:rPr>
                <w:b/>
                <w:bCs/>
                <w:sz w:val="16"/>
                <w:szCs w:val="16"/>
                <w:lang w:val="es-ES_tradnl"/>
              </w:rPr>
              <w:lastRenderedPageBreak/>
              <w:t>RESULTADO:</w:t>
            </w:r>
            <w:r w:rsidRPr="009577DE">
              <w:rPr>
                <w:b/>
                <w:bCs/>
                <w:sz w:val="16"/>
                <w:szCs w:val="16"/>
                <w:lang w:val="es-ES_tradnl"/>
              </w:rPr>
              <w:tab/>
            </w:r>
            <w:r w:rsidRPr="009577DE">
              <w:rPr>
                <w:bCs/>
                <w:sz w:val="16"/>
                <w:szCs w:val="16"/>
                <w:lang w:val="es-ES_tradnl"/>
              </w:rPr>
              <w:t>Mejora en el acceso a la información y los conocimientos sobre P.I. y su utilización por las instituciones de P.I. y el público, para fomentar la innovación y aumentar el acceso a las obras que son fruto de la creatividad, también las que son del dominio público</w:t>
            </w:r>
          </w:p>
        </w:tc>
      </w:tr>
      <w:tr w:rsidR="00B070BF" w:rsidRPr="009577DE" w:rsidTr="00C33D4A">
        <w:trPr>
          <w:cantSplit/>
        </w:trPr>
        <w:tc>
          <w:tcPr>
            <w:tcW w:w="1873" w:type="dxa"/>
            <w:tcBorders>
              <w:top w:val="single" w:sz="4" w:space="0" w:color="auto"/>
              <w:left w:val="single" w:sz="4" w:space="0" w:color="auto"/>
              <w:bottom w:val="single" w:sz="4" w:space="0" w:color="auto"/>
              <w:right w:val="nil"/>
            </w:tcBorders>
          </w:tcPr>
          <w:p w:rsidR="00B070BF" w:rsidRPr="009577DE" w:rsidRDefault="00B070BF" w:rsidP="00C33D4A">
            <w:pPr>
              <w:autoSpaceDE w:val="0"/>
              <w:autoSpaceDN w:val="0"/>
              <w:adjustRightInd w:val="0"/>
              <w:spacing w:before="120" w:after="120"/>
              <w:rPr>
                <w:sz w:val="16"/>
                <w:szCs w:val="16"/>
                <w:lang w:val="es-ES_tradnl"/>
              </w:rPr>
            </w:pPr>
            <w:r w:rsidRPr="009577DE">
              <w:rPr>
                <w:sz w:val="16"/>
                <w:szCs w:val="16"/>
                <w:lang w:val="es-ES_tradnl"/>
              </w:rPr>
              <w:t>Elaboración de metodologías.</w:t>
            </w:r>
          </w:p>
        </w:tc>
        <w:tc>
          <w:tcPr>
            <w:tcW w:w="1134" w:type="dxa"/>
            <w:tcBorders>
              <w:top w:val="single" w:sz="4" w:space="0" w:color="auto"/>
              <w:left w:val="nil"/>
              <w:bottom w:val="single" w:sz="4" w:space="0" w:color="auto"/>
              <w:right w:val="nil"/>
            </w:tcBorders>
          </w:tcPr>
          <w:p w:rsidR="00B070BF" w:rsidRPr="009577DE" w:rsidRDefault="00B070BF" w:rsidP="00C33D4A">
            <w:pPr>
              <w:autoSpaceDE w:val="0"/>
              <w:autoSpaceDN w:val="0"/>
              <w:adjustRightInd w:val="0"/>
              <w:spacing w:before="120" w:after="120"/>
              <w:rPr>
                <w:sz w:val="16"/>
                <w:szCs w:val="16"/>
                <w:lang w:val="es-ES_tradnl"/>
              </w:rPr>
            </w:pPr>
            <w:r w:rsidRPr="009577DE">
              <w:rPr>
                <w:sz w:val="16"/>
                <w:szCs w:val="16"/>
                <w:lang w:val="es-ES_tradnl"/>
              </w:rPr>
              <w:t>Enero a diciembre de 2012</w:t>
            </w:r>
          </w:p>
        </w:tc>
        <w:tc>
          <w:tcPr>
            <w:tcW w:w="2835" w:type="dxa"/>
            <w:tcBorders>
              <w:top w:val="single" w:sz="4" w:space="0" w:color="auto"/>
              <w:left w:val="nil"/>
              <w:bottom w:val="single" w:sz="4" w:space="0" w:color="auto"/>
              <w:right w:val="nil"/>
            </w:tcBorders>
          </w:tcPr>
          <w:p w:rsidR="00B070BF" w:rsidRPr="009577DE" w:rsidRDefault="00B070BF" w:rsidP="00C33D4A">
            <w:pPr>
              <w:autoSpaceDE w:val="0"/>
              <w:autoSpaceDN w:val="0"/>
              <w:adjustRightInd w:val="0"/>
              <w:spacing w:before="120" w:after="120"/>
              <w:rPr>
                <w:sz w:val="16"/>
                <w:szCs w:val="16"/>
                <w:lang w:val="es-ES_tradnl"/>
              </w:rPr>
            </w:pPr>
            <w:r w:rsidRPr="009577DE">
              <w:rPr>
                <w:sz w:val="16"/>
                <w:szCs w:val="16"/>
                <w:lang w:val="es-ES_tradnl"/>
              </w:rPr>
              <w:t>Todos los Estados miembros de la OMPI</w:t>
            </w:r>
          </w:p>
        </w:tc>
        <w:tc>
          <w:tcPr>
            <w:tcW w:w="3260" w:type="dxa"/>
            <w:tcBorders>
              <w:top w:val="single" w:sz="4" w:space="0" w:color="auto"/>
              <w:left w:val="nil"/>
              <w:bottom w:val="single" w:sz="4" w:space="0" w:color="auto"/>
              <w:right w:val="single" w:sz="4" w:space="0" w:color="auto"/>
            </w:tcBorders>
          </w:tcPr>
          <w:p w:rsidR="00B070BF" w:rsidRPr="009577DE" w:rsidRDefault="00B070BF" w:rsidP="00C33D4A">
            <w:pPr>
              <w:autoSpaceDE w:val="0"/>
              <w:autoSpaceDN w:val="0"/>
              <w:adjustRightInd w:val="0"/>
              <w:spacing w:before="120" w:after="120"/>
              <w:rPr>
                <w:sz w:val="16"/>
                <w:szCs w:val="16"/>
                <w:lang w:val="es-ES_tradnl"/>
              </w:rPr>
            </w:pPr>
            <w:r w:rsidRPr="009577DE">
              <w:rPr>
                <w:sz w:val="16"/>
                <w:szCs w:val="16"/>
                <w:lang w:val="es-ES_tradnl"/>
              </w:rPr>
              <w:t>Ofrecer instrumentos para que los encargados de la formulación de políticas puedan elaborar políticas en materia de P.I. basadas en metodologías analíticas prácticas y comprobadas.</w:t>
            </w:r>
          </w:p>
        </w:tc>
      </w:tr>
    </w:tbl>
    <w:p w:rsidR="00B070BF" w:rsidRPr="00CB04A8" w:rsidRDefault="00B070BF" w:rsidP="00B070BF">
      <w:pPr>
        <w:rPr>
          <w:b/>
          <w:sz w:val="16"/>
          <w:szCs w:val="16"/>
          <w:lang w:val="es-ES_tradnl"/>
        </w:rPr>
      </w:pPr>
    </w:p>
    <w:p w:rsidR="00B070BF" w:rsidRPr="00CB04A8" w:rsidRDefault="00B070BF" w:rsidP="00B070BF">
      <w:pPr>
        <w:rPr>
          <w:b/>
          <w:sz w:val="16"/>
          <w:szCs w:val="16"/>
          <w:lang w:val="es-ES_tradnl"/>
        </w:rPr>
      </w:pPr>
    </w:p>
    <w:p w:rsidR="00B070BF" w:rsidRPr="009577DE" w:rsidRDefault="00B070BF" w:rsidP="00B070BF">
      <w:pPr>
        <w:rPr>
          <w:b/>
          <w:sz w:val="20"/>
          <w:lang w:val="es-ES_tradnl"/>
        </w:rPr>
      </w:pPr>
      <w:r w:rsidRPr="009577DE">
        <w:rPr>
          <w:b/>
          <w:sz w:val="20"/>
          <w:lang w:val="es-ES_tradnl"/>
        </w:rPr>
        <w:t>ESTADOS UNIDOS DE AMÉRICA – DERECHO DE AUTOR Contribuciones de donantes y gastos en 2012</w:t>
      </w:r>
      <w:r w:rsidRPr="009577DE">
        <w:rPr>
          <w:b/>
          <w:sz w:val="20"/>
          <w:vertAlign w:val="superscript"/>
          <w:lang w:val="es-ES_tradnl"/>
        </w:rPr>
        <w:t>1</w:t>
      </w:r>
    </w:p>
    <w:p w:rsidR="00B070BF" w:rsidRPr="009577DE" w:rsidRDefault="00B070BF" w:rsidP="00B070BF">
      <w:pPr>
        <w:rPr>
          <w:sz w:val="20"/>
          <w:lang w:val="es-ES_tradn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3"/>
        <w:gridCol w:w="1701"/>
        <w:gridCol w:w="1843"/>
        <w:gridCol w:w="1701"/>
        <w:gridCol w:w="1984"/>
      </w:tblGrid>
      <w:tr w:rsidR="00B070BF" w:rsidRPr="009577DE" w:rsidTr="00C33D4A">
        <w:trPr>
          <w:trHeight w:val="567"/>
        </w:trPr>
        <w:tc>
          <w:tcPr>
            <w:tcW w:w="1843" w:type="dxa"/>
            <w:shd w:val="clear" w:color="auto" w:fill="CCFFFF"/>
            <w:vAlign w:val="center"/>
          </w:tcPr>
          <w:p w:rsidR="00B070BF" w:rsidRPr="009577DE" w:rsidRDefault="00B070BF" w:rsidP="00C33D4A">
            <w:pPr>
              <w:spacing w:after="220"/>
              <w:jc w:val="center"/>
              <w:rPr>
                <w:b/>
                <w:sz w:val="16"/>
                <w:szCs w:val="16"/>
                <w:lang w:val="es-ES_tradnl"/>
              </w:rPr>
            </w:pPr>
            <w:r w:rsidRPr="009577DE">
              <w:rPr>
                <w:b/>
                <w:sz w:val="16"/>
                <w:szCs w:val="16"/>
                <w:lang w:val="es-ES_tradnl"/>
              </w:rPr>
              <w:t>Balance a 31 de diciembre de 2011</w:t>
            </w:r>
          </w:p>
        </w:tc>
        <w:tc>
          <w:tcPr>
            <w:tcW w:w="1701" w:type="dxa"/>
            <w:shd w:val="clear" w:color="auto" w:fill="CCFFFF"/>
            <w:vAlign w:val="center"/>
          </w:tcPr>
          <w:p w:rsidR="00B070BF" w:rsidRPr="009577DE" w:rsidRDefault="00B070BF" w:rsidP="00C33D4A">
            <w:pPr>
              <w:spacing w:after="220"/>
              <w:jc w:val="center"/>
              <w:rPr>
                <w:b/>
                <w:sz w:val="16"/>
                <w:szCs w:val="16"/>
                <w:lang w:val="es-ES_tradnl"/>
              </w:rPr>
            </w:pPr>
            <w:r w:rsidRPr="009577DE">
              <w:rPr>
                <w:b/>
                <w:sz w:val="16"/>
                <w:szCs w:val="16"/>
                <w:lang w:val="es-ES_tradnl"/>
              </w:rPr>
              <w:t>Ingresos en 2012</w:t>
            </w:r>
          </w:p>
        </w:tc>
        <w:tc>
          <w:tcPr>
            <w:tcW w:w="1843" w:type="dxa"/>
            <w:shd w:val="clear" w:color="auto" w:fill="CCFFFF"/>
            <w:vAlign w:val="center"/>
          </w:tcPr>
          <w:p w:rsidR="00B070BF" w:rsidRPr="009577DE" w:rsidRDefault="00B070BF" w:rsidP="00C33D4A">
            <w:pPr>
              <w:spacing w:after="220"/>
              <w:jc w:val="center"/>
              <w:rPr>
                <w:b/>
                <w:sz w:val="16"/>
                <w:szCs w:val="16"/>
                <w:lang w:val="es-ES_tradnl"/>
              </w:rPr>
            </w:pPr>
            <w:r w:rsidRPr="009577DE">
              <w:rPr>
                <w:b/>
                <w:sz w:val="16"/>
                <w:szCs w:val="16"/>
                <w:lang w:val="es-ES_tradnl"/>
              </w:rPr>
              <w:t>Gastos en 2012</w:t>
            </w:r>
          </w:p>
        </w:tc>
        <w:tc>
          <w:tcPr>
            <w:tcW w:w="1701" w:type="dxa"/>
            <w:shd w:val="clear" w:color="auto" w:fill="CCFFFF"/>
            <w:vAlign w:val="center"/>
          </w:tcPr>
          <w:p w:rsidR="00B070BF" w:rsidRPr="009577DE" w:rsidRDefault="00B070BF" w:rsidP="00C33D4A">
            <w:pPr>
              <w:spacing w:after="220"/>
              <w:jc w:val="center"/>
              <w:rPr>
                <w:b/>
                <w:sz w:val="16"/>
                <w:szCs w:val="16"/>
                <w:lang w:val="es-ES_tradnl"/>
              </w:rPr>
            </w:pPr>
            <w:r w:rsidRPr="009577DE">
              <w:rPr>
                <w:b/>
                <w:sz w:val="16"/>
                <w:szCs w:val="16"/>
                <w:lang w:val="es-ES_tradnl"/>
              </w:rPr>
              <w:t>Reembolsos</w:t>
            </w:r>
          </w:p>
        </w:tc>
        <w:tc>
          <w:tcPr>
            <w:tcW w:w="1984" w:type="dxa"/>
            <w:shd w:val="clear" w:color="auto" w:fill="CCFFFF"/>
            <w:vAlign w:val="center"/>
          </w:tcPr>
          <w:p w:rsidR="00B070BF" w:rsidRPr="009577DE" w:rsidRDefault="00B070BF" w:rsidP="00C33D4A">
            <w:pPr>
              <w:spacing w:after="220"/>
              <w:jc w:val="center"/>
              <w:rPr>
                <w:b/>
                <w:sz w:val="16"/>
                <w:szCs w:val="16"/>
                <w:lang w:val="es-ES_tradnl"/>
              </w:rPr>
            </w:pPr>
            <w:r w:rsidRPr="009577DE">
              <w:rPr>
                <w:b/>
                <w:sz w:val="16"/>
                <w:szCs w:val="16"/>
                <w:lang w:val="es-ES_tradnl"/>
              </w:rPr>
              <w:t>Balance a 31 de diciembre de 2012</w:t>
            </w:r>
          </w:p>
        </w:tc>
      </w:tr>
      <w:tr w:rsidR="00B070BF" w:rsidRPr="009577DE" w:rsidTr="00C33D4A">
        <w:trPr>
          <w:trHeight w:val="567"/>
        </w:trPr>
        <w:tc>
          <w:tcPr>
            <w:tcW w:w="1843" w:type="dxa"/>
            <w:shd w:val="clear" w:color="auto" w:fill="auto"/>
            <w:vAlign w:val="center"/>
          </w:tcPr>
          <w:p w:rsidR="00B070BF" w:rsidRPr="009577DE" w:rsidRDefault="00B070BF" w:rsidP="00C33D4A">
            <w:pPr>
              <w:autoSpaceDE w:val="0"/>
              <w:autoSpaceDN w:val="0"/>
              <w:adjustRightInd w:val="0"/>
              <w:spacing w:after="220"/>
              <w:jc w:val="center"/>
              <w:rPr>
                <w:rFonts w:eastAsia="MS Mincho"/>
                <w:sz w:val="16"/>
                <w:szCs w:val="16"/>
                <w:lang w:val="es-ES_tradnl" w:eastAsia="ja-JP" w:bidi="th-TH"/>
              </w:rPr>
            </w:pPr>
            <w:r w:rsidRPr="009577DE">
              <w:rPr>
                <w:rFonts w:eastAsia="MS Mincho"/>
                <w:sz w:val="16"/>
                <w:szCs w:val="16"/>
                <w:lang w:val="es-ES_tradnl" w:eastAsia="ja-JP" w:bidi="th-TH"/>
              </w:rPr>
              <w:t>427.414</w:t>
            </w:r>
          </w:p>
        </w:tc>
        <w:tc>
          <w:tcPr>
            <w:tcW w:w="1701" w:type="dxa"/>
            <w:shd w:val="clear" w:color="auto" w:fill="auto"/>
            <w:vAlign w:val="center"/>
          </w:tcPr>
          <w:p w:rsidR="00B070BF" w:rsidRPr="009577DE" w:rsidRDefault="00B070BF" w:rsidP="00C33D4A">
            <w:pPr>
              <w:autoSpaceDE w:val="0"/>
              <w:autoSpaceDN w:val="0"/>
              <w:adjustRightInd w:val="0"/>
              <w:spacing w:after="220"/>
              <w:jc w:val="center"/>
              <w:rPr>
                <w:rFonts w:eastAsia="MS Mincho"/>
                <w:sz w:val="16"/>
                <w:szCs w:val="16"/>
                <w:lang w:val="es-ES_tradnl" w:eastAsia="ja-JP" w:bidi="th-TH"/>
              </w:rPr>
            </w:pPr>
            <w:r w:rsidRPr="009577DE">
              <w:rPr>
                <w:rFonts w:eastAsia="MS Mincho"/>
                <w:sz w:val="16"/>
                <w:szCs w:val="16"/>
                <w:lang w:val="es-ES_tradnl" w:eastAsia="ja-JP" w:bidi="th-TH"/>
              </w:rPr>
              <w:t>–5.250</w:t>
            </w:r>
          </w:p>
        </w:tc>
        <w:tc>
          <w:tcPr>
            <w:tcW w:w="1843" w:type="dxa"/>
            <w:shd w:val="clear" w:color="auto" w:fill="auto"/>
            <w:vAlign w:val="center"/>
          </w:tcPr>
          <w:p w:rsidR="00B070BF" w:rsidRPr="009577DE" w:rsidRDefault="00B070BF" w:rsidP="00C33D4A">
            <w:pPr>
              <w:autoSpaceDE w:val="0"/>
              <w:autoSpaceDN w:val="0"/>
              <w:adjustRightInd w:val="0"/>
              <w:spacing w:after="220"/>
              <w:jc w:val="center"/>
              <w:rPr>
                <w:rFonts w:eastAsia="MS Mincho"/>
                <w:sz w:val="16"/>
                <w:szCs w:val="16"/>
                <w:lang w:val="es-ES_tradnl" w:eastAsia="ja-JP" w:bidi="th-TH"/>
              </w:rPr>
            </w:pPr>
            <w:r w:rsidRPr="009577DE">
              <w:rPr>
                <w:rFonts w:eastAsia="MS Mincho"/>
                <w:sz w:val="16"/>
                <w:szCs w:val="16"/>
                <w:lang w:val="es-ES_tradnl" w:eastAsia="ja-JP" w:bidi="th-TH"/>
              </w:rPr>
              <w:t>310.157</w:t>
            </w:r>
          </w:p>
        </w:tc>
        <w:tc>
          <w:tcPr>
            <w:tcW w:w="1701" w:type="dxa"/>
            <w:shd w:val="clear" w:color="auto" w:fill="auto"/>
            <w:vAlign w:val="center"/>
          </w:tcPr>
          <w:p w:rsidR="00B070BF" w:rsidRPr="009577DE" w:rsidRDefault="00B070BF" w:rsidP="00C33D4A">
            <w:pPr>
              <w:autoSpaceDE w:val="0"/>
              <w:autoSpaceDN w:val="0"/>
              <w:adjustRightInd w:val="0"/>
              <w:spacing w:after="220"/>
              <w:jc w:val="center"/>
              <w:rPr>
                <w:rFonts w:eastAsia="MS Mincho"/>
                <w:sz w:val="16"/>
                <w:szCs w:val="16"/>
                <w:lang w:val="es-ES_tradnl" w:eastAsia="ja-JP" w:bidi="th-TH"/>
              </w:rPr>
            </w:pPr>
            <w:r w:rsidRPr="009577DE">
              <w:rPr>
                <w:rFonts w:eastAsia="MS Mincho"/>
                <w:sz w:val="16"/>
                <w:szCs w:val="16"/>
                <w:lang w:val="es-ES_tradnl" w:eastAsia="ja-JP" w:bidi="th-TH"/>
              </w:rPr>
              <w:t>–</w:t>
            </w:r>
          </w:p>
        </w:tc>
        <w:tc>
          <w:tcPr>
            <w:tcW w:w="1984" w:type="dxa"/>
            <w:shd w:val="clear" w:color="auto" w:fill="auto"/>
            <w:vAlign w:val="center"/>
          </w:tcPr>
          <w:p w:rsidR="00B070BF" w:rsidRPr="009577DE" w:rsidRDefault="00B070BF" w:rsidP="00C33D4A">
            <w:pPr>
              <w:autoSpaceDE w:val="0"/>
              <w:autoSpaceDN w:val="0"/>
              <w:adjustRightInd w:val="0"/>
              <w:spacing w:after="220"/>
              <w:jc w:val="center"/>
              <w:rPr>
                <w:rFonts w:eastAsia="MS Mincho"/>
                <w:sz w:val="16"/>
                <w:szCs w:val="16"/>
                <w:lang w:val="es-ES_tradnl" w:eastAsia="ja-JP" w:bidi="th-TH"/>
              </w:rPr>
            </w:pPr>
            <w:r w:rsidRPr="009577DE">
              <w:rPr>
                <w:rFonts w:eastAsia="MS Mincho"/>
                <w:sz w:val="16"/>
                <w:szCs w:val="16"/>
                <w:lang w:val="es-ES_tradnl" w:eastAsia="ja-JP" w:bidi="th-TH"/>
              </w:rPr>
              <w:t>112.007</w:t>
            </w:r>
          </w:p>
        </w:tc>
      </w:tr>
    </w:tbl>
    <w:p w:rsidR="00B070BF" w:rsidRPr="009577DE" w:rsidRDefault="00B070BF" w:rsidP="00B070BF">
      <w:pPr>
        <w:spacing w:before="120"/>
        <w:rPr>
          <w:b/>
          <w:szCs w:val="22"/>
          <w:lang w:val="es-ES_tradnl"/>
        </w:rPr>
      </w:pPr>
      <w:r w:rsidRPr="009577DE">
        <w:rPr>
          <w:i/>
          <w:iCs/>
          <w:sz w:val="16"/>
          <w:szCs w:val="16"/>
          <w:vertAlign w:val="superscript"/>
          <w:lang w:val="es-ES_tradnl"/>
        </w:rPr>
        <w:t xml:space="preserve">1 </w:t>
      </w:r>
      <w:r w:rsidRPr="009577DE">
        <w:rPr>
          <w:i/>
          <w:iCs/>
          <w:sz w:val="16"/>
          <w:szCs w:val="16"/>
          <w:lang w:val="es-ES_tradnl"/>
        </w:rPr>
        <w:t>Estados financieros de la OMPI de 2012 (Anexo III)</w:t>
      </w:r>
    </w:p>
    <w:p w:rsidR="00B070BF" w:rsidRPr="00CB04A8" w:rsidRDefault="00B070BF" w:rsidP="00B070BF">
      <w:pPr>
        <w:rPr>
          <w:b/>
          <w:sz w:val="16"/>
          <w:szCs w:val="16"/>
          <w:lang w:val="es-ES_tradnl"/>
        </w:rPr>
      </w:pPr>
    </w:p>
    <w:p w:rsidR="00B070BF" w:rsidRPr="00CB04A8" w:rsidRDefault="00B070BF" w:rsidP="00B070BF">
      <w:pPr>
        <w:rPr>
          <w:b/>
          <w:sz w:val="16"/>
          <w:szCs w:val="16"/>
          <w:lang w:val="es-ES_tradnl"/>
        </w:rPr>
      </w:pPr>
    </w:p>
    <w:p w:rsidR="00B070BF" w:rsidRPr="009577DE" w:rsidRDefault="00B070BF" w:rsidP="00B070BF">
      <w:pPr>
        <w:keepNext/>
        <w:keepLines/>
        <w:rPr>
          <w:b/>
          <w:sz w:val="20"/>
          <w:lang w:val="es-ES_tradnl"/>
        </w:rPr>
      </w:pPr>
      <w:r w:rsidRPr="009577DE">
        <w:rPr>
          <w:b/>
          <w:sz w:val="20"/>
          <w:lang w:val="es-ES_tradnl"/>
        </w:rPr>
        <w:t>ESTADOS UNIDOS DE AMÉRICA – OBSERVANCIA DE LOS DERECHOS DE PROPIEDAD INTELECTUAL</w:t>
      </w:r>
    </w:p>
    <w:p w:rsidR="00B070BF" w:rsidRPr="009577DE" w:rsidRDefault="00B070BF" w:rsidP="00B070BF">
      <w:pPr>
        <w:keepNext/>
        <w:keepLines/>
        <w:rPr>
          <w:b/>
          <w:sz w:val="20"/>
          <w:lang w:val="es-ES_tradnl"/>
        </w:rPr>
      </w:pPr>
    </w:p>
    <w:tbl>
      <w:tblPr>
        <w:tblW w:w="9102" w:type="dxa"/>
        <w:tblInd w:w="78"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1873"/>
        <w:gridCol w:w="1134"/>
        <w:gridCol w:w="2835"/>
        <w:gridCol w:w="3260"/>
      </w:tblGrid>
      <w:tr w:rsidR="00B070BF" w:rsidRPr="009577DE" w:rsidTr="00C33D4A">
        <w:trPr>
          <w:cantSplit/>
        </w:trPr>
        <w:tc>
          <w:tcPr>
            <w:tcW w:w="9102" w:type="dxa"/>
            <w:gridSpan w:val="4"/>
            <w:tcBorders>
              <w:top w:val="single" w:sz="4" w:space="0" w:color="000000"/>
              <w:bottom w:val="single" w:sz="4" w:space="0" w:color="000000"/>
            </w:tcBorders>
            <w:shd w:val="clear" w:color="auto" w:fill="CCFFFF"/>
            <w:vAlign w:val="center"/>
          </w:tcPr>
          <w:p w:rsidR="00B070BF" w:rsidRPr="009577DE" w:rsidRDefault="00B070BF" w:rsidP="00C33D4A">
            <w:pPr>
              <w:keepNext/>
              <w:keepLines/>
              <w:tabs>
                <w:tab w:val="left" w:pos="1740"/>
              </w:tabs>
              <w:spacing w:before="120" w:after="120"/>
              <w:ind w:left="1740" w:hanging="1740"/>
              <w:rPr>
                <w:b/>
                <w:bCs/>
                <w:sz w:val="16"/>
                <w:szCs w:val="16"/>
                <w:lang w:val="es-ES_tradnl"/>
              </w:rPr>
            </w:pPr>
            <w:r w:rsidRPr="009577DE">
              <w:rPr>
                <w:b/>
                <w:bCs/>
                <w:sz w:val="16"/>
                <w:szCs w:val="16"/>
                <w:lang w:val="es-ES_tradnl"/>
              </w:rPr>
              <w:t>RESULTADO:</w:t>
            </w:r>
            <w:r w:rsidRPr="009577DE">
              <w:rPr>
                <w:b/>
                <w:bCs/>
                <w:sz w:val="16"/>
                <w:szCs w:val="16"/>
                <w:lang w:val="es-ES_tradnl"/>
              </w:rPr>
              <w:tab/>
            </w:r>
            <w:r w:rsidRPr="009577DE">
              <w:rPr>
                <w:bCs/>
                <w:sz w:val="16"/>
                <w:szCs w:val="16"/>
                <w:lang w:val="es-ES_tradnl"/>
              </w:rPr>
              <w:t>Mejora de las capacidades en el ámbito de los recursos humanos para hacer frente al amplio espectro de exigencias que supone la utilización eficaz de la P.I. en aras del desarrollo en los países en desarrollo, PMA y países con economías en transición</w:t>
            </w:r>
          </w:p>
        </w:tc>
      </w:tr>
      <w:tr w:rsidR="00B070BF" w:rsidRPr="009577DE" w:rsidTr="00C33D4A">
        <w:trPr>
          <w:cantSplit/>
        </w:trPr>
        <w:tc>
          <w:tcPr>
            <w:tcW w:w="1873" w:type="dxa"/>
            <w:tcBorders>
              <w:top w:val="single" w:sz="4" w:space="0" w:color="000000"/>
            </w:tcBorders>
            <w:vAlign w:val="center"/>
          </w:tcPr>
          <w:p w:rsidR="00B070BF" w:rsidRPr="009577DE" w:rsidRDefault="00B070BF" w:rsidP="00C33D4A">
            <w:pPr>
              <w:keepNext/>
              <w:keepLines/>
              <w:rPr>
                <w:b/>
                <w:bCs/>
                <w:sz w:val="16"/>
                <w:szCs w:val="16"/>
                <w:lang w:val="es-ES_tradnl"/>
              </w:rPr>
            </w:pPr>
            <w:r w:rsidRPr="009577DE">
              <w:rPr>
                <w:b/>
                <w:bCs/>
                <w:sz w:val="16"/>
                <w:szCs w:val="16"/>
                <w:lang w:val="es-ES_tradnl"/>
              </w:rPr>
              <w:t>Actividad</w:t>
            </w:r>
          </w:p>
        </w:tc>
        <w:tc>
          <w:tcPr>
            <w:tcW w:w="1134" w:type="dxa"/>
            <w:tcBorders>
              <w:top w:val="single" w:sz="4" w:space="0" w:color="000000"/>
            </w:tcBorders>
            <w:shd w:val="clear" w:color="auto" w:fill="auto"/>
            <w:tcMar>
              <w:top w:w="110" w:type="dxa"/>
            </w:tcMar>
            <w:vAlign w:val="center"/>
          </w:tcPr>
          <w:p w:rsidR="00B070BF" w:rsidRPr="009577DE" w:rsidRDefault="00B070BF" w:rsidP="00C33D4A">
            <w:pPr>
              <w:keepNext/>
              <w:keepLines/>
              <w:rPr>
                <w:sz w:val="16"/>
                <w:szCs w:val="16"/>
                <w:lang w:val="es-ES_tradnl"/>
              </w:rPr>
            </w:pPr>
            <w:r w:rsidRPr="009577DE">
              <w:rPr>
                <w:b/>
                <w:bCs/>
                <w:sz w:val="16"/>
                <w:szCs w:val="16"/>
                <w:lang w:val="es-ES_tradnl"/>
              </w:rPr>
              <w:t>Fecha</w:t>
            </w:r>
          </w:p>
        </w:tc>
        <w:tc>
          <w:tcPr>
            <w:tcW w:w="2835" w:type="dxa"/>
            <w:tcBorders>
              <w:top w:val="single" w:sz="4" w:space="0" w:color="000000"/>
            </w:tcBorders>
            <w:shd w:val="clear" w:color="auto" w:fill="auto"/>
            <w:tcMar>
              <w:top w:w="110" w:type="dxa"/>
            </w:tcMar>
            <w:vAlign w:val="center"/>
          </w:tcPr>
          <w:p w:rsidR="00B070BF" w:rsidRPr="009577DE" w:rsidRDefault="00B070BF" w:rsidP="00C33D4A">
            <w:pPr>
              <w:keepNext/>
              <w:keepLines/>
              <w:rPr>
                <w:sz w:val="16"/>
                <w:szCs w:val="16"/>
                <w:lang w:val="es-ES_tradnl"/>
              </w:rPr>
            </w:pPr>
            <w:r w:rsidRPr="009577DE">
              <w:rPr>
                <w:b/>
                <w:bCs/>
                <w:sz w:val="16"/>
                <w:szCs w:val="16"/>
                <w:lang w:val="es-ES_tradnl"/>
              </w:rPr>
              <w:t>País anfitrión/Beneficiarios</w:t>
            </w:r>
          </w:p>
        </w:tc>
        <w:tc>
          <w:tcPr>
            <w:tcW w:w="3260" w:type="dxa"/>
            <w:tcBorders>
              <w:top w:val="single" w:sz="4" w:space="0" w:color="000000"/>
            </w:tcBorders>
            <w:shd w:val="clear" w:color="auto" w:fill="FFFFFF"/>
            <w:tcMar>
              <w:top w:w="110" w:type="dxa"/>
            </w:tcMar>
            <w:vAlign w:val="center"/>
          </w:tcPr>
          <w:p w:rsidR="00B070BF" w:rsidRPr="009577DE" w:rsidRDefault="00B070BF" w:rsidP="00C33D4A">
            <w:pPr>
              <w:keepNext/>
              <w:keepLines/>
              <w:rPr>
                <w:sz w:val="16"/>
                <w:szCs w:val="16"/>
                <w:lang w:val="es-ES_tradnl"/>
              </w:rPr>
            </w:pPr>
            <w:r w:rsidRPr="009577DE">
              <w:rPr>
                <w:b/>
                <w:bCs/>
                <w:sz w:val="16"/>
                <w:szCs w:val="16"/>
                <w:lang w:val="es-ES_tradnl"/>
              </w:rPr>
              <w:t>Propósito/Descripción</w:t>
            </w:r>
          </w:p>
        </w:tc>
      </w:tr>
      <w:tr w:rsidR="00B070BF" w:rsidRPr="009577DE" w:rsidTr="00C33D4A">
        <w:trPr>
          <w:cantSplit/>
        </w:trPr>
        <w:tc>
          <w:tcPr>
            <w:tcW w:w="1873" w:type="dxa"/>
          </w:tcPr>
          <w:p w:rsidR="00B070BF" w:rsidRPr="009577DE" w:rsidRDefault="00B070BF" w:rsidP="00C33D4A">
            <w:pPr>
              <w:autoSpaceDE w:val="0"/>
              <w:autoSpaceDN w:val="0"/>
              <w:adjustRightInd w:val="0"/>
              <w:spacing w:before="120" w:after="120"/>
              <w:rPr>
                <w:sz w:val="16"/>
                <w:szCs w:val="16"/>
                <w:lang w:val="es-ES_tradnl"/>
              </w:rPr>
            </w:pPr>
            <w:r w:rsidRPr="009577DE">
              <w:rPr>
                <w:sz w:val="16"/>
                <w:szCs w:val="16"/>
                <w:lang w:val="es-ES_tradnl"/>
              </w:rPr>
              <w:t>Taller regional sobre la observancia de la propiedad intelectual para funcionarios del Poder Judicial.</w:t>
            </w:r>
          </w:p>
        </w:tc>
        <w:tc>
          <w:tcPr>
            <w:tcW w:w="1134" w:type="dxa"/>
          </w:tcPr>
          <w:p w:rsidR="00B070BF" w:rsidRPr="009577DE" w:rsidRDefault="00B070BF" w:rsidP="00C33D4A">
            <w:pPr>
              <w:autoSpaceDE w:val="0"/>
              <w:autoSpaceDN w:val="0"/>
              <w:adjustRightInd w:val="0"/>
              <w:spacing w:before="120" w:after="120"/>
              <w:rPr>
                <w:sz w:val="16"/>
                <w:szCs w:val="16"/>
                <w:lang w:val="es-ES_tradnl"/>
              </w:rPr>
            </w:pPr>
            <w:r w:rsidRPr="009577DE">
              <w:rPr>
                <w:sz w:val="16"/>
                <w:szCs w:val="16"/>
                <w:lang w:val="es-ES_tradnl"/>
              </w:rPr>
              <w:t>22 y 23 de mayo de 2012</w:t>
            </w:r>
          </w:p>
          <w:p w:rsidR="00B070BF" w:rsidRPr="009577DE" w:rsidRDefault="00B070BF" w:rsidP="00C33D4A">
            <w:pPr>
              <w:autoSpaceDE w:val="0"/>
              <w:autoSpaceDN w:val="0"/>
              <w:adjustRightInd w:val="0"/>
              <w:spacing w:before="120" w:after="120"/>
              <w:rPr>
                <w:sz w:val="16"/>
                <w:szCs w:val="16"/>
                <w:lang w:val="es-ES_tradnl"/>
              </w:rPr>
            </w:pPr>
          </w:p>
        </w:tc>
        <w:tc>
          <w:tcPr>
            <w:tcW w:w="2835" w:type="dxa"/>
          </w:tcPr>
          <w:p w:rsidR="00B070BF" w:rsidRPr="009577DE" w:rsidRDefault="00B070BF" w:rsidP="00C33D4A">
            <w:pPr>
              <w:autoSpaceDE w:val="0"/>
              <w:autoSpaceDN w:val="0"/>
              <w:adjustRightInd w:val="0"/>
              <w:spacing w:before="120" w:after="120"/>
              <w:rPr>
                <w:sz w:val="16"/>
                <w:szCs w:val="16"/>
                <w:lang w:val="es-ES_tradnl"/>
              </w:rPr>
            </w:pPr>
            <w:r w:rsidRPr="009577DE">
              <w:rPr>
                <w:sz w:val="16"/>
                <w:szCs w:val="16"/>
                <w:lang w:val="es-ES_tradnl"/>
              </w:rPr>
              <w:t xml:space="preserve">Antigua y Barbuda / Antigua y Barbuda; Dominica; Granada, Saint </w:t>
            </w:r>
            <w:proofErr w:type="spellStart"/>
            <w:r w:rsidRPr="009577DE">
              <w:rPr>
                <w:sz w:val="16"/>
                <w:szCs w:val="16"/>
                <w:lang w:val="es-ES_tradnl"/>
              </w:rPr>
              <w:t>Kitts</w:t>
            </w:r>
            <w:proofErr w:type="spellEnd"/>
            <w:r w:rsidRPr="009577DE">
              <w:rPr>
                <w:sz w:val="16"/>
                <w:szCs w:val="16"/>
                <w:lang w:val="es-ES_tradnl"/>
              </w:rPr>
              <w:t xml:space="preserve"> y </w:t>
            </w:r>
            <w:proofErr w:type="spellStart"/>
            <w:r w:rsidRPr="009577DE">
              <w:rPr>
                <w:sz w:val="16"/>
                <w:szCs w:val="16"/>
                <w:lang w:val="es-ES_tradnl"/>
              </w:rPr>
              <w:t>Nevis</w:t>
            </w:r>
            <w:proofErr w:type="spellEnd"/>
            <w:r w:rsidRPr="009577DE">
              <w:rPr>
                <w:sz w:val="16"/>
                <w:szCs w:val="16"/>
                <w:lang w:val="es-ES_tradnl"/>
              </w:rPr>
              <w:t>; Santa Lucía</w:t>
            </w:r>
          </w:p>
        </w:tc>
        <w:tc>
          <w:tcPr>
            <w:tcW w:w="3260" w:type="dxa"/>
          </w:tcPr>
          <w:p w:rsidR="00B070BF" w:rsidRPr="009577DE" w:rsidRDefault="00B070BF" w:rsidP="00C33D4A">
            <w:pPr>
              <w:autoSpaceDE w:val="0"/>
              <w:autoSpaceDN w:val="0"/>
              <w:adjustRightInd w:val="0"/>
              <w:spacing w:before="120" w:after="120"/>
              <w:rPr>
                <w:sz w:val="16"/>
                <w:szCs w:val="16"/>
                <w:lang w:val="es-ES_tradnl"/>
              </w:rPr>
            </w:pPr>
            <w:r w:rsidRPr="009577DE">
              <w:rPr>
                <w:sz w:val="16"/>
                <w:szCs w:val="16"/>
                <w:lang w:val="es-ES_tradnl"/>
              </w:rPr>
              <w:t>En el marco de la meta estratégica VI, mejorar las aptitudes y el nivel de conocimientos necesarios para tramitar los litigios sobre P.I. y pronunciar sentencia con eficiencia y coherencia.</w:t>
            </w:r>
          </w:p>
        </w:tc>
      </w:tr>
      <w:tr w:rsidR="00B070BF" w:rsidRPr="009577DE" w:rsidTr="00C33D4A">
        <w:trPr>
          <w:cantSplit/>
        </w:trPr>
        <w:tc>
          <w:tcPr>
            <w:tcW w:w="1873" w:type="dxa"/>
          </w:tcPr>
          <w:p w:rsidR="00B070BF" w:rsidRPr="009577DE" w:rsidRDefault="00B070BF" w:rsidP="00C33D4A">
            <w:pPr>
              <w:autoSpaceDE w:val="0"/>
              <w:autoSpaceDN w:val="0"/>
              <w:adjustRightInd w:val="0"/>
              <w:spacing w:before="120" w:after="120"/>
              <w:rPr>
                <w:sz w:val="16"/>
                <w:szCs w:val="16"/>
                <w:lang w:val="es-ES_tradnl"/>
              </w:rPr>
            </w:pPr>
            <w:r w:rsidRPr="009577DE">
              <w:rPr>
                <w:sz w:val="16"/>
                <w:szCs w:val="16"/>
                <w:lang w:val="es-ES_tradnl"/>
              </w:rPr>
              <w:t>Taller regional sobre observancia de los derechos de P.I. para el Poder Judicial y funcionarios encargados del cumplimiento de la Ley.</w:t>
            </w:r>
          </w:p>
        </w:tc>
        <w:tc>
          <w:tcPr>
            <w:tcW w:w="1134" w:type="dxa"/>
          </w:tcPr>
          <w:p w:rsidR="00B070BF" w:rsidRPr="009577DE" w:rsidRDefault="00B070BF" w:rsidP="00C33D4A">
            <w:pPr>
              <w:autoSpaceDE w:val="0"/>
              <w:autoSpaceDN w:val="0"/>
              <w:adjustRightInd w:val="0"/>
              <w:spacing w:before="120" w:after="120"/>
              <w:rPr>
                <w:sz w:val="16"/>
                <w:szCs w:val="16"/>
                <w:lang w:val="es-ES_tradnl"/>
              </w:rPr>
            </w:pPr>
            <w:r w:rsidRPr="009577DE">
              <w:rPr>
                <w:sz w:val="16"/>
                <w:szCs w:val="16"/>
                <w:lang w:val="es-ES_tradnl"/>
              </w:rPr>
              <w:t>26 a 27 de julio de 2012</w:t>
            </w:r>
          </w:p>
        </w:tc>
        <w:tc>
          <w:tcPr>
            <w:tcW w:w="2835" w:type="dxa"/>
          </w:tcPr>
          <w:p w:rsidR="00B070BF" w:rsidRPr="009577DE" w:rsidRDefault="00B070BF" w:rsidP="00C33D4A">
            <w:pPr>
              <w:autoSpaceDE w:val="0"/>
              <w:autoSpaceDN w:val="0"/>
              <w:adjustRightInd w:val="0"/>
              <w:spacing w:before="120" w:after="120"/>
              <w:rPr>
                <w:sz w:val="16"/>
                <w:szCs w:val="16"/>
                <w:lang w:val="es-ES_tradnl"/>
              </w:rPr>
            </w:pPr>
            <w:r w:rsidRPr="009577DE">
              <w:rPr>
                <w:sz w:val="16"/>
                <w:szCs w:val="16"/>
                <w:lang w:val="es-ES_tradnl" w:eastAsia="ko-KR"/>
              </w:rPr>
              <w:t>Zambia/</w:t>
            </w:r>
            <w:proofErr w:type="spellStart"/>
            <w:r w:rsidRPr="009577DE">
              <w:rPr>
                <w:sz w:val="16"/>
                <w:szCs w:val="16"/>
                <w:lang w:val="es-ES_tradnl"/>
              </w:rPr>
              <w:t>Botswana</w:t>
            </w:r>
            <w:proofErr w:type="spellEnd"/>
            <w:r w:rsidRPr="009577DE">
              <w:rPr>
                <w:sz w:val="16"/>
                <w:szCs w:val="16"/>
                <w:lang w:val="es-ES_tradnl"/>
              </w:rPr>
              <w:t xml:space="preserve">, </w:t>
            </w:r>
            <w:r w:rsidRPr="009577DE">
              <w:rPr>
                <w:sz w:val="16"/>
                <w:szCs w:val="16"/>
                <w:lang w:val="es-ES_tradnl" w:eastAsia="ko-KR"/>
              </w:rPr>
              <w:t>Gambia</w:t>
            </w:r>
            <w:r w:rsidRPr="009577DE">
              <w:rPr>
                <w:sz w:val="16"/>
                <w:szCs w:val="16"/>
                <w:lang w:val="es-ES_tradnl"/>
              </w:rPr>
              <w:t xml:space="preserve">, Ghana, </w:t>
            </w:r>
            <w:proofErr w:type="spellStart"/>
            <w:r w:rsidRPr="009577DE">
              <w:rPr>
                <w:sz w:val="16"/>
                <w:szCs w:val="16"/>
                <w:lang w:val="es-ES_tradnl"/>
              </w:rPr>
              <w:t>Kenya</w:t>
            </w:r>
            <w:proofErr w:type="spellEnd"/>
            <w:r w:rsidRPr="009577DE">
              <w:rPr>
                <w:sz w:val="16"/>
                <w:szCs w:val="16"/>
                <w:lang w:val="es-ES_tradnl"/>
              </w:rPr>
              <w:t xml:space="preserve">, </w:t>
            </w:r>
            <w:proofErr w:type="spellStart"/>
            <w:r w:rsidRPr="009577DE">
              <w:rPr>
                <w:sz w:val="16"/>
                <w:szCs w:val="16"/>
                <w:lang w:val="es-ES_tradnl"/>
              </w:rPr>
              <w:t>Lesotho</w:t>
            </w:r>
            <w:proofErr w:type="spellEnd"/>
            <w:r w:rsidRPr="009577DE">
              <w:rPr>
                <w:sz w:val="16"/>
                <w:szCs w:val="16"/>
                <w:lang w:val="es-ES_tradnl"/>
              </w:rPr>
              <w:t xml:space="preserve">, Liberia, Madagascar, Malawi, Mauricio, Mozambique, Namibia, </w:t>
            </w:r>
            <w:r w:rsidRPr="009577DE">
              <w:rPr>
                <w:sz w:val="16"/>
                <w:szCs w:val="16"/>
                <w:lang w:val="es-ES_tradnl" w:eastAsia="ko-KR"/>
              </w:rPr>
              <w:t xml:space="preserve">República Unida de </w:t>
            </w:r>
            <w:proofErr w:type="spellStart"/>
            <w:r w:rsidRPr="009577DE">
              <w:rPr>
                <w:sz w:val="16"/>
                <w:szCs w:val="16"/>
                <w:lang w:val="es-ES_tradnl"/>
              </w:rPr>
              <w:t>Tanzanía</w:t>
            </w:r>
            <w:proofErr w:type="spellEnd"/>
            <w:r w:rsidRPr="009577DE">
              <w:rPr>
                <w:sz w:val="16"/>
                <w:szCs w:val="16"/>
                <w:lang w:val="es-ES_tradnl"/>
              </w:rPr>
              <w:t xml:space="preserve">, Seychelles, Sierra Leona, </w:t>
            </w:r>
            <w:r w:rsidRPr="009577DE">
              <w:rPr>
                <w:sz w:val="16"/>
                <w:szCs w:val="16"/>
                <w:lang w:val="es-ES_tradnl" w:eastAsia="ko-KR"/>
              </w:rPr>
              <w:t xml:space="preserve">Sudáfrica, </w:t>
            </w:r>
            <w:r w:rsidRPr="009577DE">
              <w:rPr>
                <w:sz w:val="16"/>
                <w:szCs w:val="16"/>
                <w:lang w:val="es-ES_tradnl"/>
              </w:rPr>
              <w:t xml:space="preserve">Sudán, </w:t>
            </w:r>
            <w:proofErr w:type="spellStart"/>
            <w:r w:rsidRPr="009577DE">
              <w:rPr>
                <w:sz w:val="16"/>
                <w:szCs w:val="16"/>
                <w:lang w:val="es-ES_tradnl"/>
              </w:rPr>
              <w:t>Swazilandia</w:t>
            </w:r>
            <w:proofErr w:type="spellEnd"/>
            <w:r w:rsidRPr="009577DE">
              <w:rPr>
                <w:sz w:val="16"/>
                <w:szCs w:val="16"/>
                <w:lang w:val="es-ES_tradnl"/>
              </w:rPr>
              <w:t xml:space="preserve">, </w:t>
            </w:r>
            <w:r w:rsidRPr="009577DE">
              <w:rPr>
                <w:sz w:val="16"/>
                <w:szCs w:val="16"/>
                <w:lang w:val="es-ES_tradnl" w:eastAsia="ko-KR"/>
              </w:rPr>
              <w:t xml:space="preserve">Uganda, </w:t>
            </w:r>
            <w:r w:rsidRPr="009577DE">
              <w:rPr>
                <w:sz w:val="16"/>
                <w:szCs w:val="16"/>
                <w:lang w:val="es-ES_tradnl"/>
              </w:rPr>
              <w:t xml:space="preserve">Zambia, y </w:t>
            </w:r>
            <w:proofErr w:type="spellStart"/>
            <w:r w:rsidRPr="009577DE">
              <w:rPr>
                <w:sz w:val="16"/>
                <w:szCs w:val="16"/>
                <w:lang w:val="es-ES_tradnl"/>
              </w:rPr>
              <w:t>Zimbabwe</w:t>
            </w:r>
            <w:proofErr w:type="spellEnd"/>
          </w:p>
        </w:tc>
        <w:tc>
          <w:tcPr>
            <w:tcW w:w="3260" w:type="dxa"/>
          </w:tcPr>
          <w:p w:rsidR="00B070BF" w:rsidRPr="009577DE" w:rsidRDefault="00B070BF" w:rsidP="00C33D4A">
            <w:pPr>
              <w:autoSpaceDE w:val="0"/>
              <w:autoSpaceDN w:val="0"/>
              <w:adjustRightInd w:val="0"/>
              <w:spacing w:before="120" w:after="120"/>
              <w:rPr>
                <w:sz w:val="16"/>
                <w:szCs w:val="16"/>
                <w:lang w:val="es-ES_tradnl"/>
              </w:rPr>
            </w:pPr>
            <w:r w:rsidRPr="009577DE">
              <w:rPr>
                <w:sz w:val="16"/>
                <w:szCs w:val="16"/>
                <w:lang w:val="es-ES_tradnl"/>
              </w:rPr>
              <w:t xml:space="preserve">En el marco de la meta estratégica VI:  i) considerar el valor de la protección y la observancia de la P.I. para el desarrollo social y económico de los países participantes;  ii) examinar las normas mínimas y las flexibilidades contenidas en la parte III del </w:t>
            </w:r>
            <w:r w:rsidRPr="009577DE">
              <w:rPr>
                <w:snapToGrid w:val="0"/>
                <w:sz w:val="16"/>
                <w:szCs w:val="16"/>
                <w:lang w:val="es-ES_tradnl"/>
              </w:rPr>
              <w:t>Acuerdo sobre los ADPIC</w:t>
            </w:r>
            <w:r w:rsidRPr="009577DE">
              <w:rPr>
                <w:sz w:val="16"/>
                <w:szCs w:val="16"/>
                <w:lang w:val="es-ES_tradnl"/>
              </w:rPr>
              <w:t>;  iii) examinar cuestiones de actualidad, por ejemplo, la sensibilización de los consumidores como medida preventiva y la forma equitativa de disponer de los productos infractores;  y iv) prever estrategias nacionales y regionales de cooperación eficaz, entre otras cosas, alianzas entre los sectores público y privado, teniendo presentes las necesidades en materia de fortalecimiento de las capacidades.</w:t>
            </w:r>
          </w:p>
        </w:tc>
      </w:tr>
    </w:tbl>
    <w:p w:rsidR="00B070BF" w:rsidRPr="00CB04A8" w:rsidRDefault="00B070BF" w:rsidP="00B070BF">
      <w:pPr>
        <w:rPr>
          <w:b/>
          <w:sz w:val="16"/>
          <w:szCs w:val="16"/>
          <w:lang w:val="es-ES_tradnl"/>
        </w:rPr>
      </w:pPr>
    </w:p>
    <w:p w:rsidR="00B070BF" w:rsidRPr="00CB04A8" w:rsidRDefault="00B070BF" w:rsidP="00B070BF">
      <w:pPr>
        <w:rPr>
          <w:b/>
          <w:sz w:val="16"/>
          <w:szCs w:val="16"/>
          <w:lang w:val="es-ES_tradnl"/>
        </w:rPr>
      </w:pPr>
    </w:p>
    <w:p w:rsidR="00B070BF" w:rsidRPr="009577DE" w:rsidRDefault="00B070BF" w:rsidP="00B070BF">
      <w:pPr>
        <w:rPr>
          <w:b/>
          <w:sz w:val="20"/>
          <w:lang w:val="es-ES_tradnl"/>
        </w:rPr>
      </w:pPr>
      <w:r w:rsidRPr="009577DE">
        <w:rPr>
          <w:b/>
          <w:sz w:val="20"/>
          <w:lang w:val="es-ES_tradnl"/>
        </w:rPr>
        <w:t>ESTADOS UNIDOS DE AMÉRICA – OBSERVANCIA DE LOS DERECHOS DE PROPIEDAD INTELECTUAL</w:t>
      </w:r>
      <w:r>
        <w:rPr>
          <w:b/>
          <w:sz w:val="20"/>
          <w:lang w:val="es-ES_tradnl"/>
        </w:rPr>
        <w:t xml:space="preserve"> - </w:t>
      </w:r>
      <w:r w:rsidRPr="009577DE">
        <w:rPr>
          <w:b/>
          <w:sz w:val="20"/>
          <w:lang w:val="es-ES_tradnl"/>
        </w:rPr>
        <w:t>Contribuciones de donantes y gastos en 2012</w:t>
      </w:r>
      <w:r w:rsidRPr="009577DE">
        <w:rPr>
          <w:b/>
          <w:sz w:val="20"/>
          <w:vertAlign w:val="superscript"/>
          <w:lang w:val="es-ES_tradnl"/>
        </w:rPr>
        <w:t>1</w:t>
      </w:r>
    </w:p>
    <w:p w:rsidR="00B070BF" w:rsidRPr="009577DE" w:rsidRDefault="00B070BF" w:rsidP="00B070BF">
      <w:pPr>
        <w:rPr>
          <w:sz w:val="20"/>
          <w:lang w:val="es-ES_tradn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3"/>
        <w:gridCol w:w="1701"/>
        <w:gridCol w:w="1843"/>
        <w:gridCol w:w="1701"/>
        <w:gridCol w:w="1984"/>
      </w:tblGrid>
      <w:tr w:rsidR="00B070BF" w:rsidRPr="009577DE" w:rsidTr="00C33D4A">
        <w:trPr>
          <w:trHeight w:val="567"/>
        </w:trPr>
        <w:tc>
          <w:tcPr>
            <w:tcW w:w="1843" w:type="dxa"/>
            <w:shd w:val="clear" w:color="auto" w:fill="CCFFFF"/>
            <w:vAlign w:val="center"/>
          </w:tcPr>
          <w:p w:rsidR="00B070BF" w:rsidRPr="009577DE" w:rsidRDefault="00B070BF" w:rsidP="00C33D4A">
            <w:pPr>
              <w:spacing w:after="220"/>
              <w:jc w:val="center"/>
              <w:rPr>
                <w:b/>
                <w:sz w:val="16"/>
                <w:szCs w:val="16"/>
                <w:lang w:val="es-ES_tradnl"/>
              </w:rPr>
            </w:pPr>
            <w:r w:rsidRPr="009577DE">
              <w:rPr>
                <w:b/>
                <w:sz w:val="16"/>
                <w:szCs w:val="16"/>
                <w:lang w:val="es-ES_tradnl"/>
              </w:rPr>
              <w:t>Balance a 31 de diciembre de 2011</w:t>
            </w:r>
          </w:p>
        </w:tc>
        <w:tc>
          <w:tcPr>
            <w:tcW w:w="1701" w:type="dxa"/>
            <w:shd w:val="clear" w:color="auto" w:fill="CCFFFF"/>
            <w:vAlign w:val="center"/>
          </w:tcPr>
          <w:p w:rsidR="00B070BF" w:rsidRPr="009577DE" w:rsidRDefault="00B070BF" w:rsidP="00C33D4A">
            <w:pPr>
              <w:spacing w:after="220"/>
              <w:jc w:val="center"/>
              <w:rPr>
                <w:b/>
                <w:sz w:val="16"/>
                <w:szCs w:val="16"/>
                <w:lang w:val="es-ES_tradnl"/>
              </w:rPr>
            </w:pPr>
            <w:r w:rsidRPr="009577DE">
              <w:rPr>
                <w:b/>
                <w:sz w:val="16"/>
                <w:szCs w:val="16"/>
                <w:lang w:val="es-ES_tradnl"/>
              </w:rPr>
              <w:t>Ingresos en 2012</w:t>
            </w:r>
          </w:p>
        </w:tc>
        <w:tc>
          <w:tcPr>
            <w:tcW w:w="1843" w:type="dxa"/>
            <w:shd w:val="clear" w:color="auto" w:fill="CCFFFF"/>
            <w:vAlign w:val="center"/>
          </w:tcPr>
          <w:p w:rsidR="00B070BF" w:rsidRPr="009577DE" w:rsidRDefault="00B070BF" w:rsidP="00C33D4A">
            <w:pPr>
              <w:spacing w:after="220"/>
              <w:jc w:val="center"/>
              <w:rPr>
                <w:b/>
                <w:sz w:val="16"/>
                <w:szCs w:val="16"/>
                <w:lang w:val="es-ES_tradnl"/>
              </w:rPr>
            </w:pPr>
            <w:r w:rsidRPr="009577DE">
              <w:rPr>
                <w:b/>
                <w:sz w:val="16"/>
                <w:szCs w:val="16"/>
                <w:lang w:val="es-ES_tradnl"/>
              </w:rPr>
              <w:t>Gastos en 2012</w:t>
            </w:r>
          </w:p>
        </w:tc>
        <w:tc>
          <w:tcPr>
            <w:tcW w:w="1701" w:type="dxa"/>
            <w:shd w:val="clear" w:color="auto" w:fill="CCFFFF"/>
            <w:vAlign w:val="center"/>
          </w:tcPr>
          <w:p w:rsidR="00B070BF" w:rsidRPr="009577DE" w:rsidRDefault="00B070BF" w:rsidP="00C33D4A">
            <w:pPr>
              <w:spacing w:after="220"/>
              <w:jc w:val="center"/>
              <w:rPr>
                <w:b/>
                <w:sz w:val="16"/>
                <w:szCs w:val="16"/>
                <w:lang w:val="es-ES_tradnl"/>
              </w:rPr>
            </w:pPr>
            <w:r w:rsidRPr="009577DE">
              <w:rPr>
                <w:b/>
                <w:sz w:val="16"/>
                <w:szCs w:val="16"/>
                <w:lang w:val="es-ES_tradnl"/>
              </w:rPr>
              <w:t>Reembolsos</w:t>
            </w:r>
          </w:p>
        </w:tc>
        <w:tc>
          <w:tcPr>
            <w:tcW w:w="1984" w:type="dxa"/>
            <w:shd w:val="clear" w:color="auto" w:fill="CCFFFF"/>
            <w:vAlign w:val="center"/>
          </w:tcPr>
          <w:p w:rsidR="00B070BF" w:rsidRPr="009577DE" w:rsidRDefault="00B070BF" w:rsidP="00C33D4A">
            <w:pPr>
              <w:spacing w:after="220"/>
              <w:jc w:val="center"/>
              <w:rPr>
                <w:b/>
                <w:sz w:val="16"/>
                <w:szCs w:val="16"/>
                <w:lang w:val="es-ES_tradnl"/>
              </w:rPr>
            </w:pPr>
            <w:r w:rsidRPr="009577DE">
              <w:rPr>
                <w:b/>
                <w:sz w:val="16"/>
                <w:szCs w:val="16"/>
                <w:lang w:val="es-ES_tradnl"/>
              </w:rPr>
              <w:t>Balance a 31 de diciembre de 2012</w:t>
            </w:r>
          </w:p>
        </w:tc>
      </w:tr>
      <w:tr w:rsidR="00B070BF" w:rsidRPr="009577DE" w:rsidTr="00C33D4A">
        <w:trPr>
          <w:trHeight w:val="567"/>
        </w:trPr>
        <w:tc>
          <w:tcPr>
            <w:tcW w:w="1843" w:type="dxa"/>
            <w:shd w:val="clear" w:color="auto" w:fill="auto"/>
            <w:vAlign w:val="center"/>
          </w:tcPr>
          <w:p w:rsidR="00B070BF" w:rsidRPr="009577DE" w:rsidRDefault="00B070BF" w:rsidP="00C33D4A">
            <w:pPr>
              <w:autoSpaceDE w:val="0"/>
              <w:autoSpaceDN w:val="0"/>
              <w:adjustRightInd w:val="0"/>
              <w:spacing w:after="220"/>
              <w:jc w:val="center"/>
              <w:rPr>
                <w:rFonts w:eastAsia="MS Mincho"/>
                <w:sz w:val="16"/>
                <w:szCs w:val="16"/>
                <w:lang w:val="es-ES_tradnl" w:eastAsia="ja-JP" w:bidi="th-TH"/>
              </w:rPr>
            </w:pPr>
            <w:r w:rsidRPr="009577DE">
              <w:rPr>
                <w:rFonts w:eastAsia="MS Mincho"/>
                <w:sz w:val="16"/>
                <w:szCs w:val="16"/>
                <w:lang w:val="es-ES_tradnl" w:eastAsia="ja-JP" w:bidi="th-TH"/>
              </w:rPr>
              <w:t>46.932</w:t>
            </w:r>
          </w:p>
        </w:tc>
        <w:tc>
          <w:tcPr>
            <w:tcW w:w="1701" w:type="dxa"/>
            <w:shd w:val="clear" w:color="auto" w:fill="auto"/>
            <w:vAlign w:val="center"/>
          </w:tcPr>
          <w:p w:rsidR="00B070BF" w:rsidRPr="009577DE" w:rsidRDefault="00B070BF" w:rsidP="00C33D4A">
            <w:pPr>
              <w:autoSpaceDE w:val="0"/>
              <w:autoSpaceDN w:val="0"/>
              <w:adjustRightInd w:val="0"/>
              <w:spacing w:after="220"/>
              <w:jc w:val="center"/>
              <w:rPr>
                <w:rFonts w:eastAsia="MS Mincho"/>
                <w:sz w:val="16"/>
                <w:szCs w:val="16"/>
                <w:lang w:val="es-ES_tradnl" w:eastAsia="ja-JP" w:bidi="th-TH"/>
              </w:rPr>
            </w:pPr>
            <w:r w:rsidRPr="009577DE">
              <w:rPr>
                <w:rFonts w:eastAsia="MS Mincho"/>
                <w:sz w:val="16"/>
                <w:szCs w:val="16"/>
                <w:lang w:val="es-ES_tradnl" w:eastAsia="ja-JP" w:bidi="th-TH"/>
              </w:rPr>
              <w:t>92.166</w:t>
            </w:r>
          </w:p>
        </w:tc>
        <w:tc>
          <w:tcPr>
            <w:tcW w:w="1843" w:type="dxa"/>
            <w:shd w:val="clear" w:color="auto" w:fill="auto"/>
            <w:vAlign w:val="center"/>
          </w:tcPr>
          <w:p w:rsidR="00B070BF" w:rsidRPr="009577DE" w:rsidRDefault="00B070BF" w:rsidP="00C33D4A">
            <w:pPr>
              <w:autoSpaceDE w:val="0"/>
              <w:autoSpaceDN w:val="0"/>
              <w:adjustRightInd w:val="0"/>
              <w:spacing w:after="220"/>
              <w:jc w:val="center"/>
              <w:rPr>
                <w:rFonts w:eastAsia="MS Mincho"/>
                <w:sz w:val="16"/>
                <w:szCs w:val="16"/>
                <w:lang w:val="es-ES_tradnl" w:eastAsia="ja-JP" w:bidi="th-TH"/>
              </w:rPr>
            </w:pPr>
            <w:r w:rsidRPr="009577DE">
              <w:rPr>
                <w:rFonts w:eastAsia="MS Mincho"/>
                <w:sz w:val="16"/>
                <w:szCs w:val="16"/>
                <w:lang w:val="es-ES_tradnl" w:eastAsia="ja-JP" w:bidi="th-TH"/>
              </w:rPr>
              <w:t>109.103</w:t>
            </w:r>
          </w:p>
        </w:tc>
        <w:tc>
          <w:tcPr>
            <w:tcW w:w="1701" w:type="dxa"/>
            <w:shd w:val="clear" w:color="auto" w:fill="auto"/>
            <w:vAlign w:val="center"/>
          </w:tcPr>
          <w:p w:rsidR="00B070BF" w:rsidRPr="009577DE" w:rsidRDefault="00B070BF" w:rsidP="00C33D4A">
            <w:pPr>
              <w:autoSpaceDE w:val="0"/>
              <w:autoSpaceDN w:val="0"/>
              <w:adjustRightInd w:val="0"/>
              <w:spacing w:after="220"/>
              <w:jc w:val="center"/>
              <w:rPr>
                <w:rFonts w:eastAsia="MS Mincho"/>
                <w:sz w:val="16"/>
                <w:szCs w:val="16"/>
                <w:lang w:val="es-ES_tradnl" w:eastAsia="ja-JP" w:bidi="th-TH"/>
              </w:rPr>
            </w:pPr>
            <w:r w:rsidRPr="009577DE">
              <w:rPr>
                <w:rFonts w:eastAsia="MS Mincho"/>
                <w:sz w:val="16"/>
                <w:szCs w:val="16"/>
                <w:lang w:val="es-ES_tradnl" w:eastAsia="ja-JP" w:bidi="th-TH"/>
              </w:rPr>
              <w:t>–</w:t>
            </w:r>
          </w:p>
        </w:tc>
        <w:tc>
          <w:tcPr>
            <w:tcW w:w="1984" w:type="dxa"/>
            <w:shd w:val="clear" w:color="auto" w:fill="auto"/>
            <w:vAlign w:val="center"/>
          </w:tcPr>
          <w:p w:rsidR="00B070BF" w:rsidRPr="009577DE" w:rsidRDefault="00B070BF" w:rsidP="00C33D4A">
            <w:pPr>
              <w:autoSpaceDE w:val="0"/>
              <w:autoSpaceDN w:val="0"/>
              <w:adjustRightInd w:val="0"/>
              <w:spacing w:after="220"/>
              <w:jc w:val="center"/>
              <w:rPr>
                <w:rFonts w:eastAsia="MS Mincho"/>
                <w:sz w:val="16"/>
                <w:szCs w:val="16"/>
                <w:lang w:val="es-ES_tradnl" w:eastAsia="ja-JP" w:bidi="th-TH"/>
              </w:rPr>
            </w:pPr>
            <w:r w:rsidRPr="009577DE">
              <w:rPr>
                <w:rFonts w:eastAsia="MS Mincho"/>
                <w:sz w:val="16"/>
                <w:szCs w:val="16"/>
                <w:lang w:val="es-ES_tradnl" w:eastAsia="ja-JP" w:bidi="th-TH"/>
              </w:rPr>
              <w:t>29.995</w:t>
            </w:r>
          </w:p>
        </w:tc>
      </w:tr>
    </w:tbl>
    <w:p w:rsidR="00B070BF" w:rsidRPr="009577DE" w:rsidRDefault="00B070BF" w:rsidP="00B070BF">
      <w:pPr>
        <w:spacing w:before="120"/>
        <w:rPr>
          <w:szCs w:val="22"/>
          <w:lang w:val="es-ES_tradnl"/>
        </w:rPr>
      </w:pPr>
      <w:r w:rsidRPr="009577DE">
        <w:rPr>
          <w:i/>
          <w:iCs/>
          <w:sz w:val="16"/>
          <w:szCs w:val="16"/>
          <w:vertAlign w:val="superscript"/>
          <w:lang w:val="es-ES_tradnl"/>
        </w:rPr>
        <w:t xml:space="preserve">1 </w:t>
      </w:r>
      <w:r w:rsidRPr="009577DE">
        <w:rPr>
          <w:i/>
          <w:iCs/>
          <w:sz w:val="16"/>
          <w:szCs w:val="16"/>
          <w:lang w:val="es-ES_tradnl"/>
        </w:rPr>
        <w:t>Estados financieros de la OMPI de 2012 (Anexo III)</w:t>
      </w:r>
    </w:p>
    <w:p w:rsidR="00B070BF" w:rsidRDefault="00B070BF" w:rsidP="00B070BF">
      <w:pPr>
        <w:rPr>
          <w:b/>
          <w:sz w:val="20"/>
          <w:lang w:val="es-ES_tradnl"/>
        </w:rPr>
      </w:pPr>
    </w:p>
    <w:p w:rsidR="00B070BF" w:rsidRPr="009577DE" w:rsidRDefault="00B070BF" w:rsidP="00B070BF">
      <w:pPr>
        <w:rPr>
          <w:b/>
          <w:sz w:val="20"/>
          <w:lang w:val="es-ES_tradnl"/>
        </w:rPr>
      </w:pPr>
    </w:p>
    <w:p w:rsidR="00B070BF" w:rsidRPr="009577DE" w:rsidRDefault="00B070BF" w:rsidP="00B070BF">
      <w:pPr>
        <w:rPr>
          <w:b/>
          <w:sz w:val="20"/>
          <w:lang w:val="es-ES_tradnl"/>
        </w:rPr>
      </w:pPr>
      <w:r w:rsidRPr="009577DE">
        <w:rPr>
          <w:b/>
          <w:sz w:val="20"/>
          <w:lang w:val="es-ES_tradnl"/>
        </w:rPr>
        <w:lastRenderedPageBreak/>
        <w:t>ESTADOS UNIDOS DE AMÉRICA – PEQUEÑAS Y MEDIANAS EMPRESAS</w:t>
      </w:r>
    </w:p>
    <w:p w:rsidR="00B070BF" w:rsidRPr="009577DE" w:rsidRDefault="00B070BF" w:rsidP="00B070BF">
      <w:pPr>
        <w:rPr>
          <w:b/>
          <w:sz w:val="20"/>
          <w:lang w:val="es-ES_tradnl"/>
        </w:rPr>
      </w:pPr>
    </w:p>
    <w:tbl>
      <w:tblPr>
        <w:tblW w:w="9102" w:type="dxa"/>
        <w:tblInd w:w="78"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1873"/>
        <w:gridCol w:w="1457"/>
        <w:gridCol w:w="2512"/>
        <w:gridCol w:w="3260"/>
      </w:tblGrid>
      <w:tr w:rsidR="00B070BF" w:rsidRPr="009577DE" w:rsidTr="00C33D4A">
        <w:tc>
          <w:tcPr>
            <w:tcW w:w="9102" w:type="dxa"/>
            <w:gridSpan w:val="4"/>
            <w:tcBorders>
              <w:top w:val="single" w:sz="4" w:space="0" w:color="000000"/>
              <w:bottom w:val="single" w:sz="4" w:space="0" w:color="000000"/>
            </w:tcBorders>
            <w:shd w:val="clear" w:color="auto" w:fill="CCFFFF"/>
            <w:vAlign w:val="center"/>
          </w:tcPr>
          <w:p w:rsidR="00B070BF" w:rsidRPr="009577DE" w:rsidRDefault="00B070BF" w:rsidP="00C33D4A">
            <w:pPr>
              <w:keepNext/>
              <w:keepLines/>
              <w:tabs>
                <w:tab w:val="left" w:pos="1740"/>
              </w:tabs>
              <w:spacing w:before="120" w:after="120"/>
              <w:ind w:left="1740" w:hanging="1740"/>
              <w:rPr>
                <w:b/>
                <w:bCs/>
                <w:sz w:val="16"/>
                <w:szCs w:val="16"/>
                <w:lang w:val="es-ES_tradnl"/>
              </w:rPr>
            </w:pPr>
            <w:r w:rsidRPr="009577DE">
              <w:rPr>
                <w:b/>
                <w:bCs/>
                <w:sz w:val="16"/>
                <w:szCs w:val="16"/>
                <w:lang w:val="es-ES_tradnl"/>
              </w:rPr>
              <w:t>RESULTADO:</w:t>
            </w:r>
            <w:r w:rsidRPr="009577DE">
              <w:rPr>
                <w:b/>
                <w:bCs/>
                <w:sz w:val="16"/>
                <w:szCs w:val="16"/>
                <w:lang w:val="es-ES_tradnl"/>
              </w:rPr>
              <w:tab/>
            </w:r>
            <w:r w:rsidRPr="009577DE">
              <w:rPr>
                <w:bCs/>
                <w:sz w:val="16"/>
                <w:szCs w:val="16"/>
                <w:lang w:val="es-ES_tradnl"/>
              </w:rPr>
              <w:t>Facilitar el uso de la P.I. en aras del desarrollo</w:t>
            </w:r>
          </w:p>
        </w:tc>
      </w:tr>
      <w:tr w:rsidR="00B070BF" w:rsidRPr="009577DE" w:rsidTr="00C33D4A">
        <w:tc>
          <w:tcPr>
            <w:tcW w:w="1873" w:type="dxa"/>
            <w:tcBorders>
              <w:top w:val="single" w:sz="4" w:space="0" w:color="000000"/>
            </w:tcBorders>
            <w:vAlign w:val="center"/>
          </w:tcPr>
          <w:p w:rsidR="00B070BF" w:rsidRPr="009577DE" w:rsidRDefault="00B070BF" w:rsidP="00C33D4A">
            <w:pPr>
              <w:keepNext/>
              <w:keepLines/>
              <w:rPr>
                <w:b/>
                <w:bCs/>
                <w:sz w:val="16"/>
                <w:szCs w:val="16"/>
                <w:lang w:val="es-ES_tradnl"/>
              </w:rPr>
            </w:pPr>
            <w:r w:rsidRPr="009577DE">
              <w:rPr>
                <w:b/>
                <w:bCs/>
                <w:sz w:val="16"/>
                <w:szCs w:val="16"/>
                <w:lang w:val="es-ES_tradnl"/>
              </w:rPr>
              <w:t>Actividad</w:t>
            </w:r>
          </w:p>
        </w:tc>
        <w:tc>
          <w:tcPr>
            <w:tcW w:w="1457" w:type="dxa"/>
            <w:tcBorders>
              <w:top w:val="single" w:sz="4" w:space="0" w:color="000000"/>
            </w:tcBorders>
            <w:shd w:val="clear" w:color="auto" w:fill="auto"/>
            <w:tcMar>
              <w:top w:w="110" w:type="dxa"/>
            </w:tcMar>
            <w:vAlign w:val="center"/>
          </w:tcPr>
          <w:p w:rsidR="00B070BF" w:rsidRPr="009577DE" w:rsidRDefault="00B070BF" w:rsidP="00C33D4A">
            <w:pPr>
              <w:keepNext/>
              <w:keepLines/>
              <w:rPr>
                <w:sz w:val="16"/>
                <w:szCs w:val="16"/>
                <w:lang w:val="es-ES_tradnl"/>
              </w:rPr>
            </w:pPr>
            <w:r w:rsidRPr="009577DE">
              <w:rPr>
                <w:b/>
                <w:bCs/>
                <w:sz w:val="16"/>
                <w:szCs w:val="16"/>
                <w:lang w:val="es-ES_tradnl"/>
              </w:rPr>
              <w:t>Fecha</w:t>
            </w:r>
          </w:p>
        </w:tc>
        <w:tc>
          <w:tcPr>
            <w:tcW w:w="2512" w:type="dxa"/>
            <w:tcBorders>
              <w:top w:val="single" w:sz="4" w:space="0" w:color="000000"/>
            </w:tcBorders>
            <w:shd w:val="clear" w:color="auto" w:fill="auto"/>
            <w:tcMar>
              <w:top w:w="110" w:type="dxa"/>
            </w:tcMar>
            <w:vAlign w:val="center"/>
          </w:tcPr>
          <w:p w:rsidR="00B070BF" w:rsidRPr="009577DE" w:rsidRDefault="00B070BF" w:rsidP="00C33D4A">
            <w:pPr>
              <w:keepNext/>
              <w:keepLines/>
              <w:rPr>
                <w:sz w:val="16"/>
                <w:szCs w:val="16"/>
                <w:lang w:val="es-ES_tradnl"/>
              </w:rPr>
            </w:pPr>
            <w:r w:rsidRPr="009577DE">
              <w:rPr>
                <w:b/>
                <w:bCs/>
                <w:sz w:val="16"/>
                <w:szCs w:val="16"/>
                <w:lang w:val="es-ES_tradnl"/>
              </w:rPr>
              <w:t>País anfitrión/Beneficiarios</w:t>
            </w:r>
          </w:p>
        </w:tc>
        <w:tc>
          <w:tcPr>
            <w:tcW w:w="3260" w:type="dxa"/>
            <w:tcBorders>
              <w:top w:val="single" w:sz="4" w:space="0" w:color="000000"/>
            </w:tcBorders>
            <w:shd w:val="clear" w:color="auto" w:fill="FFFFFF"/>
            <w:tcMar>
              <w:top w:w="110" w:type="dxa"/>
            </w:tcMar>
            <w:vAlign w:val="center"/>
          </w:tcPr>
          <w:p w:rsidR="00B070BF" w:rsidRPr="009577DE" w:rsidRDefault="00B070BF" w:rsidP="00C33D4A">
            <w:pPr>
              <w:keepNext/>
              <w:keepLines/>
              <w:rPr>
                <w:sz w:val="16"/>
                <w:szCs w:val="16"/>
                <w:lang w:val="es-ES_tradnl"/>
              </w:rPr>
            </w:pPr>
            <w:r w:rsidRPr="009577DE">
              <w:rPr>
                <w:b/>
                <w:bCs/>
                <w:sz w:val="16"/>
                <w:szCs w:val="16"/>
                <w:lang w:val="es-ES_tradnl"/>
              </w:rPr>
              <w:t>Propósito/Descripción</w:t>
            </w:r>
          </w:p>
        </w:tc>
      </w:tr>
      <w:tr w:rsidR="00B070BF" w:rsidRPr="009577DE" w:rsidTr="00C33D4A">
        <w:trPr>
          <w:trHeight w:val="566"/>
        </w:trPr>
        <w:tc>
          <w:tcPr>
            <w:tcW w:w="1873" w:type="dxa"/>
          </w:tcPr>
          <w:p w:rsidR="00B070BF" w:rsidRPr="009577DE" w:rsidRDefault="00B070BF" w:rsidP="00C33D4A">
            <w:pPr>
              <w:autoSpaceDE w:val="0"/>
              <w:autoSpaceDN w:val="0"/>
              <w:adjustRightInd w:val="0"/>
              <w:spacing w:before="120" w:after="120"/>
              <w:rPr>
                <w:sz w:val="16"/>
                <w:szCs w:val="16"/>
                <w:lang w:val="es-ES_tradnl"/>
              </w:rPr>
            </w:pPr>
            <w:r w:rsidRPr="009577DE">
              <w:rPr>
                <w:sz w:val="16"/>
                <w:szCs w:val="16"/>
                <w:lang w:val="es-ES_tradnl"/>
              </w:rPr>
              <w:t xml:space="preserve">Versión nacional de </w:t>
            </w:r>
            <w:r w:rsidRPr="009577DE">
              <w:rPr>
                <w:i/>
                <w:sz w:val="16"/>
                <w:szCs w:val="16"/>
                <w:lang w:val="es-ES_tradnl"/>
              </w:rPr>
              <w:t>IP Panorama</w:t>
            </w:r>
            <w:r w:rsidRPr="009577DE">
              <w:rPr>
                <w:sz w:val="16"/>
                <w:szCs w:val="16"/>
                <w:lang w:val="es-ES_tradnl"/>
              </w:rPr>
              <w:t xml:space="preserve"> (en swahili).</w:t>
            </w:r>
          </w:p>
        </w:tc>
        <w:tc>
          <w:tcPr>
            <w:tcW w:w="1457" w:type="dxa"/>
          </w:tcPr>
          <w:p w:rsidR="00B070BF" w:rsidRPr="009577DE" w:rsidRDefault="00B070BF" w:rsidP="00C33D4A">
            <w:pPr>
              <w:autoSpaceDE w:val="0"/>
              <w:autoSpaceDN w:val="0"/>
              <w:adjustRightInd w:val="0"/>
              <w:spacing w:before="120" w:after="120"/>
              <w:rPr>
                <w:sz w:val="16"/>
                <w:szCs w:val="16"/>
                <w:lang w:val="es-ES_tradnl"/>
              </w:rPr>
            </w:pPr>
            <w:r w:rsidRPr="009577DE">
              <w:rPr>
                <w:sz w:val="16"/>
                <w:szCs w:val="16"/>
                <w:lang w:val="es-ES_tradnl"/>
              </w:rPr>
              <w:t>Diciembre de 2012</w:t>
            </w:r>
          </w:p>
        </w:tc>
        <w:tc>
          <w:tcPr>
            <w:tcW w:w="2512" w:type="dxa"/>
          </w:tcPr>
          <w:p w:rsidR="00B070BF" w:rsidRPr="009577DE" w:rsidRDefault="00B070BF" w:rsidP="00C33D4A">
            <w:pPr>
              <w:autoSpaceDE w:val="0"/>
              <w:autoSpaceDN w:val="0"/>
              <w:adjustRightInd w:val="0"/>
              <w:spacing w:before="120" w:after="120"/>
              <w:rPr>
                <w:sz w:val="16"/>
                <w:szCs w:val="16"/>
                <w:lang w:val="es-ES_tradnl"/>
              </w:rPr>
            </w:pPr>
            <w:proofErr w:type="spellStart"/>
            <w:r w:rsidRPr="009577DE">
              <w:rPr>
                <w:sz w:val="16"/>
                <w:szCs w:val="16"/>
                <w:lang w:val="es-ES_tradnl"/>
              </w:rPr>
              <w:t>Kenya</w:t>
            </w:r>
            <w:proofErr w:type="spellEnd"/>
          </w:p>
        </w:tc>
        <w:tc>
          <w:tcPr>
            <w:tcW w:w="3260" w:type="dxa"/>
          </w:tcPr>
          <w:p w:rsidR="00B070BF" w:rsidRPr="009577DE" w:rsidRDefault="00B070BF" w:rsidP="00C33D4A">
            <w:pPr>
              <w:autoSpaceDE w:val="0"/>
              <w:autoSpaceDN w:val="0"/>
              <w:adjustRightInd w:val="0"/>
              <w:spacing w:before="120" w:after="120"/>
              <w:rPr>
                <w:sz w:val="16"/>
                <w:szCs w:val="16"/>
                <w:lang w:val="es-ES_tradnl"/>
              </w:rPr>
            </w:pPr>
            <w:r w:rsidRPr="009577DE">
              <w:rPr>
                <w:sz w:val="16"/>
                <w:szCs w:val="16"/>
                <w:lang w:val="es-ES_tradnl"/>
              </w:rPr>
              <w:t>Mejorar el conocimiento de la gestión de los activos de P.I. entre las pymes y las instituciones de apoyo a las pymes.</w:t>
            </w:r>
          </w:p>
        </w:tc>
      </w:tr>
      <w:tr w:rsidR="00B070BF" w:rsidRPr="009577DE" w:rsidTr="00C33D4A">
        <w:trPr>
          <w:trHeight w:val="546"/>
        </w:trPr>
        <w:tc>
          <w:tcPr>
            <w:tcW w:w="1873" w:type="dxa"/>
          </w:tcPr>
          <w:p w:rsidR="00B070BF" w:rsidRPr="009577DE" w:rsidRDefault="00B070BF" w:rsidP="00C33D4A">
            <w:pPr>
              <w:autoSpaceDE w:val="0"/>
              <w:autoSpaceDN w:val="0"/>
              <w:adjustRightInd w:val="0"/>
              <w:spacing w:before="120" w:after="120"/>
              <w:rPr>
                <w:sz w:val="16"/>
                <w:szCs w:val="16"/>
                <w:lang w:val="es-ES_tradnl"/>
              </w:rPr>
            </w:pPr>
            <w:r w:rsidRPr="009577DE">
              <w:rPr>
                <w:sz w:val="16"/>
                <w:szCs w:val="16"/>
                <w:lang w:val="es-ES_tradnl"/>
              </w:rPr>
              <w:t>Se encargaron cuatro publicaciones:  1) La gestión estratégica de los activos de P.I. para la creación de valor en las empresas;  2) La función de la P.I. en los contratos de franquicia;  3) una Guía práctica sobre la gestión de los secretos comerciales;  y 4) la P.I. para las finanzas.</w:t>
            </w:r>
          </w:p>
        </w:tc>
        <w:tc>
          <w:tcPr>
            <w:tcW w:w="1457" w:type="dxa"/>
          </w:tcPr>
          <w:p w:rsidR="00B070BF" w:rsidRPr="00B070BF" w:rsidRDefault="00B070BF" w:rsidP="00B070BF">
            <w:pPr>
              <w:autoSpaceDE w:val="0"/>
              <w:autoSpaceDN w:val="0"/>
              <w:adjustRightInd w:val="0"/>
              <w:spacing w:before="120" w:after="120"/>
              <w:rPr>
                <w:sz w:val="16"/>
                <w:szCs w:val="16"/>
              </w:rPr>
            </w:pPr>
            <w:r w:rsidRPr="00B070BF">
              <w:rPr>
                <w:sz w:val="16"/>
                <w:szCs w:val="16"/>
              </w:rPr>
              <w:t xml:space="preserve">Labor en curso (se finalizará en 2013).  </w:t>
            </w:r>
            <w:r w:rsidRPr="00B342E0">
              <w:rPr>
                <w:sz w:val="16"/>
                <w:szCs w:val="16"/>
                <w:lang w:val="en-US"/>
              </w:rPr>
              <w:t xml:space="preserve">Se </w:t>
            </w:r>
            <w:proofErr w:type="spellStart"/>
            <w:r w:rsidRPr="00B342E0">
              <w:rPr>
                <w:sz w:val="16"/>
                <w:szCs w:val="16"/>
                <w:lang w:val="en-US"/>
              </w:rPr>
              <w:t>completó</w:t>
            </w:r>
            <w:proofErr w:type="spellEnd"/>
            <w:r w:rsidRPr="00B342E0">
              <w:rPr>
                <w:sz w:val="16"/>
                <w:szCs w:val="16"/>
                <w:lang w:val="en-US"/>
              </w:rPr>
              <w:t xml:space="preserve"> la </w:t>
            </w:r>
            <w:proofErr w:type="spellStart"/>
            <w:r w:rsidRPr="00B342E0">
              <w:rPr>
                <w:sz w:val="16"/>
                <w:szCs w:val="16"/>
                <w:lang w:val="en-US"/>
              </w:rPr>
              <w:t>publicación</w:t>
            </w:r>
            <w:proofErr w:type="spellEnd"/>
            <w:r w:rsidRPr="00B342E0">
              <w:rPr>
                <w:sz w:val="16"/>
                <w:szCs w:val="16"/>
                <w:lang w:val="en-US"/>
              </w:rPr>
              <w:t xml:space="preserve"> </w:t>
            </w:r>
            <w:r w:rsidRPr="00B342E0">
              <w:rPr>
                <w:i/>
                <w:sz w:val="16"/>
                <w:szCs w:val="16"/>
                <w:lang w:val="en-US"/>
              </w:rPr>
              <w:t>In Good company: Managing I.P. Issues in Franchising</w:t>
            </w:r>
            <w:r w:rsidRPr="00B342E0">
              <w:rPr>
                <w:sz w:val="16"/>
                <w:szCs w:val="16"/>
                <w:lang w:val="en-US"/>
              </w:rPr>
              <w:t xml:space="preserve">.  </w:t>
            </w:r>
            <w:r w:rsidRPr="00B070BF">
              <w:rPr>
                <w:sz w:val="16"/>
                <w:szCs w:val="16"/>
              </w:rPr>
              <w:t>Se están efectuando las traducciones a los idiomas de las Naciones Unidas (excepto el ruso)</w:t>
            </w:r>
          </w:p>
        </w:tc>
        <w:tc>
          <w:tcPr>
            <w:tcW w:w="2512" w:type="dxa"/>
          </w:tcPr>
          <w:p w:rsidR="00B070BF" w:rsidRPr="009577DE" w:rsidRDefault="00B070BF" w:rsidP="00C33D4A">
            <w:pPr>
              <w:autoSpaceDE w:val="0"/>
              <w:autoSpaceDN w:val="0"/>
              <w:adjustRightInd w:val="0"/>
              <w:spacing w:before="120" w:after="120"/>
              <w:rPr>
                <w:sz w:val="16"/>
                <w:szCs w:val="16"/>
                <w:lang w:val="es-ES_tradnl"/>
              </w:rPr>
            </w:pPr>
          </w:p>
        </w:tc>
        <w:tc>
          <w:tcPr>
            <w:tcW w:w="3260" w:type="dxa"/>
          </w:tcPr>
          <w:p w:rsidR="00B070BF" w:rsidRPr="009577DE" w:rsidRDefault="00B070BF" w:rsidP="00C33D4A">
            <w:pPr>
              <w:autoSpaceDE w:val="0"/>
              <w:autoSpaceDN w:val="0"/>
              <w:adjustRightInd w:val="0"/>
              <w:spacing w:before="120" w:after="120"/>
              <w:rPr>
                <w:sz w:val="16"/>
                <w:szCs w:val="16"/>
                <w:lang w:val="es-ES_tradnl"/>
              </w:rPr>
            </w:pPr>
            <w:r w:rsidRPr="009577DE">
              <w:rPr>
                <w:sz w:val="16"/>
                <w:szCs w:val="16"/>
                <w:lang w:val="es-ES_tradnl"/>
              </w:rPr>
              <w:t>Mejorar el conocimiento de la gestión de los activos de P.I. entre las pymes y las instituciones de apoyo a las pymes.</w:t>
            </w:r>
          </w:p>
        </w:tc>
      </w:tr>
    </w:tbl>
    <w:p w:rsidR="00B070BF" w:rsidRPr="009577DE" w:rsidRDefault="00B070BF" w:rsidP="00B070BF">
      <w:pPr>
        <w:rPr>
          <w:sz w:val="20"/>
          <w:lang w:val="es-ES_tradnl"/>
        </w:rPr>
      </w:pPr>
    </w:p>
    <w:p w:rsidR="00B070BF" w:rsidRPr="009577DE" w:rsidRDefault="00B070BF" w:rsidP="00B070BF">
      <w:pPr>
        <w:rPr>
          <w:sz w:val="20"/>
          <w:lang w:val="es-ES_tradnl"/>
        </w:rPr>
      </w:pPr>
    </w:p>
    <w:p w:rsidR="00B070BF" w:rsidRPr="009577DE" w:rsidRDefault="00B070BF" w:rsidP="00B070BF">
      <w:pPr>
        <w:rPr>
          <w:b/>
          <w:bCs/>
          <w:sz w:val="20"/>
          <w:lang w:val="es-ES_tradnl"/>
        </w:rPr>
      </w:pPr>
      <w:r w:rsidRPr="009577DE">
        <w:rPr>
          <w:b/>
          <w:bCs/>
          <w:sz w:val="20"/>
          <w:lang w:val="es-ES_tradnl"/>
        </w:rPr>
        <w:t>ESTADOS UNIDOS DE AMÉRICA – PEQUEÑAS Y MEDIANAS EMPRESAS</w:t>
      </w:r>
    </w:p>
    <w:p w:rsidR="00B070BF" w:rsidRPr="009577DE" w:rsidRDefault="00B070BF" w:rsidP="00B070BF">
      <w:pPr>
        <w:rPr>
          <w:b/>
          <w:bCs/>
          <w:sz w:val="20"/>
          <w:lang w:val="es-ES_tradnl"/>
        </w:rPr>
      </w:pPr>
      <w:r w:rsidRPr="009577DE">
        <w:rPr>
          <w:b/>
          <w:bCs/>
          <w:sz w:val="20"/>
          <w:lang w:val="es-ES_tradnl"/>
        </w:rPr>
        <w:t>Contribuciones de donantes y gastos en 2012</w:t>
      </w:r>
      <w:r w:rsidRPr="009577DE">
        <w:rPr>
          <w:b/>
          <w:bCs/>
          <w:sz w:val="20"/>
          <w:vertAlign w:val="superscript"/>
          <w:lang w:val="es-ES_tradnl"/>
        </w:rPr>
        <w:t>1</w:t>
      </w:r>
    </w:p>
    <w:p w:rsidR="00B070BF" w:rsidRPr="009577DE" w:rsidRDefault="00B070BF" w:rsidP="00B070BF">
      <w:pPr>
        <w:rPr>
          <w:sz w:val="20"/>
          <w:lang w:val="es-ES_tradnl"/>
        </w:rPr>
      </w:pPr>
    </w:p>
    <w:tbl>
      <w:tblPr>
        <w:tblW w:w="0" w:type="auto"/>
        <w:tblInd w:w="108" w:type="dxa"/>
        <w:tblCellMar>
          <w:left w:w="0" w:type="dxa"/>
          <w:right w:w="0" w:type="dxa"/>
        </w:tblCellMar>
        <w:tblLook w:val="0000" w:firstRow="0" w:lastRow="0" w:firstColumn="0" w:lastColumn="0" w:noHBand="0" w:noVBand="0"/>
      </w:tblPr>
      <w:tblGrid>
        <w:gridCol w:w="1843"/>
        <w:gridCol w:w="1701"/>
        <w:gridCol w:w="1843"/>
        <w:gridCol w:w="1701"/>
        <w:gridCol w:w="1984"/>
      </w:tblGrid>
      <w:tr w:rsidR="00B070BF" w:rsidRPr="009577DE" w:rsidTr="00C33D4A">
        <w:trPr>
          <w:trHeight w:val="567"/>
        </w:trPr>
        <w:tc>
          <w:tcPr>
            <w:tcW w:w="1843" w:type="dxa"/>
            <w:tcBorders>
              <w:top w:val="single" w:sz="8" w:space="0" w:color="auto"/>
              <w:left w:val="single" w:sz="8" w:space="0" w:color="auto"/>
              <w:bottom w:val="single" w:sz="8" w:space="0" w:color="auto"/>
              <w:right w:val="single" w:sz="8" w:space="0" w:color="auto"/>
            </w:tcBorders>
            <w:shd w:val="clear" w:color="auto" w:fill="CCFFFF"/>
            <w:tcMar>
              <w:top w:w="0" w:type="dxa"/>
              <w:left w:w="108" w:type="dxa"/>
              <w:bottom w:w="0" w:type="dxa"/>
              <w:right w:w="108" w:type="dxa"/>
            </w:tcMar>
            <w:vAlign w:val="center"/>
          </w:tcPr>
          <w:p w:rsidR="00B070BF" w:rsidRPr="009577DE" w:rsidRDefault="00B070BF" w:rsidP="00C33D4A">
            <w:pPr>
              <w:jc w:val="center"/>
              <w:rPr>
                <w:b/>
                <w:bCs/>
                <w:sz w:val="16"/>
                <w:szCs w:val="16"/>
                <w:lang w:val="es-ES_tradnl"/>
              </w:rPr>
            </w:pPr>
            <w:r w:rsidRPr="009577DE">
              <w:rPr>
                <w:b/>
                <w:bCs/>
                <w:sz w:val="16"/>
                <w:szCs w:val="16"/>
                <w:lang w:val="es-ES_tradnl"/>
              </w:rPr>
              <w:t>Balance a 31 de diciembre de 2011</w:t>
            </w:r>
          </w:p>
        </w:tc>
        <w:tc>
          <w:tcPr>
            <w:tcW w:w="1701" w:type="dxa"/>
            <w:tcBorders>
              <w:top w:val="single" w:sz="8" w:space="0" w:color="auto"/>
              <w:left w:val="nil"/>
              <w:bottom w:val="single" w:sz="8" w:space="0" w:color="auto"/>
              <w:right w:val="single" w:sz="8" w:space="0" w:color="auto"/>
            </w:tcBorders>
            <w:shd w:val="clear" w:color="auto" w:fill="CCFFFF"/>
            <w:tcMar>
              <w:top w:w="0" w:type="dxa"/>
              <w:left w:w="108" w:type="dxa"/>
              <w:bottom w:w="0" w:type="dxa"/>
              <w:right w:w="108" w:type="dxa"/>
            </w:tcMar>
            <w:vAlign w:val="center"/>
          </w:tcPr>
          <w:p w:rsidR="00B070BF" w:rsidRPr="009577DE" w:rsidRDefault="00B070BF" w:rsidP="00C33D4A">
            <w:pPr>
              <w:keepNext/>
              <w:keepLines/>
              <w:jc w:val="center"/>
              <w:rPr>
                <w:b/>
                <w:bCs/>
                <w:sz w:val="16"/>
                <w:szCs w:val="16"/>
                <w:lang w:val="es-ES_tradnl"/>
              </w:rPr>
            </w:pPr>
            <w:r w:rsidRPr="009577DE">
              <w:rPr>
                <w:b/>
                <w:bCs/>
                <w:sz w:val="16"/>
                <w:szCs w:val="16"/>
                <w:lang w:val="es-ES_tradnl"/>
              </w:rPr>
              <w:t>Ingresos en 2012</w:t>
            </w:r>
          </w:p>
        </w:tc>
        <w:tc>
          <w:tcPr>
            <w:tcW w:w="1843" w:type="dxa"/>
            <w:tcBorders>
              <w:top w:val="single" w:sz="8" w:space="0" w:color="auto"/>
              <w:left w:val="nil"/>
              <w:bottom w:val="single" w:sz="8" w:space="0" w:color="auto"/>
              <w:right w:val="single" w:sz="8" w:space="0" w:color="auto"/>
            </w:tcBorders>
            <w:shd w:val="clear" w:color="auto" w:fill="CCFFFF"/>
            <w:tcMar>
              <w:top w:w="0" w:type="dxa"/>
              <w:left w:w="108" w:type="dxa"/>
              <w:bottom w:w="0" w:type="dxa"/>
              <w:right w:w="108" w:type="dxa"/>
            </w:tcMar>
            <w:vAlign w:val="center"/>
          </w:tcPr>
          <w:p w:rsidR="00B070BF" w:rsidRPr="009577DE" w:rsidRDefault="00B070BF" w:rsidP="00C33D4A">
            <w:pPr>
              <w:keepNext/>
              <w:keepLines/>
              <w:jc w:val="center"/>
              <w:rPr>
                <w:b/>
                <w:bCs/>
                <w:sz w:val="16"/>
                <w:szCs w:val="16"/>
                <w:lang w:val="es-ES_tradnl"/>
              </w:rPr>
            </w:pPr>
            <w:r w:rsidRPr="009577DE">
              <w:rPr>
                <w:b/>
                <w:bCs/>
                <w:sz w:val="16"/>
                <w:szCs w:val="16"/>
                <w:lang w:val="es-ES_tradnl"/>
              </w:rPr>
              <w:t>Gastos en 2012</w:t>
            </w:r>
          </w:p>
        </w:tc>
        <w:tc>
          <w:tcPr>
            <w:tcW w:w="1701" w:type="dxa"/>
            <w:tcBorders>
              <w:top w:val="single" w:sz="8" w:space="0" w:color="auto"/>
              <w:left w:val="nil"/>
              <w:bottom w:val="single" w:sz="8" w:space="0" w:color="auto"/>
              <w:right w:val="single" w:sz="8" w:space="0" w:color="auto"/>
            </w:tcBorders>
            <w:shd w:val="clear" w:color="auto" w:fill="CCFFFF"/>
            <w:tcMar>
              <w:top w:w="0" w:type="dxa"/>
              <w:left w:w="108" w:type="dxa"/>
              <w:bottom w:w="0" w:type="dxa"/>
              <w:right w:w="108" w:type="dxa"/>
            </w:tcMar>
            <w:vAlign w:val="center"/>
          </w:tcPr>
          <w:p w:rsidR="00B070BF" w:rsidRPr="009577DE" w:rsidRDefault="00B070BF" w:rsidP="00C33D4A">
            <w:pPr>
              <w:keepNext/>
              <w:keepLines/>
              <w:jc w:val="center"/>
              <w:rPr>
                <w:b/>
                <w:bCs/>
                <w:sz w:val="16"/>
                <w:szCs w:val="16"/>
                <w:lang w:val="es-ES_tradnl"/>
              </w:rPr>
            </w:pPr>
            <w:r w:rsidRPr="009577DE">
              <w:rPr>
                <w:b/>
                <w:bCs/>
                <w:sz w:val="16"/>
                <w:szCs w:val="16"/>
                <w:lang w:val="es-ES_tradnl"/>
              </w:rPr>
              <w:t>Reembolsos</w:t>
            </w:r>
          </w:p>
        </w:tc>
        <w:tc>
          <w:tcPr>
            <w:tcW w:w="1984" w:type="dxa"/>
            <w:tcBorders>
              <w:top w:val="single" w:sz="8" w:space="0" w:color="auto"/>
              <w:left w:val="nil"/>
              <w:bottom w:val="single" w:sz="8" w:space="0" w:color="auto"/>
              <w:right w:val="single" w:sz="8" w:space="0" w:color="auto"/>
            </w:tcBorders>
            <w:shd w:val="clear" w:color="auto" w:fill="CCFFFF"/>
            <w:tcMar>
              <w:top w:w="0" w:type="dxa"/>
              <w:left w:w="108" w:type="dxa"/>
              <w:bottom w:w="0" w:type="dxa"/>
              <w:right w:w="108" w:type="dxa"/>
            </w:tcMar>
            <w:vAlign w:val="center"/>
          </w:tcPr>
          <w:p w:rsidR="00B070BF" w:rsidRPr="009577DE" w:rsidRDefault="00B070BF" w:rsidP="00C33D4A">
            <w:pPr>
              <w:keepNext/>
              <w:keepLines/>
              <w:jc w:val="center"/>
              <w:rPr>
                <w:b/>
                <w:bCs/>
                <w:sz w:val="16"/>
                <w:szCs w:val="16"/>
                <w:lang w:val="es-ES_tradnl"/>
              </w:rPr>
            </w:pPr>
            <w:r w:rsidRPr="009577DE">
              <w:rPr>
                <w:b/>
                <w:bCs/>
                <w:sz w:val="16"/>
                <w:szCs w:val="16"/>
                <w:lang w:val="es-ES_tradnl"/>
              </w:rPr>
              <w:t>Balance a 31 de diciembre de 2012</w:t>
            </w:r>
          </w:p>
        </w:tc>
      </w:tr>
      <w:tr w:rsidR="00B070BF" w:rsidRPr="009577DE" w:rsidTr="00C33D4A">
        <w:trPr>
          <w:trHeight w:val="567"/>
        </w:trPr>
        <w:tc>
          <w:tcPr>
            <w:tcW w:w="18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B070BF" w:rsidRPr="009577DE" w:rsidRDefault="00B070BF" w:rsidP="00C33D4A">
            <w:pPr>
              <w:jc w:val="center"/>
              <w:rPr>
                <w:sz w:val="16"/>
                <w:szCs w:val="16"/>
                <w:lang w:val="es-ES_tradnl"/>
              </w:rPr>
            </w:pPr>
            <w:r w:rsidRPr="009577DE">
              <w:rPr>
                <w:sz w:val="16"/>
                <w:szCs w:val="16"/>
                <w:lang w:val="es-ES_tradnl"/>
              </w:rPr>
              <w:t>180.732</w:t>
            </w:r>
          </w:p>
        </w:tc>
        <w:tc>
          <w:tcPr>
            <w:tcW w:w="1701" w:type="dxa"/>
            <w:tcBorders>
              <w:top w:val="nil"/>
              <w:left w:val="nil"/>
              <w:bottom w:val="single" w:sz="8" w:space="0" w:color="auto"/>
              <w:right w:val="single" w:sz="8" w:space="0" w:color="auto"/>
            </w:tcBorders>
            <w:tcMar>
              <w:top w:w="0" w:type="dxa"/>
              <w:left w:w="108" w:type="dxa"/>
              <w:bottom w:w="0" w:type="dxa"/>
              <w:right w:w="108" w:type="dxa"/>
            </w:tcMar>
            <w:vAlign w:val="center"/>
          </w:tcPr>
          <w:p w:rsidR="00B070BF" w:rsidRPr="009577DE" w:rsidRDefault="00B070BF" w:rsidP="00C33D4A">
            <w:pPr>
              <w:jc w:val="center"/>
              <w:rPr>
                <w:sz w:val="16"/>
                <w:szCs w:val="16"/>
                <w:lang w:val="es-ES_tradnl"/>
              </w:rPr>
            </w:pPr>
            <w:r w:rsidRPr="009577DE">
              <w:rPr>
                <w:sz w:val="16"/>
                <w:szCs w:val="16"/>
                <w:lang w:val="es-ES_tradnl"/>
              </w:rPr>
              <w:t>–1.216</w:t>
            </w:r>
          </w:p>
        </w:tc>
        <w:tc>
          <w:tcPr>
            <w:tcW w:w="1843" w:type="dxa"/>
            <w:tcBorders>
              <w:top w:val="nil"/>
              <w:left w:val="nil"/>
              <w:bottom w:val="single" w:sz="8" w:space="0" w:color="auto"/>
              <w:right w:val="single" w:sz="8" w:space="0" w:color="auto"/>
            </w:tcBorders>
            <w:tcMar>
              <w:top w:w="0" w:type="dxa"/>
              <w:left w:w="108" w:type="dxa"/>
              <w:bottom w:w="0" w:type="dxa"/>
              <w:right w:w="108" w:type="dxa"/>
            </w:tcMar>
            <w:vAlign w:val="center"/>
          </w:tcPr>
          <w:p w:rsidR="00B070BF" w:rsidRPr="009577DE" w:rsidRDefault="00B070BF" w:rsidP="00C33D4A">
            <w:pPr>
              <w:jc w:val="center"/>
              <w:rPr>
                <w:sz w:val="16"/>
                <w:szCs w:val="16"/>
                <w:lang w:val="es-ES_tradnl"/>
              </w:rPr>
            </w:pPr>
            <w:r w:rsidRPr="009577DE">
              <w:rPr>
                <w:sz w:val="16"/>
                <w:szCs w:val="16"/>
                <w:lang w:val="es-ES_tradnl"/>
              </w:rPr>
              <w:t>84.669</w:t>
            </w:r>
          </w:p>
        </w:tc>
        <w:tc>
          <w:tcPr>
            <w:tcW w:w="1701" w:type="dxa"/>
            <w:tcBorders>
              <w:top w:val="nil"/>
              <w:left w:val="nil"/>
              <w:bottom w:val="single" w:sz="8" w:space="0" w:color="auto"/>
              <w:right w:val="single" w:sz="8" w:space="0" w:color="auto"/>
            </w:tcBorders>
            <w:tcMar>
              <w:top w:w="0" w:type="dxa"/>
              <w:left w:w="108" w:type="dxa"/>
              <w:bottom w:w="0" w:type="dxa"/>
              <w:right w:w="108" w:type="dxa"/>
            </w:tcMar>
            <w:vAlign w:val="center"/>
          </w:tcPr>
          <w:p w:rsidR="00B070BF" w:rsidRPr="009577DE" w:rsidRDefault="00B070BF" w:rsidP="00C33D4A">
            <w:pPr>
              <w:jc w:val="center"/>
              <w:rPr>
                <w:sz w:val="16"/>
                <w:szCs w:val="16"/>
                <w:lang w:val="es-ES_tradnl"/>
              </w:rPr>
            </w:pPr>
            <w:r w:rsidRPr="009577DE">
              <w:rPr>
                <w:sz w:val="16"/>
                <w:szCs w:val="16"/>
                <w:lang w:val="es-ES_tradnl"/>
              </w:rPr>
              <w:t>–</w:t>
            </w:r>
          </w:p>
        </w:tc>
        <w:tc>
          <w:tcPr>
            <w:tcW w:w="1984" w:type="dxa"/>
            <w:tcBorders>
              <w:top w:val="nil"/>
              <w:left w:val="nil"/>
              <w:bottom w:val="single" w:sz="8" w:space="0" w:color="auto"/>
              <w:right w:val="single" w:sz="8" w:space="0" w:color="auto"/>
            </w:tcBorders>
            <w:tcMar>
              <w:top w:w="0" w:type="dxa"/>
              <w:left w:w="108" w:type="dxa"/>
              <w:bottom w:w="0" w:type="dxa"/>
              <w:right w:w="108" w:type="dxa"/>
            </w:tcMar>
            <w:vAlign w:val="center"/>
          </w:tcPr>
          <w:p w:rsidR="00B070BF" w:rsidRPr="009577DE" w:rsidRDefault="00B070BF" w:rsidP="00C33D4A">
            <w:pPr>
              <w:jc w:val="center"/>
              <w:rPr>
                <w:sz w:val="16"/>
                <w:szCs w:val="16"/>
                <w:lang w:val="es-ES_tradnl"/>
              </w:rPr>
            </w:pPr>
            <w:r w:rsidRPr="009577DE">
              <w:rPr>
                <w:sz w:val="16"/>
                <w:szCs w:val="16"/>
                <w:lang w:val="es-ES_tradnl"/>
              </w:rPr>
              <w:t>94.84</w:t>
            </w:r>
            <w:r>
              <w:rPr>
                <w:sz w:val="16"/>
                <w:szCs w:val="16"/>
                <w:lang w:val="es-ES_tradnl"/>
              </w:rPr>
              <w:t>5,79</w:t>
            </w:r>
          </w:p>
        </w:tc>
      </w:tr>
    </w:tbl>
    <w:p w:rsidR="00B070BF" w:rsidRPr="009577DE" w:rsidRDefault="00B070BF" w:rsidP="00B070BF">
      <w:pPr>
        <w:spacing w:before="120"/>
        <w:rPr>
          <w:szCs w:val="22"/>
          <w:lang w:val="es-ES_tradnl"/>
        </w:rPr>
      </w:pPr>
      <w:r w:rsidRPr="009577DE">
        <w:rPr>
          <w:i/>
          <w:iCs/>
          <w:sz w:val="16"/>
          <w:szCs w:val="16"/>
          <w:vertAlign w:val="superscript"/>
          <w:lang w:val="es-ES_tradnl"/>
        </w:rPr>
        <w:t xml:space="preserve">1 </w:t>
      </w:r>
      <w:r w:rsidRPr="009577DE">
        <w:rPr>
          <w:i/>
          <w:iCs/>
          <w:sz w:val="16"/>
          <w:szCs w:val="16"/>
          <w:lang w:val="es-ES_tradnl"/>
        </w:rPr>
        <w:t>Estados financieros de la OMPI de 2012 (Anexo III)</w:t>
      </w:r>
    </w:p>
    <w:p w:rsidR="00B070BF" w:rsidRPr="00661972" w:rsidRDefault="00B070BF" w:rsidP="00B070BF">
      <w:pPr>
        <w:spacing w:before="120"/>
        <w:rPr>
          <w:sz w:val="20"/>
          <w:lang w:val="es-ES_tradnl"/>
        </w:rPr>
      </w:pPr>
    </w:p>
    <w:p w:rsidR="00B070BF" w:rsidRPr="00661972" w:rsidRDefault="00B070BF" w:rsidP="00B070BF">
      <w:pPr>
        <w:rPr>
          <w:sz w:val="20"/>
          <w:lang w:val="es-ES_tradnl"/>
        </w:rPr>
      </w:pPr>
    </w:p>
    <w:p w:rsidR="00B070BF" w:rsidRPr="00661972" w:rsidRDefault="00B070BF" w:rsidP="00B070BF">
      <w:pPr>
        <w:rPr>
          <w:sz w:val="20"/>
          <w:lang w:val="es-ES_tradnl"/>
        </w:rPr>
      </w:pPr>
    </w:p>
    <w:p w:rsidR="00B070BF" w:rsidRPr="009577DE" w:rsidRDefault="00B070BF" w:rsidP="00B070BF">
      <w:pPr>
        <w:ind w:left="4253"/>
        <w:jc w:val="center"/>
        <w:rPr>
          <w:lang w:val="es-ES_tradnl"/>
        </w:rPr>
      </w:pPr>
      <w:r w:rsidRPr="009577DE">
        <w:rPr>
          <w:sz w:val="20"/>
          <w:lang w:val="es-ES_tradnl"/>
        </w:rPr>
        <w:t>[Fin del Apéndice y del documento]</w:t>
      </w:r>
    </w:p>
    <w:p w:rsidR="002139D9" w:rsidRPr="00B070BF" w:rsidRDefault="002139D9" w:rsidP="000E2A4E">
      <w:pPr>
        <w:pStyle w:val="Endofdocument-Annex"/>
        <w:ind w:left="0"/>
        <w:rPr>
          <w:lang w:val="es-ES_tradnl"/>
        </w:rPr>
      </w:pPr>
    </w:p>
    <w:sectPr w:rsidR="002139D9" w:rsidRPr="00B070BF" w:rsidSect="0043556C">
      <w:headerReference w:type="default" r:id="rId102"/>
      <w:footerReference w:type="default" r:id="rId103"/>
      <w:headerReference w:type="first" r:id="rId104"/>
      <w:footerReference w:type="first" r:id="rId105"/>
      <w:endnotePr>
        <w:numFmt w:val="decimal"/>
      </w:endnotePr>
      <w:pgSz w:w="11907" w:h="16840" w:code="9"/>
      <w:pgMar w:top="567" w:right="1191" w:bottom="1134" w:left="1418" w:header="510" w:footer="85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4EB4" w:rsidRDefault="00DC4EB4">
      <w:r>
        <w:separator/>
      </w:r>
    </w:p>
  </w:endnote>
  <w:endnote w:type="continuationSeparator" w:id="0">
    <w:p w:rsidR="00DC4EB4" w:rsidRPr="009D30E6" w:rsidRDefault="00DC4EB4" w:rsidP="007E663E">
      <w:pPr>
        <w:rPr>
          <w:sz w:val="17"/>
          <w:szCs w:val="17"/>
        </w:rPr>
      </w:pPr>
      <w:r w:rsidRPr="009D30E6">
        <w:rPr>
          <w:sz w:val="17"/>
          <w:szCs w:val="17"/>
        </w:rPr>
        <w:separator/>
      </w:r>
    </w:p>
    <w:p w:rsidR="00DC4EB4" w:rsidRPr="007E663E" w:rsidRDefault="00DC4EB4" w:rsidP="007E663E">
      <w:pPr>
        <w:spacing w:after="60"/>
        <w:rPr>
          <w:sz w:val="17"/>
          <w:szCs w:val="17"/>
        </w:rPr>
      </w:pPr>
      <w:r>
        <w:rPr>
          <w:sz w:val="17"/>
        </w:rPr>
        <w:t>[Continuación de la nota de la página anterior]</w:t>
      </w:r>
    </w:p>
  </w:endnote>
  <w:endnote w:type="continuationNotice" w:id="1">
    <w:p w:rsidR="00DC4EB4" w:rsidRPr="007E663E" w:rsidRDefault="00DC4EB4" w:rsidP="007E663E">
      <w:pPr>
        <w:spacing w:before="60"/>
        <w:jc w:val="right"/>
        <w:rPr>
          <w:sz w:val="17"/>
          <w:szCs w:val="17"/>
        </w:rPr>
      </w:pPr>
      <w:r w:rsidRPr="0075377A">
        <w:rPr>
          <w:sz w:val="17"/>
          <w:szCs w:val="17"/>
        </w:rPr>
        <w:t>[Sigue la nota en la pá</w:t>
      </w:r>
      <w:r>
        <w:rPr>
          <w:sz w:val="17"/>
          <w:szCs w:val="17"/>
        </w:rPr>
        <w:t>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Bold">
    <w:panose1 w:val="020B0704020202020204"/>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 w:name="Helvetica">
    <w:panose1 w:val="020B0604020202020204"/>
    <w:charset w:val="00"/>
    <w:family w:val="swiss"/>
    <w:notTrueType/>
    <w:pitch w:val="variable"/>
    <w:sig w:usb0="00000003" w:usb1="00000000" w:usb2="00000000" w:usb3="00000000" w:csb0="00000001" w:csb1="00000000"/>
  </w:font>
  <w:font w:name="ヒラギノ角ゴ Pro W3">
    <w:altName w:val="Times New Roman"/>
    <w:charset w:val="00"/>
    <w:family w:val="roman"/>
    <w:pitch w:val="default"/>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Arial Black">
    <w:panose1 w:val="020B0A04020102020204"/>
    <w:charset w:val="00"/>
    <w:family w:val="swiss"/>
    <w:pitch w:val="variable"/>
    <w:sig w:usb0="00000287" w:usb1="000000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16961580"/>
      <w:docPartObj>
        <w:docPartGallery w:val="Page Numbers (Bottom of Page)"/>
        <w:docPartUnique/>
      </w:docPartObj>
    </w:sdtPr>
    <w:sdtEndPr/>
    <w:sdtContent>
      <w:p w:rsidR="000E2A4E" w:rsidRDefault="000E2A4E">
        <w:pPr>
          <w:pStyle w:val="Footer"/>
          <w:jc w:val="center"/>
        </w:pPr>
      </w:p>
      <w:p w:rsidR="000E2A4E" w:rsidRDefault="000E2A4E">
        <w:pPr>
          <w:pStyle w:val="Footer"/>
          <w:jc w:val="center"/>
        </w:pPr>
        <w:r>
          <w:fldChar w:fldCharType="begin"/>
        </w:r>
        <w:r>
          <w:instrText>PAGE   \* MERGEFORMAT</w:instrText>
        </w:r>
        <w:r>
          <w:fldChar w:fldCharType="separate"/>
        </w:r>
        <w:r>
          <w:rPr>
            <w:noProof/>
          </w:rPr>
          <w:t>2</w:t>
        </w:r>
        <w:r>
          <w:fldChar w:fldCharType="end"/>
        </w:r>
      </w:p>
    </w:sdtContent>
  </w:sdt>
  <w:p w:rsidR="000E2A4E" w:rsidRDefault="000E2A4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2A4E" w:rsidRDefault="000E2A4E">
    <w:pPr>
      <w:pStyle w:val="Footer"/>
      <w:jc w:val="center"/>
    </w:pPr>
  </w:p>
  <w:p w:rsidR="000E2A4E" w:rsidRDefault="000E2A4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08337764"/>
      <w:docPartObj>
        <w:docPartGallery w:val="Page Numbers (Bottom of Page)"/>
        <w:docPartUnique/>
      </w:docPartObj>
    </w:sdtPr>
    <w:sdtEndPr/>
    <w:sdtContent>
      <w:p w:rsidR="00B070BF" w:rsidRDefault="00B070BF">
        <w:pPr>
          <w:pStyle w:val="Footer"/>
          <w:jc w:val="center"/>
        </w:pPr>
      </w:p>
      <w:p w:rsidR="00B070BF" w:rsidRDefault="00B070BF">
        <w:pPr>
          <w:pStyle w:val="Footer"/>
          <w:jc w:val="center"/>
        </w:pPr>
        <w:r>
          <w:fldChar w:fldCharType="begin"/>
        </w:r>
        <w:r>
          <w:instrText>PAGE   \* MERGEFORMAT</w:instrText>
        </w:r>
        <w:r>
          <w:fldChar w:fldCharType="separate"/>
        </w:r>
        <w:r>
          <w:rPr>
            <w:noProof/>
          </w:rPr>
          <w:t>196</w:t>
        </w:r>
        <w:r>
          <w:fldChar w:fldCharType="end"/>
        </w:r>
      </w:p>
    </w:sdtContent>
  </w:sdt>
  <w:p w:rsidR="00B070BF" w:rsidRDefault="00B070BF">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70BF" w:rsidRDefault="00B070BF">
    <w:pPr>
      <w:pStyle w:val="Footer"/>
      <w:jc w:val="center"/>
    </w:pPr>
  </w:p>
  <w:p w:rsidR="00B070BF" w:rsidRDefault="009F043F">
    <w:pPr>
      <w:pStyle w:val="Footer"/>
      <w:jc w:val="center"/>
    </w:pPr>
    <w:sdt>
      <w:sdtPr>
        <w:id w:val="1563753438"/>
        <w:docPartObj>
          <w:docPartGallery w:val="Page Numbers (Bottom of Page)"/>
          <w:docPartUnique/>
        </w:docPartObj>
      </w:sdtPr>
      <w:sdtEndPr>
        <w:rPr>
          <w:noProof/>
        </w:rPr>
      </w:sdtEndPr>
      <w:sdtContent>
        <w:r w:rsidR="00B070BF">
          <w:fldChar w:fldCharType="begin"/>
        </w:r>
        <w:r w:rsidR="00B070BF">
          <w:instrText xml:space="preserve"> PAGE   \* MERGEFORMAT </w:instrText>
        </w:r>
        <w:r w:rsidR="00B070BF">
          <w:fldChar w:fldCharType="separate"/>
        </w:r>
        <w:r>
          <w:rPr>
            <w:noProof/>
          </w:rPr>
          <w:t>164</w:t>
        </w:r>
        <w:r w:rsidR="00B070BF">
          <w:rPr>
            <w:noProof/>
          </w:rPr>
          <w:fldChar w:fldCharType="end"/>
        </w:r>
      </w:sdtContent>
    </w:sdt>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70BF" w:rsidRDefault="00B070BF">
    <w:pPr>
      <w:pStyle w:val="Footer"/>
      <w:jc w:val="center"/>
    </w:pPr>
  </w:p>
  <w:p w:rsidR="00B070BF" w:rsidRDefault="00B070BF">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70BF" w:rsidRDefault="00B070BF">
    <w:pPr>
      <w:pStyle w:val="Footer"/>
      <w:jc w:val="center"/>
    </w:pPr>
  </w:p>
  <w:p w:rsidR="00B070BF" w:rsidRDefault="009F043F">
    <w:pPr>
      <w:pStyle w:val="Footer"/>
      <w:jc w:val="center"/>
    </w:pPr>
    <w:sdt>
      <w:sdtPr>
        <w:id w:val="620341692"/>
        <w:docPartObj>
          <w:docPartGallery w:val="Page Numbers (Bottom of Page)"/>
          <w:docPartUnique/>
        </w:docPartObj>
      </w:sdtPr>
      <w:sdtEndPr>
        <w:rPr>
          <w:noProof/>
        </w:rPr>
      </w:sdtEndPr>
      <w:sdtContent>
        <w:r w:rsidR="00B070BF">
          <w:fldChar w:fldCharType="begin"/>
        </w:r>
        <w:r w:rsidR="00B070BF">
          <w:instrText xml:space="preserve"> PAGE   \* MERGEFORMAT </w:instrText>
        </w:r>
        <w:r w:rsidR="00B070BF">
          <w:fldChar w:fldCharType="separate"/>
        </w:r>
        <w:r>
          <w:rPr>
            <w:noProof/>
          </w:rPr>
          <w:t>1</w:t>
        </w:r>
        <w:r w:rsidR="00B070BF">
          <w:rPr>
            <w:noProof/>
          </w:rPr>
          <w:fldChar w:fldCharType="end"/>
        </w:r>
      </w:sdtContent>
    </w:sdt>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75353361"/>
      <w:docPartObj>
        <w:docPartGallery w:val="Page Numbers (Bottom of Page)"/>
        <w:docPartUnique/>
      </w:docPartObj>
    </w:sdtPr>
    <w:sdtEndPr>
      <w:rPr>
        <w:noProof/>
        <w:sz w:val="20"/>
      </w:rPr>
    </w:sdtEndPr>
    <w:sdtContent>
      <w:p w:rsidR="001B5284" w:rsidRPr="006227BA" w:rsidRDefault="00B070BF">
        <w:pPr>
          <w:pStyle w:val="Footer"/>
          <w:jc w:val="center"/>
          <w:rPr>
            <w:sz w:val="20"/>
          </w:rPr>
        </w:pPr>
        <w:r w:rsidRPr="006227BA">
          <w:rPr>
            <w:sz w:val="20"/>
          </w:rPr>
          <w:fldChar w:fldCharType="begin"/>
        </w:r>
        <w:r w:rsidRPr="006227BA">
          <w:rPr>
            <w:sz w:val="20"/>
          </w:rPr>
          <w:instrText xml:space="preserve"> PAGE   \* MERGEFORMAT </w:instrText>
        </w:r>
        <w:r w:rsidRPr="006227BA">
          <w:rPr>
            <w:sz w:val="20"/>
          </w:rPr>
          <w:fldChar w:fldCharType="separate"/>
        </w:r>
        <w:r w:rsidR="009F043F">
          <w:rPr>
            <w:noProof/>
            <w:sz w:val="20"/>
          </w:rPr>
          <w:t>170</w:t>
        </w:r>
        <w:r w:rsidRPr="006227BA">
          <w:rPr>
            <w:noProof/>
            <w:sz w:val="20"/>
          </w:rPr>
          <w:fldChar w:fldCharType="end"/>
        </w:r>
      </w:p>
    </w:sdtContent>
  </w:sdt>
  <w:p w:rsidR="001B5284" w:rsidRDefault="009F043F">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5284" w:rsidRPr="008847DB" w:rsidRDefault="00B070BF" w:rsidP="001023F9">
    <w:pPr>
      <w:pStyle w:val="Footer"/>
      <w:jc w:val="center"/>
      <w:rPr>
        <w:sz w:val="20"/>
      </w:rPr>
    </w:pPr>
    <w:r>
      <w:rPr>
        <w:rStyle w:val="PageNumber"/>
      </w:rPr>
      <w:fldChar w:fldCharType="begin"/>
    </w:r>
    <w:r>
      <w:rPr>
        <w:rStyle w:val="PageNumber"/>
      </w:rPr>
      <w:instrText xml:space="preserve"> PAGE </w:instrText>
    </w:r>
    <w:r>
      <w:rPr>
        <w:rStyle w:val="PageNumber"/>
      </w:rPr>
      <w:fldChar w:fldCharType="separate"/>
    </w:r>
    <w:r w:rsidR="009F043F">
      <w:rPr>
        <w:rStyle w:val="PageNumber"/>
        <w:noProof/>
      </w:rPr>
      <w:t>169</w:t>
    </w:r>
    <w:r>
      <w:rPr>
        <w:rStyle w:val="PageNumber"/>
      </w:rPr>
      <w:fldChar w:fldCharType="end"/>
    </w:r>
  </w:p>
  <w:p w:rsidR="001B5284" w:rsidRPr="00663289" w:rsidRDefault="009F043F" w:rsidP="001023F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4EB4" w:rsidRDefault="00DC4EB4">
      <w:r>
        <w:separator/>
      </w:r>
    </w:p>
  </w:footnote>
  <w:footnote w:type="continuationSeparator" w:id="0">
    <w:p w:rsidR="00DC4EB4" w:rsidRPr="009D30E6" w:rsidRDefault="00DC4EB4" w:rsidP="007E663E">
      <w:pPr>
        <w:rPr>
          <w:sz w:val="17"/>
          <w:szCs w:val="17"/>
        </w:rPr>
      </w:pPr>
      <w:r w:rsidRPr="009D30E6">
        <w:rPr>
          <w:sz w:val="17"/>
          <w:szCs w:val="17"/>
        </w:rPr>
        <w:separator/>
      </w:r>
    </w:p>
    <w:p w:rsidR="00DC4EB4" w:rsidRPr="007E663E" w:rsidRDefault="00DC4EB4" w:rsidP="007E663E">
      <w:pPr>
        <w:spacing w:after="60"/>
        <w:rPr>
          <w:sz w:val="17"/>
          <w:szCs w:val="17"/>
        </w:rPr>
      </w:pPr>
      <w:r>
        <w:rPr>
          <w:sz w:val="17"/>
        </w:rPr>
        <w:t>[Continuación de la nota de la página anterior]</w:t>
      </w:r>
    </w:p>
  </w:footnote>
  <w:footnote w:type="continuationNotice" w:id="1">
    <w:p w:rsidR="00DC4EB4" w:rsidRPr="007E663E" w:rsidRDefault="00DC4EB4" w:rsidP="007E663E">
      <w:pPr>
        <w:spacing w:before="60"/>
        <w:jc w:val="right"/>
        <w:rPr>
          <w:sz w:val="17"/>
          <w:szCs w:val="17"/>
        </w:rPr>
      </w:pPr>
      <w:r w:rsidRPr="007E663E">
        <w:rPr>
          <w:sz w:val="17"/>
          <w:szCs w:val="17"/>
        </w:rPr>
        <w:t>[Sigue la nota en la página siguiente]</w:t>
      </w:r>
    </w:p>
  </w:footnote>
  <w:footnote w:id="2">
    <w:p w:rsidR="00B070BF" w:rsidRPr="00927FB8" w:rsidRDefault="00B070BF" w:rsidP="00B070BF">
      <w:pPr>
        <w:pStyle w:val="FootnoteText"/>
        <w:rPr>
          <w:lang w:val="es-ES_tradnl"/>
        </w:rPr>
      </w:pPr>
      <w:r w:rsidRPr="00927FB8">
        <w:rPr>
          <w:rStyle w:val="FootnoteReference"/>
        </w:rPr>
        <w:footnoteRef/>
      </w:r>
      <w:r w:rsidRPr="00927FB8">
        <w:t xml:space="preserve"> </w:t>
      </w:r>
      <w:r w:rsidRPr="00927FB8">
        <w:rPr>
          <w:lang w:val="es-ES_tradnl"/>
        </w:rPr>
        <w:tab/>
        <w:t>Examen del proceso presupuestario aplicado a los proyectos propuestos por el Comité sobre Desarrollo y propiedad Intelectual (CDIP) para dar aplicación a las recomendaciones de la Agenda para el Desarrollo (A/48/5 Rev.)</w:t>
      </w:r>
    </w:p>
  </w:footnote>
  <w:footnote w:id="3">
    <w:p w:rsidR="00B070BF" w:rsidRPr="00927FB8" w:rsidRDefault="00B070BF" w:rsidP="00B070BF">
      <w:pPr>
        <w:pStyle w:val="FootnoteText"/>
      </w:pPr>
      <w:r w:rsidRPr="00927FB8">
        <w:rPr>
          <w:rStyle w:val="FootnoteReference"/>
        </w:rPr>
        <w:footnoteRef/>
      </w:r>
      <w:r w:rsidRPr="00927FB8">
        <w:t xml:space="preserve"> </w:t>
      </w:r>
      <w:r w:rsidRPr="00927FB8">
        <w:tab/>
        <w:t>Sujeto a auditoría.</w:t>
      </w:r>
    </w:p>
  </w:footnote>
  <w:footnote w:id="4">
    <w:p w:rsidR="00B070BF" w:rsidRPr="00927FB8" w:rsidRDefault="00B070BF" w:rsidP="00B070BF">
      <w:pPr>
        <w:pStyle w:val="FootnoteText"/>
        <w:tabs>
          <w:tab w:val="left" w:pos="567"/>
        </w:tabs>
      </w:pPr>
      <w:r w:rsidRPr="00927FB8">
        <w:rPr>
          <w:rStyle w:val="FootnoteReference"/>
        </w:rPr>
        <w:footnoteRef/>
      </w:r>
      <w:r w:rsidRPr="00927FB8">
        <w:t xml:space="preserve"> </w:t>
      </w:r>
      <w:r w:rsidRPr="00927FB8">
        <w:tab/>
      </w:r>
      <w:r w:rsidRPr="00927FB8">
        <w:rPr>
          <w:sz w:val="16"/>
          <w:szCs w:val="16"/>
        </w:rPr>
        <w:t xml:space="preserve">SCCR 24:  </w:t>
      </w:r>
      <w:hyperlink r:id="rId1" w:history="1">
        <w:r w:rsidRPr="00927FB8">
          <w:rPr>
            <w:rStyle w:val="Hyperlink"/>
            <w:sz w:val="16"/>
            <w:szCs w:val="16"/>
            <w:lang w:bidi="th-TH"/>
          </w:rPr>
          <w:t>http://www.wipo.int/meetings/es/details.jsp?meeting_id=25014</w:t>
        </w:r>
      </w:hyperlink>
      <w:r w:rsidRPr="00927FB8">
        <w:rPr>
          <w:sz w:val="16"/>
          <w:szCs w:val="16"/>
          <w:lang w:bidi="th-TH"/>
        </w:rPr>
        <w:t xml:space="preserve"> y SCCR 25:  </w:t>
      </w:r>
      <w:hyperlink r:id="rId2" w:history="1">
        <w:r w:rsidRPr="00927FB8">
          <w:rPr>
            <w:rStyle w:val="Hyperlink"/>
            <w:sz w:val="16"/>
            <w:szCs w:val="16"/>
            <w:lang w:bidi="th-TH"/>
          </w:rPr>
          <w:t>http://www.wipo.int/meetings/es/details.jsp?meeting_id=25024</w:t>
        </w:r>
      </w:hyperlink>
      <w:r w:rsidRPr="00927FB8">
        <w:rPr>
          <w:sz w:val="16"/>
          <w:szCs w:val="16"/>
          <w:lang w:bidi="th-TH"/>
        </w:rPr>
        <w:t>.</w:t>
      </w:r>
    </w:p>
  </w:footnote>
  <w:footnote w:id="5">
    <w:p w:rsidR="00B070BF" w:rsidRPr="00927FB8" w:rsidRDefault="00B070BF" w:rsidP="00B070BF">
      <w:pPr>
        <w:pStyle w:val="Footer"/>
        <w:tabs>
          <w:tab w:val="left" w:pos="567"/>
        </w:tabs>
        <w:rPr>
          <w:sz w:val="16"/>
          <w:szCs w:val="16"/>
          <w:lang w:bidi="th-TH"/>
        </w:rPr>
      </w:pPr>
      <w:r w:rsidRPr="00927FB8">
        <w:rPr>
          <w:rStyle w:val="FootnoteReference"/>
          <w:sz w:val="16"/>
          <w:szCs w:val="16"/>
        </w:rPr>
        <w:footnoteRef/>
      </w:r>
      <w:r w:rsidRPr="00927FB8">
        <w:rPr>
          <w:sz w:val="16"/>
          <w:szCs w:val="16"/>
        </w:rPr>
        <w:t xml:space="preserve"> </w:t>
      </w:r>
      <w:r w:rsidRPr="00927FB8">
        <w:rPr>
          <w:sz w:val="16"/>
          <w:szCs w:val="16"/>
        </w:rPr>
        <w:tab/>
        <w:t>Cabe mencionar que los datos relativos a las entradas en la fase nacional son suministrados a la OMPI por las oficinas de nacionales y regionales de patentes varios meses después del fin de año.  Por consiguiente, a finales de </w:t>
      </w:r>
      <w:r w:rsidRPr="00927FB8">
        <w:rPr>
          <w:sz w:val="16"/>
          <w:szCs w:val="16"/>
          <w:lang w:bidi="th-TH"/>
        </w:rPr>
        <w:t>2011 y principios de 2012 los últimos datos disponibles relativos a las entradas en la fase nacional se referían a 2010.</w:t>
      </w:r>
    </w:p>
  </w:footnote>
  <w:footnote w:id="6">
    <w:p w:rsidR="00B070BF" w:rsidRPr="00927FB8" w:rsidRDefault="00B070BF" w:rsidP="00B070BF">
      <w:pPr>
        <w:tabs>
          <w:tab w:val="left" w:pos="567"/>
        </w:tabs>
        <w:spacing w:after="120"/>
        <w:rPr>
          <w:sz w:val="16"/>
          <w:szCs w:val="16"/>
          <w:lang w:val="es-ES_tradnl"/>
        </w:rPr>
      </w:pPr>
      <w:r w:rsidRPr="00927FB8">
        <w:rPr>
          <w:rStyle w:val="FootnoteReference"/>
          <w:sz w:val="16"/>
          <w:szCs w:val="16"/>
        </w:rPr>
        <w:footnoteRef/>
      </w:r>
      <w:r w:rsidRPr="00927FB8">
        <w:rPr>
          <w:sz w:val="16"/>
          <w:szCs w:val="16"/>
          <w:lang w:val="es-ES_tradnl"/>
        </w:rPr>
        <w:t xml:space="preserve"> </w:t>
      </w:r>
      <w:r w:rsidRPr="00927FB8">
        <w:rPr>
          <w:sz w:val="16"/>
          <w:szCs w:val="16"/>
          <w:lang w:val="es-ES_tradnl"/>
        </w:rPr>
        <w:tab/>
        <w:t>Un ejemplar original es una solicitud PCT que una Oficina receptora envía a la Oficina Internacional una vez que ha sido presentada y tramitada en dicha Oficina receptora.  Como los ejemplares originales de solicitudes únicamente se reciben en la Oficina Internacional después de haber sido tramitados en las Oficinas receptoras, las cifras se ven en gran medida afectadas por los plazos de tramitación de tales Oficinas.  Por ese motivo, aunque es un indicador válido del volumen de trabajo de la Oficina Internacional, la evolución en lo que respecta a la recepción de ejemplares originales no constituye siempre un indicador fiable de la demanda de servicios del PCT.</w:t>
      </w:r>
    </w:p>
  </w:footnote>
  <w:footnote w:id="7">
    <w:p w:rsidR="00B070BF" w:rsidRPr="00927FB8" w:rsidRDefault="00B070BF" w:rsidP="00B070BF">
      <w:pPr>
        <w:pStyle w:val="FootnoteText"/>
        <w:rPr>
          <w:szCs w:val="18"/>
          <w:lang w:val="es-ES_tradnl"/>
        </w:rPr>
      </w:pPr>
      <w:r w:rsidRPr="00927FB8">
        <w:rPr>
          <w:rStyle w:val="FootnoteReference"/>
          <w:szCs w:val="18"/>
        </w:rPr>
        <w:footnoteRef/>
      </w:r>
      <w:r w:rsidRPr="00927FB8">
        <w:rPr>
          <w:szCs w:val="18"/>
          <w:lang w:val="es-ES_tradnl"/>
        </w:rPr>
        <w:t xml:space="preserve">  </w:t>
      </w:r>
      <w:r>
        <w:rPr>
          <w:szCs w:val="18"/>
          <w:lang w:val="es-ES_tradnl"/>
        </w:rPr>
        <w:tab/>
      </w:r>
      <w:r w:rsidRPr="00927FB8">
        <w:rPr>
          <w:szCs w:val="18"/>
          <w:lang w:val="es-ES_tradnl"/>
        </w:rPr>
        <w:t xml:space="preserve">Se puede consultar la descripción completa de esta metodología en la siguiente dirección:  </w:t>
      </w:r>
      <w:hyperlink r:id="rId3" w:history="1">
        <w:r w:rsidRPr="00927FB8">
          <w:rPr>
            <w:rStyle w:val="Hyperlink"/>
            <w:szCs w:val="18"/>
            <w:lang w:val="es-ES_tradnl"/>
          </w:rPr>
          <w:t>www.wipo.int/edocs/mdocs/govbody/es/a_42/a_42_10-annex3.pdf</w:t>
        </w:r>
      </w:hyperlink>
      <w:r w:rsidRPr="00927FB8">
        <w:rPr>
          <w:szCs w:val="18"/>
          <w:lang w:val="es-ES_tradnl"/>
        </w:rPr>
        <w:t>.</w:t>
      </w:r>
    </w:p>
  </w:footnote>
  <w:footnote w:id="8">
    <w:p w:rsidR="00B070BF" w:rsidRPr="00927FB8" w:rsidRDefault="00B070BF" w:rsidP="00B070BF">
      <w:pPr>
        <w:pStyle w:val="FootnoteText"/>
        <w:rPr>
          <w:szCs w:val="18"/>
          <w:lang w:val="es-ES_tradnl"/>
        </w:rPr>
      </w:pPr>
      <w:r w:rsidRPr="00927FB8">
        <w:rPr>
          <w:rStyle w:val="FootnoteReference"/>
          <w:szCs w:val="18"/>
        </w:rPr>
        <w:footnoteRef/>
      </w:r>
      <w:r w:rsidRPr="00927FB8">
        <w:rPr>
          <w:szCs w:val="18"/>
          <w:lang w:val="es-ES_tradnl"/>
        </w:rPr>
        <w:t xml:space="preserve"> </w:t>
      </w:r>
      <w:r>
        <w:rPr>
          <w:szCs w:val="18"/>
          <w:lang w:val="es-ES_tradnl"/>
        </w:rPr>
        <w:tab/>
      </w:r>
      <w:r w:rsidRPr="00927FB8">
        <w:rPr>
          <w:szCs w:val="18"/>
          <w:lang w:val="es-ES_tradnl"/>
        </w:rPr>
        <w:t xml:space="preserve">El costo unitario que figura en el gráfico se calculó sobre la base de la metodología del costo unitario vigente hasta finales del 2012.  Desde 2013, se aplica una versión revisada de dicha metodología con el fin de garantizar su coherencia con la metodología aplicada para el cálculo de los costos por Unión.  Según la metodología revisada, el costo unitario total previsto era de 712 francos suizos en 2012, de los cuales 464 francos suizos correspondían a costos directos y 248 francos suizos a los costos indirectos. </w:t>
      </w:r>
    </w:p>
  </w:footnote>
  <w:footnote w:id="9">
    <w:p w:rsidR="00B070BF" w:rsidRDefault="00B070BF" w:rsidP="00B070BF">
      <w:pPr>
        <w:pStyle w:val="FootnoteText"/>
      </w:pPr>
      <w:r>
        <w:rPr>
          <w:rStyle w:val="FootnoteReference"/>
        </w:rPr>
        <w:footnoteRef/>
      </w:r>
      <w:r>
        <w:t xml:space="preserve"> </w:t>
      </w:r>
      <w:r>
        <w:tab/>
      </w:r>
      <w:hyperlink r:id="rId4" w:tooltip="http://www.wipo.int/meetings/en/doc_details.jsp?doc_id=208882" w:history="1">
        <w:r w:rsidRPr="00B56FE4">
          <w:rPr>
            <w:rStyle w:val="Hyperlink"/>
            <w:sz w:val="16"/>
            <w:szCs w:val="16"/>
          </w:rPr>
          <w:t>http://www.wipo.int/meetings/en/doc_details.jsp?doc_id=208882</w:t>
        </w:r>
      </w:hyperlink>
    </w:p>
  </w:footnote>
  <w:footnote w:id="10">
    <w:p w:rsidR="00B070BF" w:rsidRPr="00927FB8" w:rsidRDefault="00B070BF" w:rsidP="00B070BF">
      <w:pPr>
        <w:pStyle w:val="FootnoteText"/>
        <w:rPr>
          <w:szCs w:val="18"/>
        </w:rPr>
      </w:pPr>
      <w:r w:rsidRPr="00927FB8">
        <w:rPr>
          <w:rStyle w:val="FootnoteReference"/>
          <w:szCs w:val="18"/>
        </w:rPr>
        <w:footnoteRef/>
      </w:r>
      <w:r w:rsidRPr="00927FB8">
        <w:rPr>
          <w:szCs w:val="18"/>
        </w:rPr>
        <w:t xml:space="preserve"> </w:t>
      </w:r>
      <w:r>
        <w:rPr>
          <w:szCs w:val="18"/>
        </w:rPr>
        <w:tab/>
      </w:r>
      <w:hyperlink r:id="rId5" w:history="1">
        <w:r w:rsidRPr="00927FB8">
          <w:rPr>
            <w:rStyle w:val="Hyperlink"/>
            <w:szCs w:val="18"/>
          </w:rPr>
          <w:t>http://etisc.wipo.org</w:t>
        </w:r>
      </w:hyperlink>
    </w:p>
  </w:footnote>
  <w:footnote w:id="11">
    <w:p w:rsidR="00B070BF" w:rsidRPr="0003752E" w:rsidRDefault="00B070BF" w:rsidP="00B070BF">
      <w:pPr>
        <w:pStyle w:val="FootnoteText"/>
        <w:rPr>
          <w:szCs w:val="18"/>
        </w:rPr>
      </w:pPr>
      <w:r w:rsidRPr="0003752E">
        <w:rPr>
          <w:rStyle w:val="FootnoteReference"/>
          <w:szCs w:val="18"/>
        </w:rPr>
        <w:footnoteRef/>
      </w:r>
      <w:r w:rsidRPr="0003752E">
        <w:rPr>
          <w:szCs w:val="18"/>
        </w:rPr>
        <w:t xml:space="preserve"> </w:t>
      </w:r>
      <w:r w:rsidRPr="0003752E">
        <w:rPr>
          <w:szCs w:val="18"/>
        </w:rPr>
        <w:tab/>
      </w:r>
      <w:hyperlink r:id="rId6" w:history="1">
        <w:r w:rsidRPr="0003752E">
          <w:rPr>
            <w:rStyle w:val="Hyperlink"/>
            <w:szCs w:val="18"/>
          </w:rPr>
          <w:t>http://wipo.int/tisc/etutorial</w:t>
        </w:r>
      </w:hyperlink>
    </w:p>
  </w:footnote>
  <w:footnote w:id="12">
    <w:p w:rsidR="00B070BF" w:rsidRPr="00927FB8" w:rsidRDefault="00B070BF" w:rsidP="00B070BF">
      <w:pPr>
        <w:pStyle w:val="FootnoteText"/>
        <w:rPr>
          <w:szCs w:val="18"/>
        </w:rPr>
      </w:pPr>
      <w:r w:rsidRPr="0003752E">
        <w:rPr>
          <w:rStyle w:val="FootnoteReference"/>
          <w:szCs w:val="18"/>
        </w:rPr>
        <w:footnoteRef/>
      </w:r>
      <w:r w:rsidRPr="0003752E">
        <w:rPr>
          <w:szCs w:val="18"/>
        </w:rPr>
        <w:t xml:space="preserve"> </w:t>
      </w:r>
      <w:r w:rsidRPr="0003752E">
        <w:rPr>
          <w:szCs w:val="18"/>
        </w:rPr>
        <w:tab/>
      </w:r>
      <w:hyperlink r:id="rId7" w:history="1">
        <w:r w:rsidRPr="0003752E">
          <w:rPr>
            <w:rStyle w:val="Hyperlink"/>
            <w:szCs w:val="18"/>
          </w:rPr>
          <w:t>http://www.wipo.int/export/sites/www/tisc/en/doc/TISC_2012_Survey_Summary_Report.pdf</w:t>
        </w:r>
      </w:hyperlink>
    </w:p>
  </w:footnote>
  <w:footnote w:id="13">
    <w:p w:rsidR="00B070BF" w:rsidRPr="00927FB8" w:rsidRDefault="00B070BF" w:rsidP="00B070BF">
      <w:pPr>
        <w:pStyle w:val="FootnoteText"/>
        <w:rPr>
          <w:szCs w:val="18"/>
        </w:rPr>
      </w:pPr>
      <w:r w:rsidRPr="00927FB8">
        <w:rPr>
          <w:rStyle w:val="FootnoteReference"/>
          <w:szCs w:val="18"/>
        </w:rPr>
        <w:footnoteRef/>
      </w:r>
      <w:r>
        <w:rPr>
          <w:szCs w:val="18"/>
        </w:rPr>
        <w:tab/>
      </w:r>
      <w:r w:rsidRPr="00927FB8">
        <w:rPr>
          <w:szCs w:val="18"/>
        </w:rPr>
        <w:t xml:space="preserve"> </w:t>
      </w:r>
      <w:r w:rsidRPr="00927FB8">
        <w:rPr>
          <w:szCs w:val="18"/>
          <w:u w:val="single"/>
          <w:lang w:val="es-ES_tradnl"/>
        </w:rPr>
        <w:t>/www.wipo.int/patentscope/en/programs/patent_landscapes/index.html</w:t>
      </w:r>
      <w:r w:rsidRPr="00927FB8">
        <w:rPr>
          <w:szCs w:val="18"/>
        </w:rPr>
        <w:t xml:space="preserve">   </w:t>
      </w:r>
    </w:p>
  </w:footnote>
  <w:footnote w:id="14">
    <w:p w:rsidR="00B070BF" w:rsidRPr="00927FB8" w:rsidRDefault="00B070BF" w:rsidP="00B070BF">
      <w:pPr>
        <w:pStyle w:val="FootnoteText"/>
        <w:rPr>
          <w:sz w:val="16"/>
          <w:szCs w:val="16"/>
        </w:rPr>
      </w:pPr>
      <w:r w:rsidRPr="00CB3668">
        <w:rPr>
          <w:rStyle w:val="FootnoteReference"/>
          <w:sz w:val="16"/>
          <w:szCs w:val="16"/>
        </w:rPr>
        <w:footnoteRef/>
      </w:r>
      <w:r w:rsidRPr="00CB3668">
        <w:rPr>
          <w:sz w:val="16"/>
          <w:szCs w:val="16"/>
        </w:rPr>
        <w:t xml:space="preserve"> </w:t>
      </w:r>
      <w:r w:rsidRPr="00CB3668">
        <w:rPr>
          <w:sz w:val="16"/>
          <w:szCs w:val="16"/>
        </w:rPr>
        <w:tab/>
        <w:t>http://www.wipo.int/export/sites/www/freepublications/en/global_challenges/628/wipo_pub_628.pdf</w:t>
      </w:r>
    </w:p>
  </w:footnote>
  <w:footnote w:id="15">
    <w:p w:rsidR="00B070BF" w:rsidRDefault="00B070BF" w:rsidP="00B070BF">
      <w:pPr>
        <w:pStyle w:val="FootnoteText"/>
        <w:rPr>
          <w:sz w:val="16"/>
          <w:szCs w:val="16"/>
          <w:lang w:val="es-ES_tradnl"/>
        </w:rPr>
      </w:pPr>
      <w:r>
        <w:rPr>
          <w:rStyle w:val="FootnoteReference"/>
        </w:rPr>
        <w:footnoteRef/>
      </w:r>
      <w:r w:rsidRPr="00444E72">
        <w:rPr>
          <w:lang w:val="es-ES_tradnl"/>
        </w:rPr>
        <w:t xml:space="preserve"> </w:t>
      </w:r>
      <w:r>
        <w:rPr>
          <w:lang w:val="es-ES_tradnl"/>
        </w:rPr>
        <w:tab/>
      </w:r>
      <w:r w:rsidRPr="00B667C6">
        <w:rPr>
          <w:sz w:val="16"/>
          <w:szCs w:val="16"/>
          <w:lang w:val="es-ES_tradnl"/>
        </w:rPr>
        <w:t>En promedio, en las respuestas a la encuesta sobre las prioridades centrales se constata que el personal de la OMPI tiene una opinión excelente o buena de la prestación óptima de servicios interna (51,4%) y externa (61,5%) con arreglo al marco de resultados del programa de alineación estratégica de 2012.</w:t>
      </w:r>
    </w:p>
    <w:p w:rsidR="00B070BF" w:rsidRPr="00B667C6" w:rsidRDefault="00B070BF" w:rsidP="00B070BF">
      <w:pPr>
        <w:pStyle w:val="FootnoteText"/>
        <w:rPr>
          <w:sz w:val="16"/>
          <w:szCs w:val="16"/>
          <w:lang w:val="es-ES_tradnl"/>
        </w:rPr>
      </w:pPr>
      <w:r w:rsidRPr="00B667C6">
        <w:rPr>
          <w:sz w:val="16"/>
          <w:szCs w:val="16"/>
          <w:lang w:val="es-ES_tradnl"/>
        </w:rPr>
        <w:t>(</w:t>
      </w:r>
      <w:hyperlink r:id="rId8" w:tooltip="http://www.wipo.int/about-wipo/en/strategic_realignment/results_framework.html" w:history="1">
        <w:r w:rsidRPr="00B667C6">
          <w:rPr>
            <w:rStyle w:val="Hyperlink"/>
            <w:sz w:val="16"/>
            <w:szCs w:val="16"/>
            <w:lang w:val="es-ES_tradnl"/>
          </w:rPr>
          <w:t>http://www.wipo.int/about-wipo/en/strategic_realignment/results_framework.html</w:t>
        </w:r>
      </w:hyperlink>
      <w:r w:rsidRPr="00B667C6">
        <w:rPr>
          <w:sz w:val="16"/>
          <w:szCs w:val="16"/>
          <w:lang w:val="es-ES_tradnl"/>
        </w:rPr>
        <w:t>).</w:t>
      </w:r>
    </w:p>
  </w:footnote>
  <w:footnote w:id="16">
    <w:p w:rsidR="00B070BF" w:rsidRDefault="00B070BF" w:rsidP="00B070BF">
      <w:pPr>
        <w:pStyle w:val="FootnoteText"/>
        <w:tabs>
          <w:tab w:val="left" w:pos="567"/>
        </w:tabs>
        <w:rPr>
          <w:sz w:val="16"/>
          <w:szCs w:val="16"/>
          <w:lang w:val="es-ES_tradnl"/>
        </w:rPr>
      </w:pPr>
      <w:r w:rsidRPr="00B667C6">
        <w:rPr>
          <w:rStyle w:val="FootnoteReference"/>
        </w:rPr>
        <w:footnoteRef/>
      </w:r>
      <w:r w:rsidRPr="00B667C6">
        <w:rPr>
          <w:lang w:val="es-ES_tradnl"/>
        </w:rPr>
        <w:t xml:space="preserve"> </w:t>
      </w:r>
      <w:r>
        <w:rPr>
          <w:lang w:val="es-ES_tradnl"/>
        </w:rPr>
        <w:tab/>
      </w:r>
      <w:r w:rsidRPr="00B667C6">
        <w:rPr>
          <w:sz w:val="16"/>
          <w:szCs w:val="16"/>
          <w:lang w:val="es-ES_tradnl"/>
        </w:rPr>
        <w:t xml:space="preserve">En promedio, en las respuestas a la encuesta sobre las prioridades centrales relacionadas con la ética (70,3%) y el medio ambiente (69,8%) con arreglo al marco de resultados del programa de alineación estratégica de 2012. </w:t>
      </w:r>
    </w:p>
    <w:p w:rsidR="00B070BF" w:rsidRPr="00B667C6" w:rsidRDefault="00B070BF" w:rsidP="00B070BF">
      <w:pPr>
        <w:pStyle w:val="FootnoteText"/>
        <w:rPr>
          <w:lang w:val="es-ES_tradnl"/>
        </w:rPr>
      </w:pPr>
      <w:r w:rsidRPr="00B667C6">
        <w:rPr>
          <w:sz w:val="16"/>
          <w:szCs w:val="16"/>
          <w:lang w:val="es-ES_tradnl"/>
        </w:rPr>
        <w:t>(</w:t>
      </w:r>
      <w:hyperlink r:id="rId9" w:tooltip="http://www.wipo.int/about-wipo/en/strategic_realignment/results_framework.html" w:history="1">
        <w:r w:rsidRPr="00B667C6">
          <w:rPr>
            <w:rStyle w:val="Hyperlink"/>
            <w:sz w:val="16"/>
            <w:szCs w:val="16"/>
            <w:lang w:val="es-ES_tradnl"/>
          </w:rPr>
          <w:t>http://www.wipo.int/about-wipo/en/strategic_realignment/results_framework.html</w:t>
        </w:r>
      </w:hyperlink>
      <w:r w:rsidRPr="00B667C6">
        <w:rPr>
          <w:sz w:val="16"/>
          <w:szCs w:val="16"/>
          <w:lang w:val="es-ES_tradnl"/>
        </w:rPr>
        <w:t>)</w:t>
      </w:r>
    </w:p>
  </w:footnote>
  <w:footnote w:id="17">
    <w:p w:rsidR="00B070BF" w:rsidRPr="00927FB8" w:rsidRDefault="00B070BF" w:rsidP="00B070BF">
      <w:pPr>
        <w:pStyle w:val="FootnoteText"/>
        <w:rPr>
          <w:lang w:val="es-ES_tradnl"/>
        </w:rPr>
      </w:pPr>
      <w:r w:rsidRPr="00927FB8">
        <w:rPr>
          <w:rStyle w:val="FootnoteReference"/>
        </w:rPr>
        <w:footnoteRef/>
      </w:r>
      <w:r w:rsidRPr="00927FB8">
        <w:rPr>
          <w:lang w:val="es-ES_tradnl"/>
        </w:rPr>
        <w:t xml:space="preserve"> </w:t>
      </w:r>
      <w:r>
        <w:rPr>
          <w:lang w:val="es-ES_tradnl"/>
        </w:rPr>
        <w:tab/>
      </w:r>
      <w:r w:rsidRPr="00927FB8">
        <w:rPr>
          <w:sz w:val="16"/>
          <w:szCs w:val="16"/>
          <w:lang w:val="es-ES_tradnl"/>
        </w:rPr>
        <w:t>WO/PBC/19/10 de 31 de julio de 2012.</w:t>
      </w:r>
    </w:p>
  </w:footnote>
  <w:footnote w:id="18">
    <w:p w:rsidR="00B070BF" w:rsidRPr="00927FB8" w:rsidRDefault="00B070BF" w:rsidP="00B070BF">
      <w:pPr>
        <w:pStyle w:val="FootnoteText"/>
        <w:tabs>
          <w:tab w:val="left" w:pos="567"/>
        </w:tabs>
        <w:rPr>
          <w:lang w:val="es-ES_tradnl"/>
        </w:rPr>
      </w:pPr>
      <w:r w:rsidRPr="00927FB8">
        <w:rPr>
          <w:rStyle w:val="FootnoteReference"/>
          <w:sz w:val="16"/>
          <w:szCs w:val="16"/>
        </w:rPr>
        <w:footnoteRef/>
      </w:r>
      <w:r w:rsidRPr="00927FB8">
        <w:rPr>
          <w:sz w:val="16"/>
          <w:szCs w:val="16"/>
          <w:lang w:val="es-ES_tradnl"/>
        </w:rPr>
        <w:t xml:space="preserve"> </w:t>
      </w:r>
      <w:r w:rsidRPr="00927FB8">
        <w:rPr>
          <w:sz w:val="16"/>
          <w:szCs w:val="16"/>
          <w:lang w:val="es-ES_tradnl"/>
        </w:rPr>
        <w:tab/>
        <w:t xml:space="preserve">El Memorando de creación del Programa Iberoamericano de propiedad industrial en el marco de los Fondos fiduciarios </w:t>
      </w:r>
      <w:r>
        <w:rPr>
          <w:sz w:val="16"/>
          <w:szCs w:val="16"/>
          <w:lang w:val="es-ES_tradnl"/>
        </w:rPr>
        <w:t>fue</w:t>
      </w:r>
      <w:r w:rsidRPr="00927FB8">
        <w:rPr>
          <w:sz w:val="16"/>
          <w:szCs w:val="16"/>
          <w:lang w:val="es-ES_tradnl"/>
        </w:rPr>
        <w:t xml:space="preserve"> firm</w:t>
      </w:r>
      <w:r>
        <w:rPr>
          <w:sz w:val="16"/>
          <w:szCs w:val="16"/>
          <w:lang w:val="es-ES_tradnl"/>
        </w:rPr>
        <w:t>ado</w:t>
      </w:r>
      <w:r w:rsidRPr="00927FB8">
        <w:rPr>
          <w:sz w:val="16"/>
          <w:szCs w:val="16"/>
          <w:lang w:val="es-ES_tradnl"/>
        </w:rPr>
        <w:t xml:space="preserve"> en octubre de 2012.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2A4E" w:rsidRPr="00575660" w:rsidRDefault="000E2A4E" w:rsidP="000E2A4E">
    <w:pPr>
      <w:pStyle w:val="Header"/>
      <w:jc w:val="right"/>
      <w:rPr>
        <w:b/>
        <w:sz w:val="18"/>
        <w:szCs w:val="18"/>
      </w:rPr>
    </w:pPr>
    <w:r w:rsidRPr="00575660">
      <w:rPr>
        <w:b/>
        <w:sz w:val="18"/>
        <w:szCs w:val="18"/>
      </w:rPr>
      <w:t>Informe sobre el rendimiento de los programas en 2012</w:t>
    </w:r>
  </w:p>
  <w:p w:rsidR="000E2A4E" w:rsidRPr="002C6A42" w:rsidRDefault="000E2A4E" w:rsidP="000E2A4E">
    <w:pPr>
      <w:pStyle w:val="Header"/>
      <w:jc w:val="right"/>
      <w:rPr>
        <w:sz w:val="18"/>
        <w:szCs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2A4E" w:rsidRDefault="000E2A4E" w:rsidP="00477D6B">
    <w:pPr>
      <w:jc w:val="right"/>
    </w:pPr>
    <w:r>
      <w:t xml:space="preserve"> </w:t>
    </w:r>
  </w:p>
  <w:p w:rsidR="000E2A4E" w:rsidRDefault="000E2A4E" w:rsidP="00477D6B">
    <w:pP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70BF" w:rsidRPr="00575660" w:rsidRDefault="00B070BF" w:rsidP="005A0B21">
    <w:pPr>
      <w:pStyle w:val="Header"/>
      <w:jc w:val="right"/>
      <w:rPr>
        <w:b/>
        <w:sz w:val="18"/>
        <w:szCs w:val="18"/>
      </w:rPr>
    </w:pPr>
    <w:r w:rsidRPr="00575660">
      <w:rPr>
        <w:b/>
        <w:sz w:val="18"/>
        <w:szCs w:val="18"/>
      </w:rPr>
      <w:t>Informe sobre el rendimiento de los programas en 2012</w:t>
    </w:r>
  </w:p>
  <w:p w:rsidR="00B070BF" w:rsidRPr="002C6A42" w:rsidRDefault="00B070BF" w:rsidP="005A0B21">
    <w:pPr>
      <w:pStyle w:val="Header"/>
      <w:jc w:val="right"/>
      <w:rPr>
        <w:sz w:val="18"/>
        <w:szCs w:val="18"/>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70BF" w:rsidRDefault="00B070BF" w:rsidP="00477D6B">
    <w:pPr>
      <w:jc w:val="right"/>
    </w:pPr>
    <w:r>
      <w:t xml:space="preserve"> </w:t>
    </w:r>
  </w:p>
  <w:p w:rsidR="00B070BF" w:rsidRDefault="00B070BF" w:rsidP="00477D6B">
    <w:pPr>
      <w:jc w:val="righ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70BF" w:rsidRPr="002C6A42" w:rsidRDefault="00B070BF" w:rsidP="005A0B21">
    <w:pPr>
      <w:pStyle w:val="Header"/>
      <w:jc w:val="right"/>
      <w:rPr>
        <w:b/>
        <w:sz w:val="18"/>
        <w:szCs w:val="18"/>
      </w:rPr>
    </w:pPr>
    <w:r w:rsidRPr="002C6A42">
      <w:rPr>
        <w:b/>
        <w:sz w:val="18"/>
        <w:szCs w:val="18"/>
      </w:rPr>
      <w:t>Informe sobre el rendimiento de los programas en 2012</w:t>
    </w:r>
  </w:p>
  <w:p w:rsidR="00B070BF" w:rsidRPr="002C6A42" w:rsidRDefault="00B070BF" w:rsidP="005A0B21">
    <w:pPr>
      <w:pStyle w:val="Header"/>
      <w:jc w:val="right"/>
      <w:rPr>
        <w:sz w:val="18"/>
        <w:szCs w:val="18"/>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5284" w:rsidRPr="00381600" w:rsidRDefault="00B070BF" w:rsidP="001023F9">
    <w:pPr>
      <w:pStyle w:val="Header"/>
      <w:jc w:val="right"/>
      <w:rPr>
        <w:b/>
        <w:sz w:val="18"/>
        <w:szCs w:val="18"/>
        <w:lang w:val="es-ES_tradnl"/>
      </w:rPr>
    </w:pPr>
    <w:r w:rsidRPr="00381600">
      <w:rPr>
        <w:b/>
        <w:sz w:val="18"/>
        <w:szCs w:val="18"/>
        <w:lang w:val="es-ES_tradnl"/>
      </w:rPr>
      <w:t>Informe sobre el rendimiento de los programas 2012</w:t>
    </w:r>
  </w:p>
  <w:p w:rsidR="001B5284" w:rsidRPr="00381600" w:rsidRDefault="009F043F" w:rsidP="001023F9">
    <w:pPr>
      <w:pStyle w:val="Header"/>
      <w:jc w:val="right"/>
      <w:rPr>
        <w:sz w:val="18"/>
        <w:szCs w:val="18"/>
        <w:lang w:val="es-ES_tradnl"/>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5284" w:rsidRPr="00381600" w:rsidRDefault="00B070BF" w:rsidP="001023F9">
    <w:pPr>
      <w:pStyle w:val="Header"/>
      <w:jc w:val="right"/>
      <w:rPr>
        <w:b/>
        <w:sz w:val="18"/>
        <w:szCs w:val="18"/>
        <w:lang w:val="es-ES_tradnl"/>
      </w:rPr>
    </w:pPr>
    <w:r w:rsidRPr="00381600">
      <w:rPr>
        <w:b/>
        <w:sz w:val="18"/>
        <w:szCs w:val="18"/>
        <w:lang w:val="es-ES_tradnl"/>
      </w:rPr>
      <w:t>Informe sobre el rendimiento de los programas 2012</w:t>
    </w:r>
  </w:p>
  <w:p w:rsidR="001B5284" w:rsidRPr="00381600" w:rsidRDefault="009F043F" w:rsidP="001023F9">
    <w:pPr>
      <w:pStyle w:val="Header"/>
      <w:jc w:val="right"/>
      <w:rPr>
        <w:sz w:val="18"/>
        <w:szCs w:val="18"/>
        <w:lang w:val="es-ES_tradnl"/>
      </w:rPr>
    </w:pPr>
  </w:p>
  <w:p w:rsidR="001B5284" w:rsidRPr="00381600" w:rsidRDefault="009F043F" w:rsidP="001023F9">
    <w:pPr>
      <w:pStyle w:val="Header"/>
      <w:jc w:val="right"/>
      <w:rPr>
        <w:sz w:val="18"/>
        <w:szCs w:val="18"/>
        <w:lang w:val="es-ES_tradn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7"/>
    <w:multiLevelType w:val="multilevel"/>
    <w:tmpl w:val="00000007"/>
    <w:name w:val="WW8Num28"/>
    <w:lvl w:ilvl="0">
      <w:start w:val="1"/>
      <w:numFmt w:val="bullet"/>
      <w:pStyle w:val="ListBullets1"/>
      <w:lvlText w:val="-"/>
      <w:lvlJc w:val="left"/>
      <w:pPr>
        <w:tabs>
          <w:tab w:val="num" w:pos="576"/>
        </w:tabs>
        <w:ind w:left="576" w:hanging="288"/>
      </w:pPr>
      <w:rPr>
        <w:rFonts w:ascii="Arial" w:hAnsi="Arial"/>
      </w:rPr>
    </w:lvl>
    <w:lvl w:ilvl="1">
      <w:start w:val="1"/>
      <w:numFmt w:val="lowerLetter"/>
      <w:lvlText w:val="%2)"/>
      <w:lvlJc w:val="left"/>
      <w:pPr>
        <w:tabs>
          <w:tab w:val="num" w:pos="1080"/>
        </w:tabs>
        <w:ind w:left="1080" w:hanging="360"/>
      </w:pPr>
      <w:rPr>
        <w:rFonts w:cs="Times New Roman"/>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1">
    <w:nsid w:val="003F0EA2"/>
    <w:multiLevelType w:val="hybridMultilevel"/>
    <w:tmpl w:val="1938E88C"/>
    <w:lvl w:ilvl="0" w:tplc="35520164">
      <w:start w:val="1"/>
      <w:numFmt w:val="bullet"/>
      <w:lvlText w:val="-"/>
      <w:lvlJc w:val="left"/>
      <w:pPr>
        <w:tabs>
          <w:tab w:val="num" w:pos="227"/>
        </w:tabs>
        <w:ind w:left="227" w:hanging="227"/>
      </w:pPr>
      <w:rPr>
        <w:rFonts w:ascii="Courier New" w:hAnsi="Courier New" w:hint="default"/>
      </w:rPr>
    </w:lvl>
    <w:lvl w:ilvl="1" w:tplc="04090003" w:tentative="1">
      <w:start w:val="1"/>
      <w:numFmt w:val="bullet"/>
      <w:lvlText w:val="o"/>
      <w:lvlJc w:val="left"/>
      <w:pPr>
        <w:tabs>
          <w:tab w:val="num" w:pos="873"/>
        </w:tabs>
        <w:ind w:left="873" w:hanging="360"/>
      </w:pPr>
      <w:rPr>
        <w:rFonts w:ascii="Courier New" w:hAnsi="Courier New" w:cs="Courier New" w:hint="default"/>
      </w:rPr>
    </w:lvl>
    <w:lvl w:ilvl="2" w:tplc="04090005" w:tentative="1">
      <w:start w:val="1"/>
      <w:numFmt w:val="bullet"/>
      <w:lvlText w:val=""/>
      <w:lvlJc w:val="left"/>
      <w:pPr>
        <w:tabs>
          <w:tab w:val="num" w:pos="1593"/>
        </w:tabs>
        <w:ind w:left="1593" w:hanging="360"/>
      </w:pPr>
      <w:rPr>
        <w:rFonts w:ascii="Wingdings" w:hAnsi="Wingdings" w:hint="default"/>
      </w:rPr>
    </w:lvl>
    <w:lvl w:ilvl="3" w:tplc="04090001" w:tentative="1">
      <w:start w:val="1"/>
      <w:numFmt w:val="bullet"/>
      <w:lvlText w:val=""/>
      <w:lvlJc w:val="left"/>
      <w:pPr>
        <w:tabs>
          <w:tab w:val="num" w:pos="2313"/>
        </w:tabs>
        <w:ind w:left="2313" w:hanging="360"/>
      </w:pPr>
      <w:rPr>
        <w:rFonts w:ascii="Symbol" w:hAnsi="Symbol" w:hint="default"/>
      </w:rPr>
    </w:lvl>
    <w:lvl w:ilvl="4" w:tplc="04090003" w:tentative="1">
      <w:start w:val="1"/>
      <w:numFmt w:val="bullet"/>
      <w:lvlText w:val="o"/>
      <w:lvlJc w:val="left"/>
      <w:pPr>
        <w:tabs>
          <w:tab w:val="num" w:pos="3033"/>
        </w:tabs>
        <w:ind w:left="3033" w:hanging="360"/>
      </w:pPr>
      <w:rPr>
        <w:rFonts w:ascii="Courier New" w:hAnsi="Courier New" w:cs="Courier New" w:hint="default"/>
      </w:rPr>
    </w:lvl>
    <w:lvl w:ilvl="5" w:tplc="04090005" w:tentative="1">
      <w:start w:val="1"/>
      <w:numFmt w:val="bullet"/>
      <w:lvlText w:val=""/>
      <w:lvlJc w:val="left"/>
      <w:pPr>
        <w:tabs>
          <w:tab w:val="num" w:pos="3753"/>
        </w:tabs>
        <w:ind w:left="3753" w:hanging="360"/>
      </w:pPr>
      <w:rPr>
        <w:rFonts w:ascii="Wingdings" w:hAnsi="Wingdings" w:hint="default"/>
      </w:rPr>
    </w:lvl>
    <w:lvl w:ilvl="6" w:tplc="04090001" w:tentative="1">
      <w:start w:val="1"/>
      <w:numFmt w:val="bullet"/>
      <w:lvlText w:val=""/>
      <w:lvlJc w:val="left"/>
      <w:pPr>
        <w:tabs>
          <w:tab w:val="num" w:pos="4473"/>
        </w:tabs>
        <w:ind w:left="4473" w:hanging="360"/>
      </w:pPr>
      <w:rPr>
        <w:rFonts w:ascii="Symbol" w:hAnsi="Symbol" w:hint="default"/>
      </w:rPr>
    </w:lvl>
    <w:lvl w:ilvl="7" w:tplc="04090003" w:tentative="1">
      <w:start w:val="1"/>
      <w:numFmt w:val="bullet"/>
      <w:lvlText w:val="o"/>
      <w:lvlJc w:val="left"/>
      <w:pPr>
        <w:tabs>
          <w:tab w:val="num" w:pos="5193"/>
        </w:tabs>
        <w:ind w:left="5193" w:hanging="360"/>
      </w:pPr>
      <w:rPr>
        <w:rFonts w:ascii="Courier New" w:hAnsi="Courier New" w:cs="Courier New" w:hint="default"/>
      </w:rPr>
    </w:lvl>
    <w:lvl w:ilvl="8" w:tplc="04090005" w:tentative="1">
      <w:start w:val="1"/>
      <w:numFmt w:val="bullet"/>
      <w:lvlText w:val=""/>
      <w:lvlJc w:val="left"/>
      <w:pPr>
        <w:tabs>
          <w:tab w:val="num" w:pos="5913"/>
        </w:tabs>
        <w:ind w:left="5913" w:hanging="360"/>
      </w:pPr>
      <w:rPr>
        <w:rFonts w:ascii="Wingdings" w:hAnsi="Wingdings" w:hint="default"/>
      </w:rPr>
    </w:lvl>
  </w:abstractNum>
  <w:abstractNum w:abstractNumId="2">
    <w:nsid w:val="0223327B"/>
    <w:multiLevelType w:val="hybridMultilevel"/>
    <w:tmpl w:val="AF76C414"/>
    <w:lvl w:ilvl="0" w:tplc="040C0001">
      <w:start w:val="1"/>
      <w:numFmt w:val="bullet"/>
      <w:lvlText w:val=""/>
      <w:lvlJc w:val="left"/>
      <w:pPr>
        <w:tabs>
          <w:tab w:val="num" w:pos="720"/>
        </w:tabs>
        <w:ind w:left="720" w:hanging="360"/>
      </w:pPr>
      <w:rPr>
        <w:rFonts w:ascii="Symbol" w:hAnsi="Symbol" w:hint="default"/>
      </w:rPr>
    </w:lvl>
    <w:lvl w:ilvl="1" w:tplc="97AE5AD2">
      <w:start w:val="13"/>
      <w:numFmt w:val="bullet"/>
      <w:lvlText w:val="-"/>
      <w:lvlJc w:val="left"/>
      <w:pPr>
        <w:tabs>
          <w:tab w:val="num" w:pos="1363"/>
        </w:tabs>
        <w:ind w:left="1363" w:hanging="283"/>
      </w:pPr>
      <w:rPr>
        <w:rFonts w:ascii="Arial" w:eastAsia="Times New Roman" w:hAnsi="Arial" w:hint="default"/>
      </w:rPr>
    </w:lvl>
    <w:lvl w:ilvl="2" w:tplc="297A8D44">
      <w:start w:val="13"/>
      <w:numFmt w:val="bullet"/>
      <w:lvlText w:val="-"/>
      <w:lvlJc w:val="left"/>
      <w:pPr>
        <w:tabs>
          <w:tab w:val="num" w:pos="2084"/>
        </w:tabs>
        <w:ind w:left="2084" w:hanging="284"/>
      </w:pPr>
      <w:rPr>
        <w:rFonts w:ascii="Arial" w:eastAsia="Times New Roman" w:hAnsi="Arial"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0AA34E7F"/>
    <w:multiLevelType w:val="hybridMultilevel"/>
    <w:tmpl w:val="222E8278"/>
    <w:lvl w:ilvl="0" w:tplc="B0F8C462">
      <w:start w:val="1"/>
      <w:numFmt w:val="decimal"/>
      <w:lvlRestart w:val="0"/>
      <w:lvlText w:val="19.%1."/>
      <w:lvlJc w:val="left"/>
      <w:pPr>
        <w:tabs>
          <w:tab w:val="num" w:pos="680"/>
        </w:tabs>
        <w:ind w:left="0" w:firstLine="0"/>
      </w:pPr>
      <w:rPr>
        <w:rFonts w:ascii="Arial" w:hAnsi="Arial" w:cs="Arial" w:hint="default"/>
        <w:b w:val="0"/>
        <w:bCs/>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0ADE219B"/>
    <w:multiLevelType w:val="hybridMultilevel"/>
    <w:tmpl w:val="03F41A68"/>
    <w:lvl w:ilvl="0" w:tplc="52E8E4DA">
      <w:start w:val="1"/>
      <w:numFmt w:val="decimal"/>
      <w:lvlRestart w:val="0"/>
      <w:lvlText w:val="6.%1."/>
      <w:lvlJc w:val="left"/>
      <w:pPr>
        <w:tabs>
          <w:tab w:val="num" w:pos="680"/>
        </w:tabs>
        <w:ind w:left="0" w:firstLine="0"/>
      </w:pPr>
      <w:rPr>
        <w:rFonts w:ascii="Arial" w:hAnsi="Arial"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01071FE"/>
    <w:multiLevelType w:val="hybridMultilevel"/>
    <w:tmpl w:val="DAF45346"/>
    <w:lvl w:ilvl="0" w:tplc="F5AE9C48">
      <w:start w:val="1"/>
      <w:numFmt w:val="decimal"/>
      <w:lvlRestart w:val="0"/>
      <w:lvlText w:val="13.%1."/>
      <w:lvlJc w:val="left"/>
      <w:pPr>
        <w:tabs>
          <w:tab w:val="num" w:pos="680"/>
        </w:tabs>
        <w:ind w:left="0" w:firstLine="0"/>
      </w:pPr>
      <w:rPr>
        <w:rFonts w:ascii="Arial" w:hAnsi="Arial" w:cs="Arial"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0461399"/>
    <w:multiLevelType w:val="hybridMultilevel"/>
    <w:tmpl w:val="1E086986"/>
    <w:lvl w:ilvl="0" w:tplc="35520164">
      <w:start w:val="1"/>
      <w:numFmt w:val="bullet"/>
      <w:lvlText w:val="-"/>
      <w:lvlJc w:val="left"/>
      <w:pPr>
        <w:tabs>
          <w:tab w:val="num" w:pos="227"/>
        </w:tabs>
        <w:ind w:left="227" w:hanging="227"/>
      </w:pPr>
      <w:rPr>
        <w:rFonts w:ascii="Courier New" w:hAnsi="Courier New" w:hint="default"/>
      </w:rPr>
    </w:lvl>
    <w:lvl w:ilvl="1" w:tplc="04090003" w:tentative="1">
      <w:start w:val="1"/>
      <w:numFmt w:val="bullet"/>
      <w:lvlText w:val="o"/>
      <w:lvlJc w:val="left"/>
      <w:pPr>
        <w:tabs>
          <w:tab w:val="num" w:pos="873"/>
        </w:tabs>
        <w:ind w:left="873" w:hanging="360"/>
      </w:pPr>
      <w:rPr>
        <w:rFonts w:ascii="Courier New" w:hAnsi="Courier New" w:cs="Courier New" w:hint="default"/>
      </w:rPr>
    </w:lvl>
    <w:lvl w:ilvl="2" w:tplc="04090005" w:tentative="1">
      <w:start w:val="1"/>
      <w:numFmt w:val="bullet"/>
      <w:lvlText w:val=""/>
      <w:lvlJc w:val="left"/>
      <w:pPr>
        <w:tabs>
          <w:tab w:val="num" w:pos="1593"/>
        </w:tabs>
        <w:ind w:left="1593" w:hanging="360"/>
      </w:pPr>
      <w:rPr>
        <w:rFonts w:ascii="Wingdings" w:hAnsi="Wingdings" w:hint="default"/>
      </w:rPr>
    </w:lvl>
    <w:lvl w:ilvl="3" w:tplc="04090001" w:tentative="1">
      <w:start w:val="1"/>
      <w:numFmt w:val="bullet"/>
      <w:lvlText w:val=""/>
      <w:lvlJc w:val="left"/>
      <w:pPr>
        <w:tabs>
          <w:tab w:val="num" w:pos="2313"/>
        </w:tabs>
        <w:ind w:left="2313" w:hanging="360"/>
      </w:pPr>
      <w:rPr>
        <w:rFonts w:ascii="Symbol" w:hAnsi="Symbol" w:hint="default"/>
      </w:rPr>
    </w:lvl>
    <w:lvl w:ilvl="4" w:tplc="04090003" w:tentative="1">
      <w:start w:val="1"/>
      <w:numFmt w:val="bullet"/>
      <w:lvlText w:val="o"/>
      <w:lvlJc w:val="left"/>
      <w:pPr>
        <w:tabs>
          <w:tab w:val="num" w:pos="3033"/>
        </w:tabs>
        <w:ind w:left="3033" w:hanging="360"/>
      </w:pPr>
      <w:rPr>
        <w:rFonts w:ascii="Courier New" w:hAnsi="Courier New" w:cs="Courier New" w:hint="default"/>
      </w:rPr>
    </w:lvl>
    <w:lvl w:ilvl="5" w:tplc="04090005" w:tentative="1">
      <w:start w:val="1"/>
      <w:numFmt w:val="bullet"/>
      <w:lvlText w:val=""/>
      <w:lvlJc w:val="left"/>
      <w:pPr>
        <w:tabs>
          <w:tab w:val="num" w:pos="3753"/>
        </w:tabs>
        <w:ind w:left="3753" w:hanging="360"/>
      </w:pPr>
      <w:rPr>
        <w:rFonts w:ascii="Wingdings" w:hAnsi="Wingdings" w:hint="default"/>
      </w:rPr>
    </w:lvl>
    <w:lvl w:ilvl="6" w:tplc="04090001" w:tentative="1">
      <w:start w:val="1"/>
      <w:numFmt w:val="bullet"/>
      <w:lvlText w:val=""/>
      <w:lvlJc w:val="left"/>
      <w:pPr>
        <w:tabs>
          <w:tab w:val="num" w:pos="4473"/>
        </w:tabs>
        <w:ind w:left="4473" w:hanging="360"/>
      </w:pPr>
      <w:rPr>
        <w:rFonts w:ascii="Symbol" w:hAnsi="Symbol" w:hint="default"/>
      </w:rPr>
    </w:lvl>
    <w:lvl w:ilvl="7" w:tplc="04090003" w:tentative="1">
      <w:start w:val="1"/>
      <w:numFmt w:val="bullet"/>
      <w:lvlText w:val="o"/>
      <w:lvlJc w:val="left"/>
      <w:pPr>
        <w:tabs>
          <w:tab w:val="num" w:pos="5193"/>
        </w:tabs>
        <w:ind w:left="5193" w:hanging="360"/>
      </w:pPr>
      <w:rPr>
        <w:rFonts w:ascii="Courier New" w:hAnsi="Courier New" w:cs="Courier New" w:hint="default"/>
      </w:rPr>
    </w:lvl>
    <w:lvl w:ilvl="8" w:tplc="04090005" w:tentative="1">
      <w:start w:val="1"/>
      <w:numFmt w:val="bullet"/>
      <w:lvlText w:val=""/>
      <w:lvlJc w:val="left"/>
      <w:pPr>
        <w:tabs>
          <w:tab w:val="num" w:pos="5913"/>
        </w:tabs>
        <w:ind w:left="5913" w:hanging="360"/>
      </w:pPr>
      <w:rPr>
        <w:rFonts w:ascii="Wingdings" w:hAnsi="Wingdings" w:hint="default"/>
      </w:rPr>
    </w:lvl>
  </w:abstractNum>
  <w:abstractNum w:abstractNumId="8">
    <w:nsid w:val="191E4540"/>
    <w:multiLevelType w:val="hybridMultilevel"/>
    <w:tmpl w:val="EE8855D2"/>
    <w:lvl w:ilvl="0" w:tplc="35520164">
      <w:start w:val="1"/>
      <w:numFmt w:val="bullet"/>
      <w:lvlText w:val="-"/>
      <w:lvlJc w:val="left"/>
      <w:pPr>
        <w:tabs>
          <w:tab w:val="num" w:pos="227"/>
        </w:tabs>
        <w:ind w:left="227" w:hanging="227"/>
      </w:pPr>
      <w:rPr>
        <w:rFonts w:ascii="Courier New" w:hAnsi="Courier New" w:hint="default"/>
      </w:rPr>
    </w:lvl>
    <w:lvl w:ilvl="1" w:tplc="04090003" w:tentative="1">
      <w:start w:val="1"/>
      <w:numFmt w:val="bullet"/>
      <w:lvlText w:val="o"/>
      <w:lvlJc w:val="left"/>
      <w:pPr>
        <w:tabs>
          <w:tab w:val="num" w:pos="873"/>
        </w:tabs>
        <w:ind w:left="873" w:hanging="360"/>
      </w:pPr>
      <w:rPr>
        <w:rFonts w:ascii="Courier New" w:hAnsi="Courier New" w:cs="Courier New" w:hint="default"/>
      </w:rPr>
    </w:lvl>
    <w:lvl w:ilvl="2" w:tplc="04090005" w:tentative="1">
      <w:start w:val="1"/>
      <w:numFmt w:val="bullet"/>
      <w:lvlText w:val=""/>
      <w:lvlJc w:val="left"/>
      <w:pPr>
        <w:tabs>
          <w:tab w:val="num" w:pos="1593"/>
        </w:tabs>
        <w:ind w:left="1593" w:hanging="360"/>
      </w:pPr>
      <w:rPr>
        <w:rFonts w:ascii="Wingdings" w:hAnsi="Wingdings" w:hint="default"/>
      </w:rPr>
    </w:lvl>
    <w:lvl w:ilvl="3" w:tplc="04090001" w:tentative="1">
      <w:start w:val="1"/>
      <w:numFmt w:val="bullet"/>
      <w:lvlText w:val=""/>
      <w:lvlJc w:val="left"/>
      <w:pPr>
        <w:tabs>
          <w:tab w:val="num" w:pos="2313"/>
        </w:tabs>
        <w:ind w:left="2313" w:hanging="360"/>
      </w:pPr>
      <w:rPr>
        <w:rFonts w:ascii="Symbol" w:hAnsi="Symbol" w:hint="default"/>
      </w:rPr>
    </w:lvl>
    <w:lvl w:ilvl="4" w:tplc="04090003" w:tentative="1">
      <w:start w:val="1"/>
      <w:numFmt w:val="bullet"/>
      <w:lvlText w:val="o"/>
      <w:lvlJc w:val="left"/>
      <w:pPr>
        <w:tabs>
          <w:tab w:val="num" w:pos="3033"/>
        </w:tabs>
        <w:ind w:left="3033" w:hanging="360"/>
      </w:pPr>
      <w:rPr>
        <w:rFonts w:ascii="Courier New" w:hAnsi="Courier New" w:cs="Courier New" w:hint="default"/>
      </w:rPr>
    </w:lvl>
    <w:lvl w:ilvl="5" w:tplc="04090005" w:tentative="1">
      <w:start w:val="1"/>
      <w:numFmt w:val="bullet"/>
      <w:lvlText w:val=""/>
      <w:lvlJc w:val="left"/>
      <w:pPr>
        <w:tabs>
          <w:tab w:val="num" w:pos="3753"/>
        </w:tabs>
        <w:ind w:left="3753" w:hanging="360"/>
      </w:pPr>
      <w:rPr>
        <w:rFonts w:ascii="Wingdings" w:hAnsi="Wingdings" w:hint="default"/>
      </w:rPr>
    </w:lvl>
    <w:lvl w:ilvl="6" w:tplc="04090001" w:tentative="1">
      <w:start w:val="1"/>
      <w:numFmt w:val="bullet"/>
      <w:lvlText w:val=""/>
      <w:lvlJc w:val="left"/>
      <w:pPr>
        <w:tabs>
          <w:tab w:val="num" w:pos="4473"/>
        </w:tabs>
        <w:ind w:left="4473" w:hanging="360"/>
      </w:pPr>
      <w:rPr>
        <w:rFonts w:ascii="Symbol" w:hAnsi="Symbol" w:hint="default"/>
      </w:rPr>
    </w:lvl>
    <w:lvl w:ilvl="7" w:tplc="04090003" w:tentative="1">
      <w:start w:val="1"/>
      <w:numFmt w:val="bullet"/>
      <w:lvlText w:val="o"/>
      <w:lvlJc w:val="left"/>
      <w:pPr>
        <w:tabs>
          <w:tab w:val="num" w:pos="5193"/>
        </w:tabs>
        <w:ind w:left="5193" w:hanging="360"/>
      </w:pPr>
      <w:rPr>
        <w:rFonts w:ascii="Courier New" w:hAnsi="Courier New" w:cs="Courier New" w:hint="default"/>
      </w:rPr>
    </w:lvl>
    <w:lvl w:ilvl="8" w:tplc="04090005" w:tentative="1">
      <w:start w:val="1"/>
      <w:numFmt w:val="bullet"/>
      <w:lvlText w:val=""/>
      <w:lvlJc w:val="left"/>
      <w:pPr>
        <w:tabs>
          <w:tab w:val="num" w:pos="5913"/>
        </w:tabs>
        <w:ind w:left="5913" w:hanging="360"/>
      </w:pPr>
      <w:rPr>
        <w:rFonts w:ascii="Wingdings" w:hAnsi="Wingdings" w:hint="default"/>
      </w:rPr>
    </w:lvl>
  </w:abstractNum>
  <w:abstractNum w:abstractNumId="9">
    <w:nsid w:val="19A32C4E"/>
    <w:multiLevelType w:val="hybridMultilevel"/>
    <w:tmpl w:val="F37EACC0"/>
    <w:lvl w:ilvl="0" w:tplc="67CA24B8">
      <w:start w:val="1"/>
      <w:numFmt w:val="decimal"/>
      <w:lvlRestart w:val="0"/>
      <w:lvlText w:val="17.%1."/>
      <w:lvlJc w:val="left"/>
      <w:pPr>
        <w:tabs>
          <w:tab w:val="num" w:pos="680"/>
        </w:tabs>
        <w:ind w:left="0" w:firstLine="0"/>
      </w:pPr>
      <w:rPr>
        <w:rFonts w:ascii="Arial" w:hAnsi="Arial" w:cs="Arial"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1FD44917"/>
    <w:multiLevelType w:val="hybridMultilevel"/>
    <w:tmpl w:val="0802AEDA"/>
    <w:lvl w:ilvl="0" w:tplc="17A42F20">
      <w:start w:val="1"/>
      <w:numFmt w:val="decimal"/>
      <w:lvlRestart w:val="0"/>
      <w:lvlText w:val="21.%1."/>
      <w:lvlJc w:val="left"/>
      <w:pPr>
        <w:tabs>
          <w:tab w:val="num" w:pos="680"/>
        </w:tabs>
        <w:ind w:left="0" w:firstLine="0"/>
      </w:pPr>
      <w:rPr>
        <w:rFonts w:ascii="Arial" w:hAnsi="Arial" w:cs="Arial"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2">
    <w:nsid w:val="2360409C"/>
    <w:multiLevelType w:val="hybridMultilevel"/>
    <w:tmpl w:val="D0AE3B64"/>
    <w:lvl w:ilvl="0" w:tplc="35520164">
      <w:start w:val="1"/>
      <w:numFmt w:val="bullet"/>
      <w:lvlText w:val="-"/>
      <w:lvlJc w:val="left"/>
      <w:pPr>
        <w:tabs>
          <w:tab w:val="num" w:pos="794"/>
        </w:tabs>
        <w:ind w:left="794" w:hanging="227"/>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27935F92"/>
    <w:multiLevelType w:val="hybridMultilevel"/>
    <w:tmpl w:val="7D5488F2"/>
    <w:lvl w:ilvl="0" w:tplc="75F01692">
      <w:start w:val="1"/>
      <w:numFmt w:val="decimal"/>
      <w:lvlText w:val="29.%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nsid w:val="297F193E"/>
    <w:multiLevelType w:val="hybridMultilevel"/>
    <w:tmpl w:val="32AA15F6"/>
    <w:lvl w:ilvl="0" w:tplc="8AAA3256">
      <w:start w:val="1"/>
      <w:numFmt w:val="decimal"/>
      <w:lvlRestart w:val="0"/>
      <w:lvlText w:val="16.%1."/>
      <w:lvlJc w:val="left"/>
      <w:pPr>
        <w:tabs>
          <w:tab w:val="num" w:pos="680"/>
        </w:tabs>
        <w:ind w:left="0" w:firstLine="0"/>
      </w:pPr>
      <w:rPr>
        <w:rFonts w:ascii="Arial" w:hAnsi="Arial" w:cs="Arial"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2CD65111"/>
    <w:multiLevelType w:val="hybridMultilevel"/>
    <w:tmpl w:val="7968FCB8"/>
    <w:lvl w:ilvl="0" w:tplc="BFDE3EC4">
      <w:start w:val="1"/>
      <w:numFmt w:val="decimal"/>
      <w:lvlRestart w:val="0"/>
      <w:lvlText w:val="31.%1."/>
      <w:lvlJc w:val="left"/>
      <w:pPr>
        <w:tabs>
          <w:tab w:val="num" w:pos="680"/>
        </w:tabs>
        <w:ind w:left="0" w:firstLine="0"/>
      </w:pPr>
      <w:rPr>
        <w:rFonts w:ascii="Arial" w:hAnsi="Arial" w:cs="Arial"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2ECD1A5E"/>
    <w:multiLevelType w:val="hybridMultilevel"/>
    <w:tmpl w:val="5D8C1E6C"/>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313904DA"/>
    <w:multiLevelType w:val="hybridMultilevel"/>
    <w:tmpl w:val="9B160F2E"/>
    <w:lvl w:ilvl="0" w:tplc="35520164">
      <w:start w:val="1"/>
      <w:numFmt w:val="bullet"/>
      <w:lvlText w:val="-"/>
      <w:lvlJc w:val="left"/>
      <w:pPr>
        <w:tabs>
          <w:tab w:val="num" w:pos="227"/>
        </w:tabs>
        <w:ind w:left="227" w:hanging="227"/>
      </w:pPr>
      <w:rPr>
        <w:rFonts w:ascii="Courier New" w:hAnsi="Courier New" w:hint="default"/>
      </w:rPr>
    </w:lvl>
    <w:lvl w:ilvl="1" w:tplc="04090003" w:tentative="1">
      <w:start w:val="1"/>
      <w:numFmt w:val="bullet"/>
      <w:lvlText w:val="o"/>
      <w:lvlJc w:val="left"/>
      <w:pPr>
        <w:tabs>
          <w:tab w:val="num" w:pos="873"/>
        </w:tabs>
        <w:ind w:left="873" w:hanging="360"/>
      </w:pPr>
      <w:rPr>
        <w:rFonts w:ascii="Courier New" w:hAnsi="Courier New" w:cs="Courier New" w:hint="default"/>
      </w:rPr>
    </w:lvl>
    <w:lvl w:ilvl="2" w:tplc="04090005" w:tentative="1">
      <w:start w:val="1"/>
      <w:numFmt w:val="bullet"/>
      <w:lvlText w:val=""/>
      <w:lvlJc w:val="left"/>
      <w:pPr>
        <w:tabs>
          <w:tab w:val="num" w:pos="1593"/>
        </w:tabs>
        <w:ind w:left="1593" w:hanging="360"/>
      </w:pPr>
      <w:rPr>
        <w:rFonts w:ascii="Wingdings" w:hAnsi="Wingdings" w:hint="default"/>
      </w:rPr>
    </w:lvl>
    <w:lvl w:ilvl="3" w:tplc="04090001" w:tentative="1">
      <w:start w:val="1"/>
      <w:numFmt w:val="bullet"/>
      <w:lvlText w:val=""/>
      <w:lvlJc w:val="left"/>
      <w:pPr>
        <w:tabs>
          <w:tab w:val="num" w:pos="2313"/>
        </w:tabs>
        <w:ind w:left="2313" w:hanging="360"/>
      </w:pPr>
      <w:rPr>
        <w:rFonts w:ascii="Symbol" w:hAnsi="Symbol" w:hint="default"/>
      </w:rPr>
    </w:lvl>
    <w:lvl w:ilvl="4" w:tplc="04090003" w:tentative="1">
      <w:start w:val="1"/>
      <w:numFmt w:val="bullet"/>
      <w:lvlText w:val="o"/>
      <w:lvlJc w:val="left"/>
      <w:pPr>
        <w:tabs>
          <w:tab w:val="num" w:pos="3033"/>
        </w:tabs>
        <w:ind w:left="3033" w:hanging="360"/>
      </w:pPr>
      <w:rPr>
        <w:rFonts w:ascii="Courier New" w:hAnsi="Courier New" w:cs="Courier New" w:hint="default"/>
      </w:rPr>
    </w:lvl>
    <w:lvl w:ilvl="5" w:tplc="04090005" w:tentative="1">
      <w:start w:val="1"/>
      <w:numFmt w:val="bullet"/>
      <w:lvlText w:val=""/>
      <w:lvlJc w:val="left"/>
      <w:pPr>
        <w:tabs>
          <w:tab w:val="num" w:pos="3753"/>
        </w:tabs>
        <w:ind w:left="3753" w:hanging="360"/>
      </w:pPr>
      <w:rPr>
        <w:rFonts w:ascii="Wingdings" w:hAnsi="Wingdings" w:hint="default"/>
      </w:rPr>
    </w:lvl>
    <w:lvl w:ilvl="6" w:tplc="04090001" w:tentative="1">
      <w:start w:val="1"/>
      <w:numFmt w:val="bullet"/>
      <w:lvlText w:val=""/>
      <w:lvlJc w:val="left"/>
      <w:pPr>
        <w:tabs>
          <w:tab w:val="num" w:pos="4473"/>
        </w:tabs>
        <w:ind w:left="4473" w:hanging="360"/>
      </w:pPr>
      <w:rPr>
        <w:rFonts w:ascii="Symbol" w:hAnsi="Symbol" w:hint="default"/>
      </w:rPr>
    </w:lvl>
    <w:lvl w:ilvl="7" w:tplc="04090003" w:tentative="1">
      <w:start w:val="1"/>
      <w:numFmt w:val="bullet"/>
      <w:lvlText w:val="o"/>
      <w:lvlJc w:val="left"/>
      <w:pPr>
        <w:tabs>
          <w:tab w:val="num" w:pos="5193"/>
        </w:tabs>
        <w:ind w:left="5193" w:hanging="360"/>
      </w:pPr>
      <w:rPr>
        <w:rFonts w:ascii="Courier New" w:hAnsi="Courier New" w:cs="Courier New" w:hint="default"/>
      </w:rPr>
    </w:lvl>
    <w:lvl w:ilvl="8" w:tplc="04090005" w:tentative="1">
      <w:start w:val="1"/>
      <w:numFmt w:val="bullet"/>
      <w:lvlText w:val=""/>
      <w:lvlJc w:val="left"/>
      <w:pPr>
        <w:tabs>
          <w:tab w:val="num" w:pos="5913"/>
        </w:tabs>
        <w:ind w:left="5913" w:hanging="360"/>
      </w:pPr>
      <w:rPr>
        <w:rFonts w:ascii="Wingdings" w:hAnsi="Wingdings" w:hint="default"/>
      </w:rPr>
    </w:lvl>
  </w:abstractNum>
  <w:abstractNum w:abstractNumId="18">
    <w:nsid w:val="35D26F74"/>
    <w:multiLevelType w:val="hybridMultilevel"/>
    <w:tmpl w:val="F8580234"/>
    <w:lvl w:ilvl="0" w:tplc="0409000B">
      <w:start w:val="1"/>
      <w:numFmt w:val="bullet"/>
      <w:lvlText w:val=""/>
      <w:lvlJc w:val="left"/>
      <w:pPr>
        <w:tabs>
          <w:tab w:val="num" w:pos="720"/>
        </w:tabs>
        <w:ind w:left="720" w:hanging="360"/>
      </w:pPr>
      <w:rPr>
        <w:rFonts w:ascii="Wingdings" w:hAnsi="Wingdings" w:hint="default"/>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363958A7"/>
    <w:multiLevelType w:val="hybridMultilevel"/>
    <w:tmpl w:val="7018A586"/>
    <w:lvl w:ilvl="0" w:tplc="F7BC6DA4">
      <w:start w:val="1"/>
      <w:numFmt w:val="decimal"/>
      <w:lvlRestart w:val="0"/>
      <w:lvlText w:val="26.%1."/>
      <w:lvlJc w:val="left"/>
      <w:pPr>
        <w:tabs>
          <w:tab w:val="num" w:pos="680"/>
        </w:tabs>
        <w:ind w:left="0" w:firstLine="0"/>
      </w:pPr>
      <w:rPr>
        <w:rFonts w:ascii="Arial" w:hAnsi="Arial" w:cs="Arial"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371A29B9"/>
    <w:multiLevelType w:val="hybridMultilevel"/>
    <w:tmpl w:val="D79C1DF2"/>
    <w:lvl w:ilvl="0" w:tplc="35520164">
      <w:start w:val="1"/>
      <w:numFmt w:val="bullet"/>
      <w:lvlText w:val="-"/>
      <w:lvlJc w:val="left"/>
      <w:pPr>
        <w:tabs>
          <w:tab w:val="num" w:pos="227"/>
        </w:tabs>
        <w:ind w:left="227" w:hanging="227"/>
      </w:pPr>
      <w:rPr>
        <w:rFonts w:ascii="Courier New" w:hAnsi="Courier New" w:hint="default"/>
      </w:rPr>
    </w:lvl>
    <w:lvl w:ilvl="1" w:tplc="04090003" w:tentative="1">
      <w:start w:val="1"/>
      <w:numFmt w:val="bullet"/>
      <w:lvlText w:val="o"/>
      <w:lvlJc w:val="left"/>
      <w:pPr>
        <w:tabs>
          <w:tab w:val="num" w:pos="873"/>
        </w:tabs>
        <w:ind w:left="873" w:hanging="360"/>
      </w:pPr>
      <w:rPr>
        <w:rFonts w:ascii="Courier New" w:hAnsi="Courier New" w:cs="Courier New" w:hint="default"/>
      </w:rPr>
    </w:lvl>
    <w:lvl w:ilvl="2" w:tplc="04090005" w:tentative="1">
      <w:start w:val="1"/>
      <w:numFmt w:val="bullet"/>
      <w:lvlText w:val=""/>
      <w:lvlJc w:val="left"/>
      <w:pPr>
        <w:tabs>
          <w:tab w:val="num" w:pos="1593"/>
        </w:tabs>
        <w:ind w:left="1593" w:hanging="360"/>
      </w:pPr>
      <w:rPr>
        <w:rFonts w:ascii="Wingdings" w:hAnsi="Wingdings" w:hint="default"/>
      </w:rPr>
    </w:lvl>
    <w:lvl w:ilvl="3" w:tplc="04090001" w:tentative="1">
      <w:start w:val="1"/>
      <w:numFmt w:val="bullet"/>
      <w:lvlText w:val=""/>
      <w:lvlJc w:val="left"/>
      <w:pPr>
        <w:tabs>
          <w:tab w:val="num" w:pos="2313"/>
        </w:tabs>
        <w:ind w:left="2313" w:hanging="360"/>
      </w:pPr>
      <w:rPr>
        <w:rFonts w:ascii="Symbol" w:hAnsi="Symbol" w:hint="default"/>
      </w:rPr>
    </w:lvl>
    <w:lvl w:ilvl="4" w:tplc="04090003" w:tentative="1">
      <w:start w:val="1"/>
      <w:numFmt w:val="bullet"/>
      <w:lvlText w:val="o"/>
      <w:lvlJc w:val="left"/>
      <w:pPr>
        <w:tabs>
          <w:tab w:val="num" w:pos="3033"/>
        </w:tabs>
        <w:ind w:left="3033" w:hanging="360"/>
      </w:pPr>
      <w:rPr>
        <w:rFonts w:ascii="Courier New" w:hAnsi="Courier New" w:cs="Courier New" w:hint="default"/>
      </w:rPr>
    </w:lvl>
    <w:lvl w:ilvl="5" w:tplc="04090005" w:tentative="1">
      <w:start w:val="1"/>
      <w:numFmt w:val="bullet"/>
      <w:lvlText w:val=""/>
      <w:lvlJc w:val="left"/>
      <w:pPr>
        <w:tabs>
          <w:tab w:val="num" w:pos="3753"/>
        </w:tabs>
        <w:ind w:left="3753" w:hanging="360"/>
      </w:pPr>
      <w:rPr>
        <w:rFonts w:ascii="Wingdings" w:hAnsi="Wingdings" w:hint="default"/>
      </w:rPr>
    </w:lvl>
    <w:lvl w:ilvl="6" w:tplc="04090001" w:tentative="1">
      <w:start w:val="1"/>
      <w:numFmt w:val="bullet"/>
      <w:lvlText w:val=""/>
      <w:lvlJc w:val="left"/>
      <w:pPr>
        <w:tabs>
          <w:tab w:val="num" w:pos="4473"/>
        </w:tabs>
        <w:ind w:left="4473" w:hanging="360"/>
      </w:pPr>
      <w:rPr>
        <w:rFonts w:ascii="Symbol" w:hAnsi="Symbol" w:hint="default"/>
      </w:rPr>
    </w:lvl>
    <w:lvl w:ilvl="7" w:tplc="04090003" w:tentative="1">
      <w:start w:val="1"/>
      <w:numFmt w:val="bullet"/>
      <w:lvlText w:val="o"/>
      <w:lvlJc w:val="left"/>
      <w:pPr>
        <w:tabs>
          <w:tab w:val="num" w:pos="5193"/>
        </w:tabs>
        <w:ind w:left="5193" w:hanging="360"/>
      </w:pPr>
      <w:rPr>
        <w:rFonts w:ascii="Courier New" w:hAnsi="Courier New" w:cs="Courier New" w:hint="default"/>
      </w:rPr>
    </w:lvl>
    <w:lvl w:ilvl="8" w:tplc="04090005" w:tentative="1">
      <w:start w:val="1"/>
      <w:numFmt w:val="bullet"/>
      <w:lvlText w:val=""/>
      <w:lvlJc w:val="left"/>
      <w:pPr>
        <w:tabs>
          <w:tab w:val="num" w:pos="5913"/>
        </w:tabs>
        <w:ind w:left="5913" w:hanging="360"/>
      </w:pPr>
      <w:rPr>
        <w:rFonts w:ascii="Wingdings" w:hAnsi="Wingdings" w:hint="default"/>
      </w:rPr>
    </w:lvl>
  </w:abstractNum>
  <w:abstractNum w:abstractNumId="21">
    <w:nsid w:val="38C805CA"/>
    <w:multiLevelType w:val="hybridMultilevel"/>
    <w:tmpl w:val="7F00B01C"/>
    <w:lvl w:ilvl="0" w:tplc="E16213F8">
      <w:start w:val="1"/>
      <w:numFmt w:val="decimal"/>
      <w:lvlRestart w:val="0"/>
      <w:lvlText w:val="14.%1."/>
      <w:lvlJc w:val="left"/>
      <w:pPr>
        <w:tabs>
          <w:tab w:val="num" w:pos="680"/>
        </w:tabs>
        <w:ind w:left="0" w:firstLine="0"/>
      </w:pPr>
      <w:rPr>
        <w:rFonts w:ascii="Arial" w:hAnsi="Arial" w:cs="Arial"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3FFE2230"/>
    <w:multiLevelType w:val="hybridMultilevel"/>
    <w:tmpl w:val="E9505BA0"/>
    <w:lvl w:ilvl="0" w:tplc="F42CDF70">
      <w:start w:val="1"/>
      <w:numFmt w:val="decimal"/>
      <w:lvlRestart w:val="0"/>
      <w:lvlText w:val="23.%1."/>
      <w:lvlJc w:val="left"/>
      <w:pPr>
        <w:tabs>
          <w:tab w:val="num" w:pos="680"/>
        </w:tabs>
        <w:ind w:left="0" w:firstLine="0"/>
      </w:pPr>
      <w:rPr>
        <w:rFonts w:ascii="Arial" w:hAnsi="Arial" w:cs="Arial"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41EA676C"/>
    <w:multiLevelType w:val="hybridMultilevel"/>
    <w:tmpl w:val="3C5CE5F6"/>
    <w:lvl w:ilvl="0" w:tplc="A5D4283C">
      <w:start w:val="1"/>
      <w:numFmt w:val="decimal"/>
      <w:lvlRestart w:val="0"/>
      <w:lvlText w:val="5.%1."/>
      <w:lvlJc w:val="left"/>
      <w:pPr>
        <w:tabs>
          <w:tab w:val="num" w:pos="680"/>
        </w:tabs>
        <w:ind w:left="0" w:firstLine="0"/>
      </w:pPr>
      <w:rPr>
        <w:rFonts w:ascii="Arial" w:hAnsi="Arial" w:cs="Arial"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41F774D2"/>
    <w:multiLevelType w:val="hybridMultilevel"/>
    <w:tmpl w:val="EDCEAC16"/>
    <w:lvl w:ilvl="0" w:tplc="28743EC2">
      <w:start w:val="1"/>
      <w:numFmt w:val="decimal"/>
      <w:lvlRestart w:val="0"/>
      <w:lvlText w:val="8.%1."/>
      <w:lvlJc w:val="left"/>
      <w:pPr>
        <w:tabs>
          <w:tab w:val="num" w:pos="680"/>
        </w:tabs>
        <w:ind w:left="0" w:firstLine="0"/>
      </w:pPr>
      <w:rPr>
        <w:rFonts w:ascii="Arial" w:hAnsi="Arial" w:cs="Arial"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43305C9F"/>
    <w:multiLevelType w:val="hybridMultilevel"/>
    <w:tmpl w:val="90326350"/>
    <w:lvl w:ilvl="0" w:tplc="2B76CB52">
      <w:start w:val="1"/>
      <w:numFmt w:val="decimal"/>
      <w:lvlRestart w:val="0"/>
      <w:lvlText w:val="11.%1."/>
      <w:lvlJc w:val="left"/>
      <w:pPr>
        <w:tabs>
          <w:tab w:val="num" w:pos="680"/>
        </w:tabs>
        <w:ind w:left="0" w:firstLine="0"/>
      </w:pPr>
      <w:rPr>
        <w:rFonts w:ascii="Arial" w:hAnsi="Arial" w:cs="Arial"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45E064EB"/>
    <w:multiLevelType w:val="hybridMultilevel"/>
    <w:tmpl w:val="A6A0B082"/>
    <w:lvl w:ilvl="0" w:tplc="F7647A7C">
      <w:start w:val="1"/>
      <w:numFmt w:val="decimal"/>
      <w:lvlRestart w:val="0"/>
      <w:lvlText w:val="1.%1."/>
      <w:lvlJc w:val="left"/>
      <w:pPr>
        <w:tabs>
          <w:tab w:val="num" w:pos="680"/>
        </w:tabs>
        <w:ind w:left="0" w:firstLine="0"/>
      </w:pPr>
      <w:rPr>
        <w:rFonts w:ascii="Arial" w:hAnsi="Arial"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47D44C47"/>
    <w:multiLevelType w:val="hybridMultilevel"/>
    <w:tmpl w:val="F2FEBC1C"/>
    <w:lvl w:ilvl="0" w:tplc="67C8EC72">
      <w:start w:val="1"/>
      <w:numFmt w:val="decimal"/>
      <w:lvlRestart w:val="0"/>
      <w:lvlText w:val="9.%1."/>
      <w:lvlJc w:val="left"/>
      <w:pPr>
        <w:tabs>
          <w:tab w:val="num" w:pos="680"/>
        </w:tabs>
        <w:ind w:left="0" w:firstLine="0"/>
      </w:pPr>
      <w:rPr>
        <w:rFonts w:ascii="Arial" w:hAnsi="Arial" w:cs="Arial"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489E0AEF"/>
    <w:multiLevelType w:val="hybridMultilevel"/>
    <w:tmpl w:val="52363F30"/>
    <w:lvl w:ilvl="0" w:tplc="35520164">
      <w:start w:val="1"/>
      <w:numFmt w:val="bullet"/>
      <w:lvlText w:val="-"/>
      <w:lvlJc w:val="left"/>
      <w:pPr>
        <w:tabs>
          <w:tab w:val="num" w:pos="227"/>
        </w:tabs>
        <w:ind w:left="227" w:hanging="227"/>
      </w:pPr>
      <w:rPr>
        <w:rFonts w:ascii="Courier New" w:hAnsi="Courier New" w:hint="default"/>
      </w:rPr>
    </w:lvl>
    <w:lvl w:ilvl="1" w:tplc="04090003" w:tentative="1">
      <w:start w:val="1"/>
      <w:numFmt w:val="bullet"/>
      <w:lvlText w:val="o"/>
      <w:lvlJc w:val="left"/>
      <w:pPr>
        <w:tabs>
          <w:tab w:val="num" w:pos="873"/>
        </w:tabs>
        <w:ind w:left="873" w:hanging="360"/>
      </w:pPr>
      <w:rPr>
        <w:rFonts w:ascii="Courier New" w:hAnsi="Courier New" w:cs="Courier New" w:hint="default"/>
      </w:rPr>
    </w:lvl>
    <w:lvl w:ilvl="2" w:tplc="04090005" w:tentative="1">
      <w:start w:val="1"/>
      <w:numFmt w:val="bullet"/>
      <w:lvlText w:val=""/>
      <w:lvlJc w:val="left"/>
      <w:pPr>
        <w:tabs>
          <w:tab w:val="num" w:pos="1593"/>
        </w:tabs>
        <w:ind w:left="1593" w:hanging="360"/>
      </w:pPr>
      <w:rPr>
        <w:rFonts w:ascii="Wingdings" w:hAnsi="Wingdings" w:hint="default"/>
      </w:rPr>
    </w:lvl>
    <w:lvl w:ilvl="3" w:tplc="04090001" w:tentative="1">
      <w:start w:val="1"/>
      <w:numFmt w:val="bullet"/>
      <w:lvlText w:val=""/>
      <w:lvlJc w:val="left"/>
      <w:pPr>
        <w:tabs>
          <w:tab w:val="num" w:pos="2313"/>
        </w:tabs>
        <w:ind w:left="2313" w:hanging="360"/>
      </w:pPr>
      <w:rPr>
        <w:rFonts w:ascii="Symbol" w:hAnsi="Symbol" w:hint="default"/>
      </w:rPr>
    </w:lvl>
    <w:lvl w:ilvl="4" w:tplc="04090003" w:tentative="1">
      <w:start w:val="1"/>
      <w:numFmt w:val="bullet"/>
      <w:lvlText w:val="o"/>
      <w:lvlJc w:val="left"/>
      <w:pPr>
        <w:tabs>
          <w:tab w:val="num" w:pos="3033"/>
        </w:tabs>
        <w:ind w:left="3033" w:hanging="360"/>
      </w:pPr>
      <w:rPr>
        <w:rFonts w:ascii="Courier New" w:hAnsi="Courier New" w:cs="Courier New" w:hint="default"/>
      </w:rPr>
    </w:lvl>
    <w:lvl w:ilvl="5" w:tplc="04090005" w:tentative="1">
      <w:start w:val="1"/>
      <w:numFmt w:val="bullet"/>
      <w:lvlText w:val=""/>
      <w:lvlJc w:val="left"/>
      <w:pPr>
        <w:tabs>
          <w:tab w:val="num" w:pos="3753"/>
        </w:tabs>
        <w:ind w:left="3753" w:hanging="360"/>
      </w:pPr>
      <w:rPr>
        <w:rFonts w:ascii="Wingdings" w:hAnsi="Wingdings" w:hint="default"/>
      </w:rPr>
    </w:lvl>
    <w:lvl w:ilvl="6" w:tplc="04090001" w:tentative="1">
      <w:start w:val="1"/>
      <w:numFmt w:val="bullet"/>
      <w:lvlText w:val=""/>
      <w:lvlJc w:val="left"/>
      <w:pPr>
        <w:tabs>
          <w:tab w:val="num" w:pos="4473"/>
        </w:tabs>
        <w:ind w:left="4473" w:hanging="360"/>
      </w:pPr>
      <w:rPr>
        <w:rFonts w:ascii="Symbol" w:hAnsi="Symbol" w:hint="default"/>
      </w:rPr>
    </w:lvl>
    <w:lvl w:ilvl="7" w:tplc="04090003" w:tentative="1">
      <w:start w:val="1"/>
      <w:numFmt w:val="bullet"/>
      <w:lvlText w:val="o"/>
      <w:lvlJc w:val="left"/>
      <w:pPr>
        <w:tabs>
          <w:tab w:val="num" w:pos="5193"/>
        </w:tabs>
        <w:ind w:left="5193" w:hanging="360"/>
      </w:pPr>
      <w:rPr>
        <w:rFonts w:ascii="Courier New" w:hAnsi="Courier New" w:cs="Courier New" w:hint="default"/>
      </w:rPr>
    </w:lvl>
    <w:lvl w:ilvl="8" w:tplc="04090005" w:tentative="1">
      <w:start w:val="1"/>
      <w:numFmt w:val="bullet"/>
      <w:lvlText w:val=""/>
      <w:lvlJc w:val="left"/>
      <w:pPr>
        <w:tabs>
          <w:tab w:val="num" w:pos="5913"/>
        </w:tabs>
        <w:ind w:left="5913" w:hanging="360"/>
      </w:pPr>
      <w:rPr>
        <w:rFonts w:ascii="Wingdings" w:hAnsi="Wingdings" w:hint="default"/>
      </w:rPr>
    </w:lvl>
  </w:abstractNum>
  <w:abstractNum w:abstractNumId="29">
    <w:nsid w:val="492B43EE"/>
    <w:multiLevelType w:val="hybridMultilevel"/>
    <w:tmpl w:val="95765C7A"/>
    <w:lvl w:ilvl="0" w:tplc="35520164">
      <w:start w:val="1"/>
      <w:numFmt w:val="bullet"/>
      <w:lvlText w:val="-"/>
      <w:lvlJc w:val="left"/>
      <w:pPr>
        <w:tabs>
          <w:tab w:val="num" w:pos="794"/>
        </w:tabs>
        <w:ind w:left="794" w:hanging="227"/>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4E1422E4"/>
    <w:multiLevelType w:val="hybridMultilevel"/>
    <w:tmpl w:val="75A0F328"/>
    <w:lvl w:ilvl="0" w:tplc="08AC0288">
      <w:start w:val="1"/>
      <w:numFmt w:val="decimal"/>
      <w:lvlRestart w:val="0"/>
      <w:lvlText w:val="15.%1."/>
      <w:lvlJc w:val="left"/>
      <w:pPr>
        <w:tabs>
          <w:tab w:val="num" w:pos="680"/>
        </w:tabs>
        <w:ind w:left="0" w:firstLine="0"/>
      </w:pPr>
      <w:rPr>
        <w:rFonts w:ascii="Arial" w:hAnsi="Arial" w:cs="Arial"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51F14A2F"/>
    <w:multiLevelType w:val="hybridMultilevel"/>
    <w:tmpl w:val="F6FE0F3E"/>
    <w:lvl w:ilvl="0" w:tplc="ADFAF3DA">
      <w:start w:val="1"/>
      <w:numFmt w:val="decimal"/>
      <w:lvlText w:val="22.%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36A4551"/>
    <w:multiLevelType w:val="hybridMultilevel"/>
    <w:tmpl w:val="0442A230"/>
    <w:lvl w:ilvl="0" w:tplc="297A8D44">
      <w:start w:val="13"/>
      <w:numFmt w:val="bullet"/>
      <w:lvlText w:val="-"/>
      <w:lvlJc w:val="left"/>
      <w:pPr>
        <w:tabs>
          <w:tab w:val="num" w:pos="851"/>
        </w:tabs>
        <w:ind w:left="851" w:hanging="284"/>
      </w:pPr>
      <w:rPr>
        <w:rFonts w:ascii="Arial" w:eastAsia="Times New Roman" w:hAnsi="Arial" w:hint="default"/>
      </w:rPr>
    </w:lvl>
    <w:lvl w:ilvl="1" w:tplc="04090003" w:tentative="1">
      <w:start w:val="1"/>
      <w:numFmt w:val="bullet"/>
      <w:lvlText w:val="o"/>
      <w:lvlJc w:val="left"/>
      <w:pPr>
        <w:tabs>
          <w:tab w:val="num" w:pos="2007"/>
        </w:tabs>
        <w:ind w:left="2007" w:hanging="360"/>
      </w:pPr>
      <w:rPr>
        <w:rFonts w:ascii="Courier New" w:hAnsi="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34">
    <w:nsid w:val="54574A58"/>
    <w:multiLevelType w:val="hybridMultilevel"/>
    <w:tmpl w:val="E01AE698"/>
    <w:lvl w:ilvl="0" w:tplc="E9109F60">
      <w:start w:val="1"/>
      <w:numFmt w:val="decimal"/>
      <w:lvlRestart w:val="0"/>
      <w:lvlText w:val="24.%1"/>
      <w:lvlJc w:val="left"/>
      <w:pPr>
        <w:tabs>
          <w:tab w:val="num" w:pos="680"/>
        </w:tabs>
        <w:ind w:left="0" w:firstLine="0"/>
      </w:pPr>
      <w:rPr>
        <w:rFonts w:ascii="Arial" w:hAnsi="Arial"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58173F9A"/>
    <w:multiLevelType w:val="hybridMultilevel"/>
    <w:tmpl w:val="233E8092"/>
    <w:lvl w:ilvl="0" w:tplc="E864C722">
      <w:start w:val="1"/>
      <w:numFmt w:val="decimal"/>
      <w:lvlText w:val="2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8BD1658"/>
    <w:multiLevelType w:val="hybridMultilevel"/>
    <w:tmpl w:val="059EC378"/>
    <w:lvl w:ilvl="0" w:tplc="122EBF30">
      <w:start w:val="1"/>
      <w:numFmt w:val="decimal"/>
      <w:lvlRestart w:val="0"/>
      <w:lvlText w:val="20.%1"/>
      <w:lvlJc w:val="left"/>
      <w:pPr>
        <w:tabs>
          <w:tab w:val="num" w:pos="680"/>
        </w:tabs>
        <w:ind w:left="0" w:firstLine="0"/>
      </w:pPr>
      <w:rPr>
        <w:rFonts w:ascii="Arial" w:hAnsi="Arial" w:hint="default"/>
        <w:sz w:val="20"/>
        <w:szCs w:val="20"/>
      </w:rPr>
    </w:lvl>
    <w:lvl w:ilvl="1" w:tplc="7BA84398">
      <w:start w:val="1"/>
      <w:numFmt w:val="lowerRoman"/>
      <w:lvlText w:val="(%2)"/>
      <w:lvlJc w:val="left"/>
      <w:pPr>
        <w:tabs>
          <w:tab w:val="num" w:pos="1440"/>
        </w:tabs>
        <w:ind w:left="1440" w:hanging="360"/>
      </w:pPr>
      <w:rPr>
        <w:rFonts w:hint="default"/>
        <w:b w:val="0"/>
        <w:bCs w:val="0"/>
        <w:sz w:val="20"/>
        <w:szCs w:val="2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5CCE03D5"/>
    <w:multiLevelType w:val="hybridMultilevel"/>
    <w:tmpl w:val="6D92E90E"/>
    <w:lvl w:ilvl="0" w:tplc="71BCA962">
      <w:start w:val="1"/>
      <w:numFmt w:val="decimal"/>
      <w:lvlRestart w:val="0"/>
      <w:lvlText w:val="12.%1."/>
      <w:lvlJc w:val="left"/>
      <w:pPr>
        <w:tabs>
          <w:tab w:val="num" w:pos="680"/>
        </w:tabs>
        <w:ind w:left="0" w:firstLine="0"/>
      </w:pPr>
      <w:rPr>
        <w:rFonts w:ascii="Arial" w:hAnsi="Arial" w:cs="Arial"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5D1B1669"/>
    <w:multiLevelType w:val="hybridMultilevel"/>
    <w:tmpl w:val="5F34DEA2"/>
    <w:lvl w:ilvl="0" w:tplc="AA2A7DAC">
      <w:start w:val="1"/>
      <w:numFmt w:val="decimal"/>
      <w:lvlRestart w:val="0"/>
      <w:lvlText w:val="18.%1."/>
      <w:lvlJc w:val="left"/>
      <w:pPr>
        <w:tabs>
          <w:tab w:val="num" w:pos="680"/>
        </w:tabs>
        <w:ind w:left="0" w:firstLine="0"/>
      </w:pPr>
      <w:rPr>
        <w:rFonts w:ascii="Arial" w:hAnsi="Arial" w:cs="Arial"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nsid w:val="5E274D19"/>
    <w:multiLevelType w:val="hybridMultilevel"/>
    <w:tmpl w:val="42C60096"/>
    <w:lvl w:ilvl="0" w:tplc="2A984D40">
      <w:start w:val="1"/>
      <w:numFmt w:val="decimal"/>
      <w:lvlRestart w:val="0"/>
      <w:lvlText w:val="4.%1."/>
      <w:lvlJc w:val="left"/>
      <w:pPr>
        <w:tabs>
          <w:tab w:val="num" w:pos="680"/>
        </w:tabs>
        <w:ind w:left="0" w:firstLine="0"/>
      </w:pPr>
      <w:rPr>
        <w:rFonts w:ascii="Arial" w:hAnsi="Arial" w:cs="Arial"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nsid w:val="5EA93CD5"/>
    <w:multiLevelType w:val="hybridMultilevel"/>
    <w:tmpl w:val="0CF67F3A"/>
    <w:lvl w:ilvl="0" w:tplc="A656E132">
      <w:start w:val="1"/>
      <w:numFmt w:val="decimal"/>
      <w:lvlRestart w:val="0"/>
      <w:lvlText w:val="3.%1."/>
      <w:lvlJc w:val="left"/>
      <w:pPr>
        <w:tabs>
          <w:tab w:val="num" w:pos="680"/>
        </w:tabs>
        <w:ind w:left="0" w:firstLine="0"/>
      </w:pPr>
      <w:rPr>
        <w:rFonts w:ascii="Arial" w:hAnsi="Arial"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nsid w:val="5EFA5F3F"/>
    <w:multiLevelType w:val="hybridMultilevel"/>
    <w:tmpl w:val="9B90665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Tahoma"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ahoma"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ahoma"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nsid w:val="63EF18E4"/>
    <w:multiLevelType w:val="hybridMultilevel"/>
    <w:tmpl w:val="EBE410AC"/>
    <w:lvl w:ilvl="0" w:tplc="3CBA2954">
      <w:start w:val="1"/>
      <w:numFmt w:val="decimal"/>
      <w:lvlRestart w:val="0"/>
      <w:lvlText w:val="25.%1."/>
      <w:lvlJc w:val="left"/>
      <w:pPr>
        <w:tabs>
          <w:tab w:val="num" w:pos="680"/>
        </w:tabs>
        <w:ind w:left="0" w:firstLine="0"/>
      </w:pPr>
      <w:rPr>
        <w:rFonts w:ascii="Arial" w:hAnsi="Arial" w:cs="Arial"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nsid w:val="65FB2BB0"/>
    <w:multiLevelType w:val="hybridMultilevel"/>
    <w:tmpl w:val="7646E6FE"/>
    <w:lvl w:ilvl="0" w:tplc="35520164">
      <w:start w:val="1"/>
      <w:numFmt w:val="bullet"/>
      <w:lvlText w:val="-"/>
      <w:lvlJc w:val="left"/>
      <w:pPr>
        <w:tabs>
          <w:tab w:val="num" w:pos="794"/>
        </w:tabs>
        <w:ind w:left="794" w:hanging="227"/>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nsid w:val="6738223F"/>
    <w:multiLevelType w:val="hybridMultilevel"/>
    <w:tmpl w:val="0FE4FE40"/>
    <w:lvl w:ilvl="0" w:tplc="233E8BC6">
      <w:start w:val="1"/>
      <w:numFmt w:val="decimal"/>
      <w:lvlText w:val="3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69F538FE"/>
    <w:multiLevelType w:val="hybridMultilevel"/>
    <w:tmpl w:val="36744862"/>
    <w:lvl w:ilvl="0" w:tplc="929C039E">
      <w:start w:val="1"/>
      <w:numFmt w:val="bullet"/>
      <w:lvlText w:val="-"/>
      <w:lvlJc w:val="left"/>
      <w:pPr>
        <w:tabs>
          <w:tab w:val="num" w:pos="794"/>
        </w:tabs>
        <w:ind w:left="794" w:hanging="227"/>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nsid w:val="7019392E"/>
    <w:multiLevelType w:val="hybridMultilevel"/>
    <w:tmpl w:val="B560BB56"/>
    <w:lvl w:ilvl="0" w:tplc="0409000B">
      <w:start w:val="1"/>
      <w:numFmt w:val="bullet"/>
      <w:lvlText w:val=""/>
      <w:lvlJc w:val="left"/>
      <w:pPr>
        <w:tabs>
          <w:tab w:val="num" w:pos="720"/>
        </w:tabs>
        <w:ind w:left="720" w:hanging="360"/>
      </w:pPr>
      <w:rPr>
        <w:rFonts w:ascii="Wingdings" w:hAnsi="Wingding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7">
    <w:nsid w:val="711E6356"/>
    <w:multiLevelType w:val="hybridMultilevel"/>
    <w:tmpl w:val="6C603750"/>
    <w:lvl w:ilvl="0" w:tplc="2612D9AA">
      <w:start w:val="13"/>
      <w:numFmt w:val="bullet"/>
      <w:lvlText w:val="-"/>
      <w:lvlJc w:val="left"/>
      <w:pPr>
        <w:tabs>
          <w:tab w:val="num" w:pos="851"/>
        </w:tabs>
        <w:ind w:left="851" w:hanging="284"/>
      </w:pPr>
      <w:rPr>
        <w:rFonts w:ascii="Arial" w:eastAsia="Times New Roman" w:hAnsi="Arial" w:cs="Times New Roman" w:hint="default"/>
      </w:rPr>
    </w:lvl>
    <w:lvl w:ilvl="1" w:tplc="E77C1616">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8">
    <w:nsid w:val="71B7554D"/>
    <w:multiLevelType w:val="hybridMultilevel"/>
    <w:tmpl w:val="6D6C3398"/>
    <w:lvl w:ilvl="0" w:tplc="50B242A4">
      <w:start w:val="1"/>
      <w:numFmt w:val="decimal"/>
      <w:lvlRestart w:val="0"/>
      <w:lvlText w:val="7.%1."/>
      <w:lvlJc w:val="left"/>
      <w:pPr>
        <w:tabs>
          <w:tab w:val="num" w:pos="680"/>
        </w:tabs>
        <w:ind w:left="0" w:firstLine="0"/>
      </w:pPr>
      <w:rPr>
        <w:rFonts w:ascii="Arial" w:hAnsi="Arial" w:cs="Arial"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9">
    <w:nsid w:val="71C4408A"/>
    <w:multiLevelType w:val="hybridMultilevel"/>
    <w:tmpl w:val="824C29EE"/>
    <w:lvl w:ilvl="0" w:tplc="211ECD70">
      <w:start w:val="1"/>
      <w:numFmt w:val="decimal"/>
      <w:lvlRestart w:val="0"/>
      <w:lvlText w:val="10.%1."/>
      <w:lvlJc w:val="left"/>
      <w:pPr>
        <w:tabs>
          <w:tab w:val="num" w:pos="680"/>
        </w:tabs>
        <w:ind w:left="0" w:firstLine="0"/>
      </w:pPr>
      <w:rPr>
        <w:rFonts w:ascii="Arial" w:hAnsi="Arial" w:cs="Arial"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0">
    <w:nsid w:val="72376FFB"/>
    <w:multiLevelType w:val="multilevel"/>
    <w:tmpl w:val="12E4239A"/>
    <w:lvl w:ilvl="0">
      <w:start w:val="1"/>
      <w:numFmt w:val="bullet"/>
      <w:pStyle w:val="Tes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nsid w:val="7257394F"/>
    <w:multiLevelType w:val="hybridMultilevel"/>
    <w:tmpl w:val="A92C825A"/>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2">
    <w:nsid w:val="737D478D"/>
    <w:multiLevelType w:val="hybridMultilevel"/>
    <w:tmpl w:val="42F400C6"/>
    <w:lvl w:ilvl="0" w:tplc="C6AE77E4">
      <w:start w:val="1"/>
      <w:numFmt w:val="decimal"/>
      <w:lvlRestart w:val="0"/>
      <w:lvlText w:val="2.%1"/>
      <w:lvlJc w:val="left"/>
      <w:pPr>
        <w:tabs>
          <w:tab w:val="num" w:pos="680"/>
        </w:tabs>
        <w:ind w:left="0" w:firstLine="0"/>
      </w:pPr>
      <w:rPr>
        <w:rFonts w:ascii="Arial" w:hAnsi="Arial"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3">
    <w:nsid w:val="7E78179D"/>
    <w:multiLevelType w:val="hybridMultilevel"/>
    <w:tmpl w:val="388CC8FC"/>
    <w:lvl w:ilvl="0" w:tplc="DE0ADD86">
      <w:start w:val="1"/>
      <w:numFmt w:val="decimal"/>
      <w:lvlRestart w:val="0"/>
      <w:lvlText w:val="27.%1."/>
      <w:lvlJc w:val="left"/>
      <w:pPr>
        <w:tabs>
          <w:tab w:val="num" w:pos="680"/>
        </w:tabs>
        <w:ind w:left="0" w:firstLine="0"/>
      </w:pPr>
      <w:rPr>
        <w:rFonts w:ascii="Arial" w:hAnsi="Arial" w:cs="Arial"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0"/>
  </w:num>
  <w:num w:numId="2">
    <w:abstractNumId w:val="3"/>
  </w:num>
  <w:num w:numId="3">
    <w:abstractNumId w:val="11"/>
  </w:num>
  <w:num w:numId="4">
    <w:abstractNumId w:val="26"/>
  </w:num>
  <w:num w:numId="5">
    <w:abstractNumId w:val="39"/>
  </w:num>
  <w:num w:numId="6">
    <w:abstractNumId w:val="48"/>
  </w:num>
  <w:num w:numId="7">
    <w:abstractNumId w:val="5"/>
  </w:num>
  <w:num w:numId="8">
    <w:abstractNumId w:val="37"/>
  </w:num>
  <w:num w:numId="9">
    <w:abstractNumId w:val="9"/>
  </w:num>
  <w:num w:numId="10">
    <w:abstractNumId w:val="38"/>
  </w:num>
  <w:num w:numId="11">
    <w:abstractNumId w:val="4"/>
  </w:num>
  <w:num w:numId="12">
    <w:abstractNumId w:val="15"/>
  </w:num>
  <w:num w:numId="13">
    <w:abstractNumId w:val="23"/>
  </w:num>
  <w:num w:numId="14">
    <w:abstractNumId w:val="31"/>
  </w:num>
  <w:num w:numId="15">
    <w:abstractNumId w:val="36"/>
  </w:num>
  <w:num w:numId="16">
    <w:abstractNumId w:val="34"/>
  </w:num>
  <w:num w:numId="17">
    <w:abstractNumId w:val="51"/>
  </w:num>
  <w:num w:numId="18">
    <w:abstractNumId w:val="18"/>
  </w:num>
  <w:num w:numId="19">
    <w:abstractNumId w:val="41"/>
  </w:num>
  <w:num w:numId="20">
    <w:abstractNumId w:val="46"/>
  </w:num>
  <w:num w:numId="21">
    <w:abstractNumId w:val="16"/>
  </w:num>
  <w:num w:numId="22">
    <w:abstractNumId w:val="4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0"/>
  </w:num>
  <w:num w:numId="24">
    <w:abstractNumId w:val="24"/>
  </w:num>
  <w:num w:numId="25">
    <w:abstractNumId w:val="27"/>
  </w:num>
  <w:num w:numId="26">
    <w:abstractNumId w:val="25"/>
  </w:num>
  <w:num w:numId="27">
    <w:abstractNumId w:val="52"/>
  </w:num>
  <w:num w:numId="28">
    <w:abstractNumId w:val="49"/>
  </w:num>
  <w:num w:numId="29">
    <w:abstractNumId w:val="50"/>
  </w:num>
  <w:num w:numId="30">
    <w:abstractNumId w:val="6"/>
  </w:num>
  <w:num w:numId="31">
    <w:abstractNumId w:val="33"/>
  </w:num>
  <w:num w:numId="32">
    <w:abstractNumId w:val="44"/>
  </w:num>
  <w:num w:numId="33">
    <w:abstractNumId w:val="43"/>
  </w:num>
  <w:num w:numId="34">
    <w:abstractNumId w:val="14"/>
  </w:num>
  <w:num w:numId="35">
    <w:abstractNumId w:val="21"/>
  </w:num>
  <w:num w:numId="36">
    <w:abstractNumId w:val="10"/>
  </w:num>
  <w:num w:numId="37">
    <w:abstractNumId w:val="22"/>
  </w:num>
  <w:num w:numId="38">
    <w:abstractNumId w:val="0"/>
  </w:num>
  <w:num w:numId="39">
    <w:abstractNumId w:val="2"/>
  </w:num>
  <w:num w:numId="40">
    <w:abstractNumId w:val="42"/>
  </w:num>
  <w:num w:numId="41">
    <w:abstractNumId w:val="19"/>
  </w:num>
  <w:num w:numId="42">
    <w:abstractNumId w:val="53"/>
  </w:num>
  <w:num w:numId="43">
    <w:abstractNumId w:val="35"/>
  </w:num>
  <w:num w:numId="44">
    <w:abstractNumId w:val="32"/>
  </w:num>
  <w:num w:numId="45">
    <w:abstractNumId w:val="29"/>
  </w:num>
  <w:num w:numId="46">
    <w:abstractNumId w:val="12"/>
  </w:num>
  <w:num w:numId="47">
    <w:abstractNumId w:val="45"/>
  </w:num>
  <w:num w:numId="48">
    <w:abstractNumId w:val="1"/>
  </w:num>
  <w:num w:numId="49">
    <w:abstractNumId w:val="28"/>
  </w:num>
  <w:num w:numId="50">
    <w:abstractNumId w:val="17"/>
  </w:num>
  <w:num w:numId="51">
    <w:abstractNumId w:val="20"/>
  </w:num>
  <w:num w:numId="52">
    <w:abstractNumId w:val="8"/>
  </w:num>
  <w:num w:numId="53">
    <w:abstractNumId w:val="7"/>
  </w:num>
  <w:num w:numId="54">
    <w:abstractNumId w:val="13"/>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1377"/>
    <w:rsid w:val="00010686"/>
    <w:rsid w:val="00052915"/>
    <w:rsid w:val="000E2A4E"/>
    <w:rsid w:val="000E3BB3"/>
    <w:rsid w:val="000F5E56"/>
    <w:rsid w:val="001362EE"/>
    <w:rsid w:val="00152CEA"/>
    <w:rsid w:val="001832A6"/>
    <w:rsid w:val="002139D9"/>
    <w:rsid w:val="002362E5"/>
    <w:rsid w:val="002634C4"/>
    <w:rsid w:val="002E0F47"/>
    <w:rsid w:val="002F4E68"/>
    <w:rsid w:val="00354647"/>
    <w:rsid w:val="00377273"/>
    <w:rsid w:val="003845C1"/>
    <w:rsid w:val="00387287"/>
    <w:rsid w:val="003E48F1"/>
    <w:rsid w:val="003F347A"/>
    <w:rsid w:val="00423E3E"/>
    <w:rsid w:val="00427AF4"/>
    <w:rsid w:val="0045231F"/>
    <w:rsid w:val="004647DA"/>
    <w:rsid w:val="00477808"/>
    <w:rsid w:val="00477D6B"/>
    <w:rsid w:val="004A6C37"/>
    <w:rsid w:val="004E297D"/>
    <w:rsid w:val="00525492"/>
    <w:rsid w:val="005332F0"/>
    <w:rsid w:val="0055013B"/>
    <w:rsid w:val="00571B99"/>
    <w:rsid w:val="00605827"/>
    <w:rsid w:val="00675021"/>
    <w:rsid w:val="006A06C6"/>
    <w:rsid w:val="006C1377"/>
    <w:rsid w:val="007224C8"/>
    <w:rsid w:val="007335F5"/>
    <w:rsid w:val="00794BE2"/>
    <w:rsid w:val="007B71FE"/>
    <w:rsid w:val="007C1FA0"/>
    <w:rsid w:val="007D781E"/>
    <w:rsid w:val="007E663E"/>
    <w:rsid w:val="00815082"/>
    <w:rsid w:val="00847E35"/>
    <w:rsid w:val="00861C88"/>
    <w:rsid w:val="0088395E"/>
    <w:rsid w:val="008B2CC1"/>
    <w:rsid w:val="008E6BD6"/>
    <w:rsid w:val="008F0592"/>
    <w:rsid w:val="0090731E"/>
    <w:rsid w:val="009151D1"/>
    <w:rsid w:val="00966A22"/>
    <w:rsid w:val="00972F03"/>
    <w:rsid w:val="009A0C8B"/>
    <w:rsid w:val="009B6241"/>
    <w:rsid w:val="009F043F"/>
    <w:rsid w:val="00A16FC0"/>
    <w:rsid w:val="00A32C9E"/>
    <w:rsid w:val="00A53838"/>
    <w:rsid w:val="00A9605F"/>
    <w:rsid w:val="00AB613D"/>
    <w:rsid w:val="00AE7F20"/>
    <w:rsid w:val="00B070BF"/>
    <w:rsid w:val="00B342E0"/>
    <w:rsid w:val="00B65A0A"/>
    <w:rsid w:val="00B67CDC"/>
    <w:rsid w:val="00B72D36"/>
    <w:rsid w:val="00BC4164"/>
    <w:rsid w:val="00BD2DCC"/>
    <w:rsid w:val="00C90559"/>
    <w:rsid w:val="00CA2251"/>
    <w:rsid w:val="00D40807"/>
    <w:rsid w:val="00D56C7C"/>
    <w:rsid w:val="00D71B4D"/>
    <w:rsid w:val="00D90289"/>
    <w:rsid w:val="00D93D55"/>
    <w:rsid w:val="00DC4C60"/>
    <w:rsid w:val="00DC4EB4"/>
    <w:rsid w:val="00E0079A"/>
    <w:rsid w:val="00E16F14"/>
    <w:rsid w:val="00E444DA"/>
    <w:rsid w:val="00E45C84"/>
    <w:rsid w:val="00E504E5"/>
    <w:rsid w:val="00E91111"/>
    <w:rsid w:val="00EB7A3E"/>
    <w:rsid w:val="00EC401A"/>
    <w:rsid w:val="00EF530A"/>
    <w:rsid w:val="00EF6622"/>
    <w:rsid w:val="00F55408"/>
    <w:rsid w:val="00F66152"/>
    <w:rsid w:val="00F80845"/>
    <w:rsid w:val="00F84474"/>
    <w:rsid w:val="00FA0F0D"/>
    <w:rsid w:val="00FD59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qFormat="1"/>
    <w:lsdException w:name="Title" w:qFormat="1"/>
    <w:lsdException w:name="Subtitle" w:qFormat="1"/>
    <w:lsdException w:name="Hyperlink" w:uiPriority="99"/>
    <w:lsdException w:name="Strong" w:qFormat="1"/>
    <w:lsdException w:name="Emphasis" w:uiPriority="20"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link w:val="Heading1Char"/>
    <w:qFormat/>
    <w:rsid w:val="00A32C9E"/>
    <w:pPr>
      <w:keepNext/>
      <w:spacing w:before="240" w:after="60"/>
      <w:outlineLvl w:val="0"/>
    </w:pPr>
    <w:rPr>
      <w:b/>
      <w:bCs/>
      <w:caps/>
      <w:kern w:val="32"/>
      <w:szCs w:val="32"/>
    </w:rPr>
  </w:style>
  <w:style w:type="paragraph" w:styleId="Heading2">
    <w:name w:val="heading 2"/>
    <w:basedOn w:val="Normal"/>
    <w:next w:val="Normal"/>
    <w:link w:val="Heading2Char"/>
    <w:qFormat/>
    <w:rsid w:val="00A32C9E"/>
    <w:pPr>
      <w:keepNext/>
      <w:spacing w:before="240" w:after="60"/>
      <w:outlineLvl w:val="1"/>
    </w:pPr>
    <w:rPr>
      <w:bCs/>
      <w:iCs/>
      <w:caps/>
      <w:szCs w:val="28"/>
    </w:rPr>
  </w:style>
  <w:style w:type="paragraph" w:styleId="Heading3">
    <w:name w:val="heading 3"/>
    <w:basedOn w:val="Normal"/>
    <w:next w:val="Normal"/>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link w:val="CommentTextChar"/>
    <w:semiHidden/>
    <w:rsid w:val="00A32C9E"/>
    <w:rPr>
      <w:sz w:val="18"/>
    </w:rPr>
  </w:style>
  <w:style w:type="paragraph" w:styleId="EndnoteText">
    <w:name w:val="endnote text"/>
    <w:basedOn w:val="Normal"/>
    <w:semiHidden/>
    <w:rsid w:val="00A32C9E"/>
    <w:rPr>
      <w:sz w:val="18"/>
    </w:rPr>
  </w:style>
  <w:style w:type="paragraph" w:styleId="Footer">
    <w:name w:val="footer"/>
    <w:basedOn w:val="Normal"/>
    <w:link w:val="FooterChar"/>
    <w:uiPriority w:val="99"/>
    <w:rsid w:val="00A32C9E"/>
    <w:pPr>
      <w:tabs>
        <w:tab w:val="center" w:pos="4320"/>
        <w:tab w:val="right" w:pos="8640"/>
      </w:tabs>
    </w:pPr>
  </w:style>
  <w:style w:type="paragraph" w:styleId="FootnoteText">
    <w:name w:val="footnote text"/>
    <w:basedOn w:val="Normal"/>
    <w:link w:val="FootnoteTextChar"/>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Header">
    <w:name w:val="header"/>
    <w:basedOn w:val="Normal"/>
    <w:link w:val="HeaderChar"/>
    <w:rsid w:val="00A32C9E"/>
    <w:pPr>
      <w:tabs>
        <w:tab w:val="center" w:pos="4536"/>
        <w:tab w:val="right" w:pos="9072"/>
      </w:tabs>
    </w:pPr>
  </w:style>
  <w:style w:type="paragraph" w:styleId="ListNumber">
    <w:name w:val="List Number"/>
    <w:basedOn w:val="Normal"/>
    <w:semiHidden/>
    <w:rsid w:val="00A32C9E"/>
    <w:pPr>
      <w:numPr>
        <w:numId w:val="1"/>
      </w:numPr>
    </w:pPr>
  </w:style>
  <w:style w:type="paragraph" w:customStyle="1" w:styleId="ONUME">
    <w:name w:val="ONUM E"/>
    <w:basedOn w:val="BodyText"/>
    <w:rsid w:val="00A32C9E"/>
    <w:pPr>
      <w:numPr>
        <w:numId w:val="2"/>
      </w:numPr>
    </w:pPr>
  </w:style>
  <w:style w:type="paragraph" w:customStyle="1" w:styleId="ONUMFS">
    <w:name w:val="ONUM FS"/>
    <w:basedOn w:val="BodyText"/>
    <w:link w:val="ONUMFSCar"/>
    <w:rsid w:val="00A32C9E"/>
    <w:pPr>
      <w:numPr>
        <w:numId w:val="3"/>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character" w:styleId="PageNumber">
    <w:name w:val="page number"/>
    <w:basedOn w:val="DefaultParagraphFont"/>
    <w:rsid w:val="000E2A4E"/>
  </w:style>
  <w:style w:type="character" w:customStyle="1" w:styleId="HeaderChar">
    <w:name w:val="Header Char"/>
    <w:link w:val="Header"/>
    <w:locked/>
    <w:rsid w:val="000E2A4E"/>
    <w:rPr>
      <w:rFonts w:ascii="Arial" w:eastAsia="SimSun" w:hAnsi="Arial" w:cs="Arial"/>
      <w:sz w:val="22"/>
      <w:lang w:val="es-ES" w:eastAsia="zh-CN"/>
    </w:rPr>
  </w:style>
  <w:style w:type="character" w:customStyle="1" w:styleId="FooterChar">
    <w:name w:val="Footer Char"/>
    <w:basedOn w:val="DefaultParagraphFont"/>
    <w:link w:val="Footer"/>
    <w:uiPriority w:val="99"/>
    <w:rsid w:val="000E2A4E"/>
    <w:rPr>
      <w:rFonts w:ascii="Arial" w:eastAsia="SimSun" w:hAnsi="Arial" w:cs="Arial"/>
      <w:sz w:val="22"/>
      <w:lang w:val="es-ES" w:eastAsia="zh-CN"/>
    </w:rPr>
  </w:style>
  <w:style w:type="paragraph" w:customStyle="1" w:styleId="DecisionInvitingPara">
    <w:name w:val="Decision Inviting Para."/>
    <w:basedOn w:val="Normal"/>
    <w:rsid w:val="00B070BF"/>
    <w:pPr>
      <w:spacing w:after="120" w:line="260" w:lineRule="exact"/>
      <w:ind w:left="5534"/>
    </w:pPr>
    <w:rPr>
      <w:rFonts w:eastAsia="Times New Roman" w:cs="Times New Roman"/>
      <w:i/>
      <w:sz w:val="20"/>
      <w:lang w:val="en-US" w:eastAsia="en-US"/>
    </w:rPr>
  </w:style>
  <w:style w:type="paragraph" w:styleId="TOC2">
    <w:name w:val="toc 2"/>
    <w:basedOn w:val="Normal"/>
    <w:next w:val="Normal"/>
    <w:autoRedefine/>
    <w:uiPriority w:val="39"/>
    <w:rsid w:val="00B070BF"/>
    <w:pPr>
      <w:tabs>
        <w:tab w:val="right" w:leader="dot" w:pos="9345"/>
      </w:tabs>
      <w:spacing w:after="60"/>
      <w:ind w:left="1985" w:hanging="1764"/>
    </w:pPr>
    <w:rPr>
      <w:lang w:val="en-US"/>
    </w:rPr>
  </w:style>
  <w:style w:type="character" w:styleId="Hyperlink">
    <w:name w:val="Hyperlink"/>
    <w:uiPriority w:val="99"/>
    <w:rsid w:val="00B070BF"/>
    <w:rPr>
      <w:color w:val="0000FF"/>
      <w:u w:val="single"/>
    </w:rPr>
  </w:style>
  <w:style w:type="character" w:customStyle="1" w:styleId="BodyTextChar">
    <w:name w:val="Body Text Char"/>
    <w:link w:val="BodyText"/>
    <w:rsid w:val="00B070BF"/>
    <w:rPr>
      <w:rFonts w:ascii="Arial" w:eastAsia="SimSun" w:hAnsi="Arial" w:cs="Arial"/>
      <w:sz w:val="22"/>
      <w:lang w:val="es-ES" w:eastAsia="zh-CN"/>
    </w:rPr>
  </w:style>
  <w:style w:type="paragraph" w:styleId="TOC1">
    <w:name w:val="toc 1"/>
    <w:basedOn w:val="Normal"/>
    <w:next w:val="Normal"/>
    <w:autoRedefine/>
    <w:uiPriority w:val="39"/>
    <w:rsid w:val="00B070BF"/>
    <w:pPr>
      <w:tabs>
        <w:tab w:val="left" w:pos="440"/>
        <w:tab w:val="right" w:leader="dot" w:pos="9288"/>
      </w:tabs>
      <w:spacing w:after="60"/>
      <w:ind w:left="221"/>
    </w:pPr>
    <w:rPr>
      <w:rFonts w:ascii="Arial Bold" w:hAnsi="Arial Bold" w:cs="Times New Roman"/>
      <w:b/>
      <w:noProof/>
      <w:lang w:val="en-US"/>
    </w:rPr>
  </w:style>
  <w:style w:type="character" w:styleId="FootnoteReference">
    <w:name w:val="footnote reference"/>
    <w:rsid w:val="00B070BF"/>
    <w:rPr>
      <w:vertAlign w:val="superscript"/>
    </w:rPr>
  </w:style>
  <w:style w:type="paragraph" w:customStyle="1" w:styleId="Default">
    <w:name w:val="Default"/>
    <w:rsid w:val="00B070BF"/>
    <w:pPr>
      <w:autoSpaceDE w:val="0"/>
      <w:autoSpaceDN w:val="0"/>
      <w:adjustRightInd w:val="0"/>
    </w:pPr>
    <w:rPr>
      <w:rFonts w:ascii="Arial" w:eastAsia="Batang" w:hAnsi="Arial" w:cs="Arial"/>
      <w:color w:val="000000"/>
      <w:sz w:val="24"/>
      <w:szCs w:val="24"/>
      <w:lang w:eastAsia="ja-JP"/>
    </w:rPr>
  </w:style>
  <w:style w:type="paragraph" w:styleId="NormalWeb">
    <w:name w:val="Normal (Web)"/>
    <w:basedOn w:val="Normal"/>
    <w:rsid w:val="00B070BF"/>
    <w:pPr>
      <w:spacing w:before="100" w:beforeAutospacing="1" w:after="100" w:afterAutospacing="1"/>
    </w:pPr>
    <w:rPr>
      <w:rFonts w:eastAsia="Times New Roman"/>
      <w:sz w:val="18"/>
      <w:szCs w:val="18"/>
      <w:lang w:val="en-US" w:eastAsia="en-US"/>
    </w:rPr>
  </w:style>
  <w:style w:type="character" w:customStyle="1" w:styleId="FootnoteTextChar">
    <w:name w:val="Footnote Text Char"/>
    <w:link w:val="FootnoteText"/>
    <w:semiHidden/>
    <w:locked/>
    <w:rsid w:val="00B070BF"/>
    <w:rPr>
      <w:rFonts w:ascii="Arial" w:eastAsia="SimSun" w:hAnsi="Arial" w:cs="Arial"/>
      <w:sz w:val="18"/>
      <w:lang w:val="es-ES" w:eastAsia="zh-CN"/>
    </w:rPr>
  </w:style>
  <w:style w:type="table" w:styleId="TableGrid">
    <w:name w:val="Table Grid"/>
    <w:basedOn w:val="TableNormal"/>
    <w:rsid w:val="00B070BF"/>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rsid w:val="00B070BF"/>
    <w:rPr>
      <w:sz w:val="16"/>
      <w:szCs w:val="16"/>
    </w:rPr>
  </w:style>
  <w:style w:type="paragraph" w:customStyle="1" w:styleId="StyleStyleHeading3ComplexItalicLatin12pt">
    <w:name w:val="Style Style Heading 3 + (Complex) Italic + (Latin) 12 pt"/>
    <w:basedOn w:val="Normal"/>
    <w:link w:val="StyleStyleHeading3ComplexItalicLatin12ptChar"/>
    <w:rsid w:val="00B070BF"/>
    <w:pPr>
      <w:keepNext/>
      <w:tabs>
        <w:tab w:val="left" w:pos="1985"/>
      </w:tabs>
      <w:outlineLvl w:val="2"/>
    </w:pPr>
    <w:rPr>
      <w:rFonts w:ascii="Times New Roman" w:eastAsia="Times New Roman" w:hAnsi="Times New Roman" w:cs="Times New Roman"/>
      <w:b/>
      <w:iCs/>
      <w:caps/>
      <w:sz w:val="24"/>
      <w:szCs w:val="22"/>
      <w:lang w:val="en-US" w:eastAsia="en-US"/>
    </w:rPr>
  </w:style>
  <w:style w:type="character" w:customStyle="1" w:styleId="StyleStyleHeading3ComplexItalicLatin12ptChar">
    <w:name w:val="Style Style Heading 3 + (Complex) Italic + (Latin) 12 pt Char"/>
    <w:link w:val="StyleStyleHeading3ComplexItalicLatin12pt"/>
    <w:rsid w:val="00B070BF"/>
    <w:rPr>
      <w:b/>
      <w:iCs/>
      <w:caps/>
      <w:sz w:val="24"/>
      <w:szCs w:val="22"/>
    </w:rPr>
  </w:style>
  <w:style w:type="paragraph" w:customStyle="1" w:styleId="BodyA">
    <w:name w:val="Body A"/>
    <w:link w:val="BodyAChar"/>
    <w:rsid w:val="00B070BF"/>
    <w:rPr>
      <w:rFonts w:ascii="Helvetica" w:eastAsia="ヒラギノ角ゴ Pro W3" w:hAnsi="Helvetica"/>
      <w:color w:val="000000"/>
      <w:sz w:val="24"/>
    </w:rPr>
  </w:style>
  <w:style w:type="character" w:customStyle="1" w:styleId="BodyAChar">
    <w:name w:val="Body A Char"/>
    <w:link w:val="BodyA"/>
    <w:rsid w:val="00B070BF"/>
    <w:rPr>
      <w:rFonts w:ascii="Helvetica" w:eastAsia="ヒラギノ角ゴ Pro W3" w:hAnsi="Helvetica"/>
      <w:color w:val="000000"/>
      <w:sz w:val="24"/>
    </w:rPr>
  </w:style>
  <w:style w:type="paragraph" w:styleId="BodyText2">
    <w:name w:val="Body Text 2"/>
    <w:basedOn w:val="Normal"/>
    <w:link w:val="BodyText2Char"/>
    <w:rsid w:val="00B070BF"/>
    <w:pPr>
      <w:spacing w:after="120" w:line="480" w:lineRule="auto"/>
    </w:pPr>
    <w:rPr>
      <w:rFonts w:ascii="Times New Roman" w:eastAsia="MS Mincho" w:hAnsi="Times New Roman" w:cs="Times New Roman"/>
      <w:sz w:val="24"/>
      <w:szCs w:val="24"/>
      <w:lang w:val="en-US" w:eastAsia="en-US"/>
    </w:rPr>
  </w:style>
  <w:style w:type="character" w:customStyle="1" w:styleId="BodyText2Char">
    <w:name w:val="Body Text 2 Char"/>
    <w:basedOn w:val="DefaultParagraphFont"/>
    <w:link w:val="BodyText2"/>
    <w:rsid w:val="00B070BF"/>
    <w:rPr>
      <w:rFonts w:eastAsia="MS Mincho"/>
      <w:sz w:val="24"/>
      <w:szCs w:val="24"/>
    </w:rPr>
  </w:style>
  <w:style w:type="paragraph" w:styleId="ListParagraph">
    <w:name w:val="List Paragraph"/>
    <w:basedOn w:val="Normal"/>
    <w:qFormat/>
    <w:rsid w:val="00B070BF"/>
    <w:pPr>
      <w:ind w:left="720"/>
    </w:pPr>
    <w:rPr>
      <w:rFonts w:ascii="Times New Roman" w:eastAsia="Times New Roman" w:hAnsi="Times New Roman" w:cs="Times New Roman"/>
      <w:sz w:val="24"/>
      <w:lang w:val="en-US" w:eastAsia="en-US"/>
    </w:rPr>
  </w:style>
  <w:style w:type="character" w:customStyle="1" w:styleId="Heading2Char">
    <w:name w:val="Heading 2 Char"/>
    <w:link w:val="Heading2"/>
    <w:rsid w:val="00B070BF"/>
    <w:rPr>
      <w:rFonts w:ascii="Arial" w:eastAsia="SimSun" w:hAnsi="Arial" w:cs="Arial"/>
      <w:bCs/>
      <w:iCs/>
      <w:caps/>
      <w:sz w:val="22"/>
      <w:szCs w:val="28"/>
      <w:lang w:val="es-ES" w:eastAsia="zh-CN"/>
    </w:rPr>
  </w:style>
  <w:style w:type="paragraph" w:styleId="BalloonText">
    <w:name w:val="Balloon Text"/>
    <w:basedOn w:val="Normal"/>
    <w:link w:val="BalloonTextChar"/>
    <w:rsid w:val="00B070BF"/>
    <w:rPr>
      <w:rFonts w:ascii="Tahoma" w:hAnsi="Tahoma" w:cs="Tahoma"/>
      <w:sz w:val="16"/>
      <w:szCs w:val="16"/>
      <w:lang w:val="en-US"/>
    </w:rPr>
  </w:style>
  <w:style w:type="character" w:customStyle="1" w:styleId="BalloonTextChar">
    <w:name w:val="Balloon Text Char"/>
    <w:basedOn w:val="DefaultParagraphFont"/>
    <w:link w:val="BalloonText"/>
    <w:rsid w:val="00B070BF"/>
    <w:rPr>
      <w:rFonts w:ascii="Tahoma" w:eastAsia="SimSun" w:hAnsi="Tahoma" w:cs="Tahoma"/>
      <w:sz w:val="16"/>
      <w:szCs w:val="16"/>
      <w:lang w:eastAsia="zh-CN"/>
    </w:rPr>
  </w:style>
  <w:style w:type="character" w:customStyle="1" w:styleId="Heading1Char">
    <w:name w:val="Heading 1 Char"/>
    <w:link w:val="Heading1"/>
    <w:locked/>
    <w:rsid w:val="00B070BF"/>
    <w:rPr>
      <w:rFonts w:ascii="Arial" w:eastAsia="SimSun" w:hAnsi="Arial" w:cs="Arial"/>
      <w:b/>
      <w:bCs/>
      <w:caps/>
      <w:kern w:val="32"/>
      <w:sz w:val="22"/>
      <w:szCs w:val="32"/>
      <w:lang w:val="es-ES" w:eastAsia="zh-CN"/>
    </w:rPr>
  </w:style>
  <w:style w:type="paragraph" w:customStyle="1" w:styleId="Test">
    <w:name w:val="Test"/>
    <w:basedOn w:val="Normal"/>
    <w:qFormat/>
    <w:rsid w:val="00B070BF"/>
    <w:pPr>
      <w:numPr>
        <w:numId w:val="29"/>
      </w:numPr>
    </w:pPr>
    <w:rPr>
      <w:rFonts w:eastAsia="Times New Roman"/>
      <w:szCs w:val="22"/>
      <w:lang w:val="en-US" w:eastAsia="en-US"/>
    </w:rPr>
  </w:style>
  <w:style w:type="paragraph" w:customStyle="1" w:styleId="ListBullets1">
    <w:name w:val="ListBullets1"/>
    <w:basedOn w:val="Normal"/>
    <w:rsid w:val="00B070BF"/>
    <w:pPr>
      <w:numPr>
        <w:numId w:val="38"/>
      </w:numPr>
      <w:suppressAutoHyphens/>
    </w:pPr>
    <w:rPr>
      <w:lang w:val="en-US" w:eastAsia="ar-SA"/>
    </w:rPr>
  </w:style>
  <w:style w:type="paragraph" w:customStyle="1" w:styleId="CharCharCharChar">
    <w:name w:val="Char Char Char Char"/>
    <w:basedOn w:val="Normal"/>
    <w:rsid w:val="00B070BF"/>
    <w:pPr>
      <w:spacing w:after="160" w:line="240" w:lineRule="exact"/>
    </w:pPr>
    <w:rPr>
      <w:rFonts w:ascii="Verdana" w:eastAsia="Times New Roman" w:hAnsi="Verdana" w:cs="Times New Roman"/>
      <w:sz w:val="20"/>
      <w:lang w:val="en-GB" w:eastAsia="en-US"/>
    </w:rPr>
  </w:style>
  <w:style w:type="paragraph" w:styleId="BodyTextIndent">
    <w:name w:val="Body Text Indent"/>
    <w:basedOn w:val="Normal"/>
    <w:link w:val="BodyTextIndentChar"/>
    <w:rsid w:val="00B070BF"/>
    <w:pPr>
      <w:ind w:left="567"/>
    </w:pPr>
    <w:rPr>
      <w:rFonts w:ascii="Times New Roman" w:eastAsia="Times New Roman" w:hAnsi="Times New Roman" w:cs="Times New Roman"/>
      <w:sz w:val="24"/>
      <w:lang w:val="en-US" w:eastAsia="en-US"/>
    </w:rPr>
  </w:style>
  <w:style w:type="character" w:customStyle="1" w:styleId="BodyTextIndentChar">
    <w:name w:val="Body Text Indent Char"/>
    <w:basedOn w:val="DefaultParagraphFont"/>
    <w:link w:val="BodyTextIndent"/>
    <w:rsid w:val="00B070BF"/>
    <w:rPr>
      <w:sz w:val="24"/>
    </w:rPr>
  </w:style>
  <w:style w:type="character" w:customStyle="1" w:styleId="CharChar">
    <w:name w:val="Char Char"/>
    <w:locked/>
    <w:rsid w:val="00B070BF"/>
    <w:rPr>
      <w:rFonts w:ascii="Arial" w:hAnsi="Arial" w:cs="Times New Roman"/>
      <w:lang w:val="en-US" w:eastAsia="en-US" w:bidi="ar-SA"/>
    </w:rPr>
  </w:style>
  <w:style w:type="paragraph" w:customStyle="1" w:styleId="CarCar">
    <w:name w:val="Car Car"/>
    <w:basedOn w:val="Normal"/>
    <w:rsid w:val="00B070BF"/>
    <w:pPr>
      <w:spacing w:after="160" w:line="240" w:lineRule="exact"/>
    </w:pPr>
    <w:rPr>
      <w:rFonts w:ascii="Verdana" w:eastAsia="Times New Roman" w:hAnsi="Verdana" w:cs="Times New Roman"/>
      <w:sz w:val="20"/>
      <w:lang w:val="en-GB" w:eastAsia="en-US"/>
    </w:rPr>
  </w:style>
  <w:style w:type="paragraph" w:styleId="CommentSubject">
    <w:name w:val="annotation subject"/>
    <w:basedOn w:val="CommentText"/>
    <w:next w:val="CommentText"/>
    <w:link w:val="CommentSubjectChar"/>
    <w:rsid w:val="00B070BF"/>
    <w:rPr>
      <w:rFonts w:ascii="Times New Roman" w:eastAsia="Times New Roman" w:hAnsi="Times New Roman" w:cs="Times New Roman"/>
      <w:b/>
      <w:bCs/>
      <w:sz w:val="20"/>
      <w:lang w:val="en-US" w:eastAsia="en-US"/>
    </w:rPr>
  </w:style>
  <w:style w:type="character" w:customStyle="1" w:styleId="CommentTextChar">
    <w:name w:val="Comment Text Char"/>
    <w:basedOn w:val="DefaultParagraphFont"/>
    <w:link w:val="CommentText"/>
    <w:semiHidden/>
    <w:rsid w:val="00B070BF"/>
    <w:rPr>
      <w:rFonts w:ascii="Arial" w:eastAsia="SimSun" w:hAnsi="Arial" w:cs="Arial"/>
      <w:sz w:val="18"/>
      <w:lang w:val="es-ES" w:eastAsia="zh-CN"/>
    </w:rPr>
  </w:style>
  <w:style w:type="character" w:customStyle="1" w:styleId="CommentSubjectChar">
    <w:name w:val="Comment Subject Char"/>
    <w:basedOn w:val="CommentTextChar"/>
    <w:link w:val="CommentSubject"/>
    <w:rsid w:val="00B070BF"/>
    <w:rPr>
      <w:rFonts w:ascii="Arial" w:eastAsia="SimSun" w:hAnsi="Arial" w:cs="Arial"/>
      <w:b/>
      <w:bCs/>
      <w:sz w:val="18"/>
      <w:lang w:val="es-ES" w:eastAsia="zh-CN"/>
    </w:rPr>
  </w:style>
  <w:style w:type="character" w:customStyle="1" w:styleId="CharChar2">
    <w:name w:val="Char Char2"/>
    <w:rsid w:val="00B070BF"/>
    <w:rPr>
      <w:rFonts w:ascii="Arial" w:hAnsi="Arial"/>
      <w:lang w:val="en-US" w:eastAsia="en-US" w:bidi="ar-SA"/>
    </w:rPr>
  </w:style>
  <w:style w:type="paragraph" w:customStyle="1" w:styleId="Indicators">
    <w:name w:val="Indicators"/>
    <w:basedOn w:val="Normal"/>
    <w:link w:val="IndicatorsChar"/>
    <w:rsid w:val="00B070BF"/>
    <w:pPr>
      <w:spacing w:before="120"/>
      <w:ind w:left="284" w:right="170"/>
    </w:pPr>
    <w:rPr>
      <w:rFonts w:eastAsia="Times New Roman" w:cs="Times New Roman"/>
      <w:sz w:val="20"/>
      <w:lang w:val="en-US" w:eastAsia="en-US"/>
    </w:rPr>
  </w:style>
  <w:style w:type="character" w:customStyle="1" w:styleId="IndicatorsChar">
    <w:name w:val="Indicators Char"/>
    <w:link w:val="Indicators"/>
    <w:rsid w:val="00B070BF"/>
    <w:rPr>
      <w:rFonts w:ascii="Arial" w:hAnsi="Arial"/>
    </w:rPr>
  </w:style>
  <w:style w:type="paragraph" w:customStyle="1" w:styleId="preparedby">
    <w:name w:val="prepared by"/>
    <w:basedOn w:val="Normal"/>
    <w:next w:val="Normal"/>
    <w:rsid w:val="00B070BF"/>
    <w:pPr>
      <w:spacing w:after="480" w:line="260" w:lineRule="exact"/>
      <w:ind w:left="1021"/>
    </w:pPr>
    <w:rPr>
      <w:rFonts w:eastAsia="Times New Roman" w:cs="Times New Roman"/>
      <w:i/>
      <w:sz w:val="20"/>
      <w:lang w:val="en-US" w:eastAsia="en-US"/>
    </w:rPr>
  </w:style>
  <w:style w:type="paragraph" w:customStyle="1" w:styleId="Documenttitle">
    <w:name w:val="Document title"/>
    <w:basedOn w:val="Normal"/>
    <w:rsid w:val="00B070BF"/>
    <w:pPr>
      <w:spacing w:before="1200" w:after="120" w:line="260" w:lineRule="exact"/>
      <w:ind w:left="1021"/>
    </w:pPr>
    <w:rPr>
      <w:rFonts w:eastAsia="Times New Roman" w:cs="Times New Roman"/>
      <w:b/>
      <w:caps/>
      <w:sz w:val="20"/>
      <w:lang w:val="en-US" w:eastAsia="en-US"/>
    </w:rPr>
  </w:style>
  <w:style w:type="paragraph" w:customStyle="1" w:styleId="MeetinglanguageDate">
    <w:name w:val="Meeting language &amp; Date"/>
    <w:basedOn w:val="Normal"/>
    <w:next w:val="Meetingtitle"/>
    <w:rsid w:val="00B070BF"/>
    <w:pPr>
      <w:spacing w:after="1680" w:line="160" w:lineRule="exact"/>
      <w:ind w:left="1021"/>
      <w:contextualSpacing/>
      <w:jc w:val="right"/>
    </w:pPr>
    <w:rPr>
      <w:rFonts w:ascii="Arial Black" w:eastAsia="Times New Roman" w:hAnsi="Arial Black" w:cs="Times New Roman"/>
      <w:b/>
      <w:caps/>
      <w:sz w:val="15"/>
      <w:lang w:val="fr-FR" w:eastAsia="en-US"/>
    </w:rPr>
  </w:style>
  <w:style w:type="paragraph" w:customStyle="1" w:styleId="Meetingtitle">
    <w:name w:val="Meeting title"/>
    <w:basedOn w:val="Normal"/>
    <w:next w:val="Sessiontitle"/>
    <w:rsid w:val="00B070BF"/>
    <w:pPr>
      <w:spacing w:after="360" w:line="336" w:lineRule="exact"/>
      <w:ind w:left="1021"/>
    </w:pPr>
    <w:rPr>
      <w:rFonts w:eastAsia="Times New Roman" w:cs="Times New Roman"/>
      <w:b/>
      <w:sz w:val="28"/>
      <w:lang w:val="fr-FR" w:eastAsia="en-US"/>
    </w:rPr>
  </w:style>
  <w:style w:type="paragraph" w:customStyle="1" w:styleId="Sessiontitle">
    <w:name w:val="Session title"/>
    <w:basedOn w:val="Meetingtitle"/>
    <w:next w:val="Meetingdateplace"/>
    <w:rsid w:val="00B070BF"/>
    <w:pPr>
      <w:spacing w:after="0"/>
    </w:pPr>
    <w:rPr>
      <w:sz w:val="24"/>
    </w:rPr>
  </w:style>
  <w:style w:type="paragraph" w:customStyle="1" w:styleId="Meetingdateplace">
    <w:name w:val="Meeting date &amp; place"/>
    <w:basedOn w:val="Sessiontitle"/>
    <w:next w:val="Documenttitle"/>
    <w:rsid w:val="00B070BF"/>
    <w:rPr>
      <w:lang w:val="en-US"/>
    </w:rPr>
  </w:style>
  <w:style w:type="paragraph" w:customStyle="1" w:styleId="Language">
    <w:name w:val="Language"/>
    <w:basedOn w:val="Normal"/>
    <w:next w:val="Normal"/>
    <w:autoRedefine/>
    <w:rsid w:val="00B070BF"/>
    <w:pPr>
      <w:spacing w:after="120" w:line="340" w:lineRule="atLeast"/>
      <w:ind w:left="1021"/>
      <w:jc w:val="right"/>
    </w:pPr>
    <w:rPr>
      <w:rFonts w:eastAsia="Times New Roman" w:cs="Times New Roman"/>
      <w:b/>
      <w:caps/>
      <w:sz w:val="40"/>
      <w:lang w:val="pt-BR" w:eastAsia="en-US"/>
    </w:rPr>
  </w:style>
  <w:style w:type="paragraph" w:customStyle="1" w:styleId="MeetingCode">
    <w:name w:val="Meeting Code"/>
    <w:basedOn w:val="MeetinglanguageDate"/>
    <w:rsid w:val="00B070BF"/>
    <w:pPr>
      <w:spacing w:before="300" w:after="0"/>
    </w:pPr>
  </w:style>
  <w:style w:type="character" w:customStyle="1" w:styleId="CharChar3">
    <w:name w:val="Char Char3"/>
    <w:rsid w:val="00B070BF"/>
    <w:rPr>
      <w:rFonts w:ascii="Arial" w:hAnsi="Arial"/>
      <w:lang w:val="en-US" w:eastAsia="en-US" w:bidi="ar-SA"/>
    </w:rPr>
  </w:style>
  <w:style w:type="paragraph" w:styleId="BlockText">
    <w:name w:val="Block Text"/>
    <w:basedOn w:val="Normal"/>
    <w:rsid w:val="00B070BF"/>
    <w:pPr>
      <w:spacing w:before="60" w:after="60"/>
      <w:ind w:left="266" w:right="142"/>
    </w:pPr>
    <w:rPr>
      <w:rFonts w:ascii="Times New Roman" w:eastAsia="Times New Roman" w:hAnsi="Times New Roman" w:cs="Times New Roman"/>
      <w:lang w:val="en-US" w:eastAsia="en-US"/>
    </w:rPr>
  </w:style>
  <w:style w:type="paragraph" w:customStyle="1" w:styleId="BoxText1">
    <w:name w:val="Box Text1"/>
    <w:basedOn w:val="Normal"/>
    <w:rsid w:val="00B070BF"/>
    <w:pPr>
      <w:ind w:left="284"/>
    </w:pPr>
    <w:rPr>
      <w:rFonts w:ascii="Times New Roman" w:eastAsia="Times New Roman" w:hAnsi="Times New Roman" w:cs="Times New Roman"/>
      <w:snapToGrid w:val="0"/>
      <w:lang w:val="en-US" w:eastAsia="en-US"/>
    </w:rPr>
  </w:style>
  <w:style w:type="paragraph" w:customStyle="1" w:styleId="Normal1">
    <w:name w:val="Normal+1"/>
    <w:basedOn w:val="Normal"/>
    <w:next w:val="Normal"/>
    <w:rsid w:val="00B070BF"/>
    <w:pPr>
      <w:autoSpaceDE w:val="0"/>
      <w:autoSpaceDN w:val="0"/>
      <w:adjustRightInd w:val="0"/>
    </w:pPr>
    <w:rPr>
      <w:rFonts w:eastAsia="Times New Roman" w:cs="Times New Roman"/>
      <w:sz w:val="24"/>
      <w:szCs w:val="24"/>
      <w:lang w:val="en-US" w:eastAsia="en-US"/>
    </w:rPr>
  </w:style>
  <w:style w:type="character" w:customStyle="1" w:styleId="CharChar4">
    <w:name w:val="Char Char4"/>
    <w:rsid w:val="00B070BF"/>
    <w:rPr>
      <w:rFonts w:ascii="Arial" w:hAnsi="Arial"/>
      <w:lang w:val="en-US" w:eastAsia="en-US" w:bidi="ar-SA"/>
    </w:rPr>
  </w:style>
  <w:style w:type="character" w:styleId="FollowedHyperlink">
    <w:name w:val="FollowedHyperlink"/>
    <w:rsid w:val="00B070BF"/>
    <w:rPr>
      <w:color w:val="606420"/>
      <w:u w:val="single"/>
    </w:rPr>
  </w:style>
  <w:style w:type="paragraph" w:customStyle="1" w:styleId="Meetingplacedate">
    <w:name w:val="Meeting place &amp; date"/>
    <w:basedOn w:val="Sessiontitle"/>
    <w:next w:val="Documenttitle"/>
    <w:rsid w:val="00B070BF"/>
    <w:rPr>
      <w:lang w:val="en-US"/>
    </w:rPr>
  </w:style>
  <w:style w:type="character" w:customStyle="1" w:styleId="CharChar6">
    <w:name w:val="Char Char6"/>
    <w:rsid w:val="00B070BF"/>
    <w:rPr>
      <w:rFonts w:ascii="Arial" w:hAnsi="Arial"/>
      <w:lang w:val="en-US" w:eastAsia="en-US" w:bidi="ar-SA"/>
    </w:rPr>
  </w:style>
  <w:style w:type="character" w:customStyle="1" w:styleId="description">
    <w:name w:val="description"/>
    <w:rsid w:val="00B070BF"/>
  </w:style>
  <w:style w:type="paragraph" w:customStyle="1" w:styleId="FreeFormA">
    <w:name w:val="Free Form A"/>
    <w:rsid w:val="00B070BF"/>
    <w:rPr>
      <w:rFonts w:ascii="Helvetica" w:eastAsia="ヒラギノ角ゴ Pro W3" w:hAnsi="Helvetica"/>
      <w:color w:val="000000"/>
      <w:sz w:val="24"/>
    </w:rPr>
  </w:style>
  <w:style w:type="paragraph" w:customStyle="1" w:styleId="Char">
    <w:name w:val="Char 字元 字元"/>
    <w:basedOn w:val="Normal"/>
    <w:rsid w:val="00B070BF"/>
    <w:pPr>
      <w:spacing w:after="160" w:line="240" w:lineRule="exact"/>
    </w:pPr>
    <w:rPr>
      <w:rFonts w:ascii="Verdana" w:eastAsia="PMingLiU" w:hAnsi="Verdana" w:cs="Times New Roman"/>
      <w:sz w:val="20"/>
      <w:lang w:val="en-US" w:eastAsia="en-US"/>
    </w:rPr>
  </w:style>
  <w:style w:type="character" w:customStyle="1" w:styleId="underline">
    <w:name w:val="underline"/>
    <w:rsid w:val="00B070BF"/>
    <w:rPr>
      <w:u w:val="single"/>
    </w:rPr>
  </w:style>
  <w:style w:type="paragraph" w:customStyle="1" w:styleId="FreeForm">
    <w:name w:val="Free Form"/>
    <w:rsid w:val="00B070BF"/>
    <w:rPr>
      <w:rFonts w:eastAsia="ヒラギノ角ゴ Pro W3"/>
      <w:color w:val="000000"/>
    </w:rPr>
  </w:style>
  <w:style w:type="paragraph" w:customStyle="1" w:styleId="Heading2A">
    <w:name w:val="Heading 2 A"/>
    <w:next w:val="Normal"/>
    <w:rsid w:val="00B070BF"/>
    <w:pPr>
      <w:keepNext/>
      <w:tabs>
        <w:tab w:val="left" w:pos="567"/>
        <w:tab w:val="right" w:pos="9072"/>
      </w:tabs>
      <w:ind w:left="1701" w:hanging="1701"/>
      <w:outlineLvl w:val="1"/>
    </w:pPr>
    <w:rPr>
      <w:rFonts w:ascii="Arial Bold" w:eastAsia="ヒラギノ角ゴ Pro W3" w:hAnsi="Arial Bold"/>
      <w:color w:val="000000"/>
      <w:sz w:val="22"/>
    </w:rPr>
  </w:style>
  <w:style w:type="paragraph" w:customStyle="1" w:styleId="Normal-Header">
    <w:name w:val="Normal-Header"/>
    <w:rsid w:val="00B070BF"/>
    <w:rPr>
      <w:rFonts w:ascii="Arial" w:hAnsi="Arial"/>
      <w:sz w:val="16"/>
    </w:rPr>
  </w:style>
  <w:style w:type="paragraph" w:styleId="TOC3">
    <w:name w:val="toc 3"/>
    <w:basedOn w:val="Normal"/>
    <w:next w:val="Normal"/>
    <w:autoRedefine/>
    <w:uiPriority w:val="39"/>
    <w:rsid w:val="00B070BF"/>
    <w:pPr>
      <w:tabs>
        <w:tab w:val="right" w:leader="dot" w:pos="9288"/>
      </w:tabs>
      <w:ind w:left="440"/>
    </w:pPr>
    <w:rPr>
      <w:noProof/>
      <w:lang w:val="en-US"/>
    </w:rPr>
  </w:style>
  <w:style w:type="character" w:customStyle="1" w:styleId="ONUMFSCar">
    <w:name w:val="ONUM FS Car"/>
    <w:basedOn w:val="BodyTextChar"/>
    <w:link w:val="ONUMFS"/>
    <w:rsid w:val="00B070BF"/>
    <w:rPr>
      <w:rFonts w:ascii="Arial" w:eastAsia="SimSun" w:hAnsi="Arial" w:cs="Arial"/>
      <w:sz w:val="22"/>
      <w:lang w:val="es-ES" w:eastAsia="zh-CN"/>
    </w:rPr>
  </w:style>
  <w:style w:type="character" w:customStyle="1" w:styleId="st">
    <w:name w:val="st"/>
    <w:basedOn w:val="DefaultParagraphFont"/>
    <w:rsid w:val="00B070BF"/>
  </w:style>
  <w:style w:type="character" w:styleId="Emphasis">
    <w:name w:val="Emphasis"/>
    <w:uiPriority w:val="20"/>
    <w:qFormat/>
    <w:rsid w:val="00B070BF"/>
    <w:rPr>
      <w:i/>
      <w:iCs/>
    </w:rPr>
  </w:style>
  <w:style w:type="paragraph" w:styleId="DocumentMap">
    <w:name w:val="Document Map"/>
    <w:basedOn w:val="Normal"/>
    <w:link w:val="DocumentMapChar"/>
    <w:rsid w:val="00B070BF"/>
    <w:pPr>
      <w:shd w:val="clear" w:color="auto" w:fill="000080"/>
    </w:pPr>
    <w:rPr>
      <w:rFonts w:ascii="Tahoma" w:hAnsi="Tahoma" w:cs="Tahoma"/>
      <w:sz w:val="20"/>
      <w:lang w:val="en-US"/>
    </w:rPr>
  </w:style>
  <w:style w:type="character" w:customStyle="1" w:styleId="DocumentMapChar">
    <w:name w:val="Document Map Char"/>
    <w:basedOn w:val="DefaultParagraphFont"/>
    <w:link w:val="DocumentMap"/>
    <w:rsid w:val="00B070BF"/>
    <w:rPr>
      <w:rFonts w:ascii="Tahoma" w:eastAsia="SimSun" w:hAnsi="Tahoma" w:cs="Tahoma"/>
      <w:shd w:val="clear" w:color="auto" w:fill="000080"/>
      <w:lang w:eastAsia="zh-CN"/>
    </w:rPr>
  </w:style>
  <w:style w:type="paragraph" w:styleId="TOCHeading">
    <w:name w:val="TOC Heading"/>
    <w:basedOn w:val="Heading1"/>
    <w:next w:val="Normal"/>
    <w:uiPriority w:val="39"/>
    <w:semiHidden/>
    <w:unhideWhenUsed/>
    <w:qFormat/>
    <w:rsid w:val="00B070BF"/>
    <w:pPr>
      <w:keepLines/>
      <w:spacing w:before="480" w:after="0" w:line="276" w:lineRule="auto"/>
      <w:outlineLvl w:val="9"/>
    </w:pPr>
    <w:rPr>
      <w:rFonts w:asciiTheme="majorHAnsi" w:eastAsiaTheme="majorEastAsia" w:hAnsiTheme="majorHAnsi" w:cstheme="majorBidi"/>
      <w:caps w:val="0"/>
      <w:color w:val="365F91" w:themeColor="accent1" w:themeShade="BF"/>
      <w:kern w:val="0"/>
      <w:sz w:val="28"/>
      <w:szCs w:val="28"/>
      <w:lang w:val="en-US"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qFormat="1"/>
    <w:lsdException w:name="Title" w:qFormat="1"/>
    <w:lsdException w:name="Subtitle" w:qFormat="1"/>
    <w:lsdException w:name="Hyperlink" w:uiPriority="99"/>
    <w:lsdException w:name="Strong" w:qFormat="1"/>
    <w:lsdException w:name="Emphasis" w:uiPriority="20"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link w:val="Heading1Char"/>
    <w:qFormat/>
    <w:rsid w:val="00A32C9E"/>
    <w:pPr>
      <w:keepNext/>
      <w:spacing w:before="240" w:after="60"/>
      <w:outlineLvl w:val="0"/>
    </w:pPr>
    <w:rPr>
      <w:b/>
      <w:bCs/>
      <w:caps/>
      <w:kern w:val="32"/>
      <w:szCs w:val="32"/>
    </w:rPr>
  </w:style>
  <w:style w:type="paragraph" w:styleId="Heading2">
    <w:name w:val="heading 2"/>
    <w:basedOn w:val="Normal"/>
    <w:next w:val="Normal"/>
    <w:link w:val="Heading2Char"/>
    <w:qFormat/>
    <w:rsid w:val="00A32C9E"/>
    <w:pPr>
      <w:keepNext/>
      <w:spacing w:before="240" w:after="60"/>
      <w:outlineLvl w:val="1"/>
    </w:pPr>
    <w:rPr>
      <w:bCs/>
      <w:iCs/>
      <w:caps/>
      <w:szCs w:val="28"/>
    </w:rPr>
  </w:style>
  <w:style w:type="paragraph" w:styleId="Heading3">
    <w:name w:val="heading 3"/>
    <w:basedOn w:val="Normal"/>
    <w:next w:val="Normal"/>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link w:val="CommentTextChar"/>
    <w:semiHidden/>
    <w:rsid w:val="00A32C9E"/>
    <w:rPr>
      <w:sz w:val="18"/>
    </w:rPr>
  </w:style>
  <w:style w:type="paragraph" w:styleId="EndnoteText">
    <w:name w:val="endnote text"/>
    <w:basedOn w:val="Normal"/>
    <w:semiHidden/>
    <w:rsid w:val="00A32C9E"/>
    <w:rPr>
      <w:sz w:val="18"/>
    </w:rPr>
  </w:style>
  <w:style w:type="paragraph" w:styleId="Footer">
    <w:name w:val="footer"/>
    <w:basedOn w:val="Normal"/>
    <w:link w:val="FooterChar"/>
    <w:uiPriority w:val="99"/>
    <w:rsid w:val="00A32C9E"/>
    <w:pPr>
      <w:tabs>
        <w:tab w:val="center" w:pos="4320"/>
        <w:tab w:val="right" w:pos="8640"/>
      </w:tabs>
    </w:pPr>
  </w:style>
  <w:style w:type="paragraph" w:styleId="FootnoteText">
    <w:name w:val="footnote text"/>
    <w:basedOn w:val="Normal"/>
    <w:link w:val="FootnoteTextChar"/>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Header">
    <w:name w:val="header"/>
    <w:basedOn w:val="Normal"/>
    <w:link w:val="HeaderChar"/>
    <w:rsid w:val="00A32C9E"/>
    <w:pPr>
      <w:tabs>
        <w:tab w:val="center" w:pos="4536"/>
        <w:tab w:val="right" w:pos="9072"/>
      </w:tabs>
    </w:pPr>
  </w:style>
  <w:style w:type="paragraph" w:styleId="ListNumber">
    <w:name w:val="List Number"/>
    <w:basedOn w:val="Normal"/>
    <w:semiHidden/>
    <w:rsid w:val="00A32C9E"/>
    <w:pPr>
      <w:numPr>
        <w:numId w:val="1"/>
      </w:numPr>
    </w:pPr>
  </w:style>
  <w:style w:type="paragraph" w:customStyle="1" w:styleId="ONUME">
    <w:name w:val="ONUM E"/>
    <w:basedOn w:val="BodyText"/>
    <w:rsid w:val="00A32C9E"/>
    <w:pPr>
      <w:numPr>
        <w:numId w:val="2"/>
      </w:numPr>
    </w:pPr>
  </w:style>
  <w:style w:type="paragraph" w:customStyle="1" w:styleId="ONUMFS">
    <w:name w:val="ONUM FS"/>
    <w:basedOn w:val="BodyText"/>
    <w:link w:val="ONUMFSCar"/>
    <w:rsid w:val="00A32C9E"/>
    <w:pPr>
      <w:numPr>
        <w:numId w:val="3"/>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character" w:styleId="PageNumber">
    <w:name w:val="page number"/>
    <w:basedOn w:val="DefaultParagraphFont"/>
    <w:rsid w:val="000E2A4E"/>
  </w:style>
  <w:style w:type="character" w:customStyle="1" w:styleId="HeaderChar">
    <w:name w:val="Header Char"/>
    <w:link w:val="Header"/>
    <w:locked/>
    <w:rsid w:val="000E2A4E"/>
    <w:rPr>
      <w:rFonts w:ascii="Arial" w:eastAsia="SimSun" w:hAnsi="Arial" w:cs="Arial"/>
      <w:sz w:val="22"/>
      <w:lang w:val="es-ES" w:eastAsia="zh-CN"/>
    </w:rPr>
  </w:style>
  <w:style w:type="character" w:customStyle="1" w:styleId="FooterChar">
    <w:name w:val="Footer Char"/>
    <w:basedOn w:val="DefaultParagraphFont"/>
    <w:link w:val="Footer"/>
    <w:uiPriority w:val="99"/>
    <w:rsid w:val="000E2A4E"/>
    <w:rPr>
      <w:rFonts w:ascii="Arial" w:eastAsia="SimSun" w:hAnsi="Arial" w:cs="Arial"/>
      <w:sz w:val="22"/>
      <w:lang w:val="es-ES" w:eastAsia="zh-CN"/>
    </w:rPr>
  </w:style>
  <w:style w:type="paragraph" w:customStyle="1" w:styleId="DecisionInvitingPara">
    <w:name w:val="Decision Inviting Para."/>
    <w:basedOn w:val="Normal"/>
    <w:rsid w:val="00B070BF"/>
    <w:pPr>
      <w:spacing w:after="120" w:line="260" w:lineRule="exact"/>
      <w:ind w:left="5534"/>
    </w:pPr>
    <w:rPr>
      <w:rFonts w:eastAsia="Times New Roman" w:cs="Times New Roman"/>
      <w:i/>
      <w:sz w:val="20"/>
      <w:lang w:val="en-US" w:eastAsia="en-US"/>
    </w:rPr>
  </w:style>
  <w:style w:type="paragraph" w:styleId="TOC2">
    <w:name w:val="toc 2"/>
    <w:basedOn w:val="Normal"/>
    <w:next w:val="Normal"/>
    <w:autoRedefine/>
    <w:uiPriority w:val="39"/>
    <w:rsid w:val="00B070BF"/>
    <w:pPr>
      <w:tabs>
        <w:tab w:val="right" w:leader="dot" w:pos="9345"/>
      </w:tabs>
      <w:spacing w:after="60"/>
      <w:ind w:left="1985" w:hanging="1764"/>
    </w:pPr>
    <w:rPr>
      <w:lang w:val="en-US"/>
    </w:rPr>
  </w:style>
  <w:style w:type="character" w:styleId="Hyperlink">
    <w:name w:val="Hyperlink"/>
    <w:uiPriority w:val="99"/>
    <w:rsid w:val="00B070BF"/>
    <w:rPr>
      <w:color w:val="0000FF"/>
      <w:u w:val="single"/>
    </w:rPr>
  </w:style>
  <w:style w:type="character" w:customStyle="1" w:styleId="BodyTextChar">
    <w:name w:val="Body Text Char"/>
    <w:link w:val="BodyText"/>
    <w:rsid w:val="00B070BF"/>
    <w:rPr>
      <w:rFonts w:ascii="Arial" w:eastAsia="SimSun" w:hAnsi="Arial" w:cs="Arial"/>
      <w:sz w:val="22"/>
      <w:lang w:val="es-ES" w:eastAsia="zh-CN"/>
    </w:rPr>
  </w:style>
  <w:style w:type="paragraph" w:styleId="TOC1">
    <w:name w:val="toc 1"/>
    <w:basedOn w:val="Normal"/>
    <w:next w:val="Normal"/>
    <w:autoRedefine/>
    <w:uiPriority w:val="39"/>
    <w:rsid w:val="00B070BF"/>
    <w:pPr>
      <w:tabs>
        <w:tab w:val="left" w:pos="440"/>
        <w:tab w:val="right" w:leader="dot" w:pos="9288"/>
      </w:tabs>
      <w:spacing w:after="60"/>
      <w:ind w:left="221"/>
    </w:pPr>
    <w:rPr>
      <w:rFonts w:ascii="Arial Bold" w:hAnsi="Arial Bold" w:cs="Times New Roman"/>
      <w:b/>
      <w:noProof/>
      <w:lang w:val="en-US"/>
    </w:rPr>
  </w:style>
  <w:style w:type="character" w:styleId="FootnoteReference">
    <w:name w:val="footnote reference"/>
    <w:rsid w:val="00B070BF"/>
    <w:rPr>
      <w:vertAlign w:val="superscript"/>
    </w:rPr>
  </w:style>
  <w:style w:type="paragraph" w:customStyle="1" w:styleId="Default">
    <w:name w:val="Default"/>
    <w:rsid w:val="00B070BF"/>
    <w:pPr>
      <w:autoSpaceDE w:val="0"/>
      <w:autoSpaceDN w:val="0"/>
      <w:adjustRightInd w:val="0"/>
    </w:pPr>
    <w:rPr>
      <w:rFonts w:ascii="Arial" w:eastAsia="Batang" w:hAnsi="Arial" w:cs="Arial"/>
      <w:color w:val="000000"/>
      <w:sz w:val="24"/>
      <w:szCs w:val="24"/>
      <w:lang w:eastAsia="ja-JP"/>
    </w:rPr>
  </w:style>
  <w:style w:type="paragraph" w:styleId="NormalWeb">
    <w:name w:val="Normal (Web)"/>
    <w:basedOn w:val="Normal"/>
    <w:rsid w:val="00B070BF"/>
    <w:pPr>
      <w:spacing w:before="100" w:beforeAutospacing="1" w:after="100" w:afterAutospacing="1"/>
    </w:pPr>
    <w:rPr>
      <w:rFonts w:eastAsia="Times New Roman"/>
      <w:sz w:val="18"/>
      <w:szCs w:val="18"/>
      <w:lang w:val="en-US" w:eastAsia="en-US"/>
    </w:rPr>
  </w:style>
  <w:style w:type="character" w:customStyle="1" w:styleId="FootnoteTextChar">
    <w:name w:val="Footnote Text Char"/>
    <w:link w:val="FootnoteText"/>
    <w:semiHidden/>
    <w:locked/>
    <w:rsid w:val="00B070BF"/>
    <w:rPr>
      <w:rFonts w:ascii="Arial" w:eastAsia="SimSun" w:hAnsi="Arial" w:cs="Arial"/>
      <w:sz w:val="18"/>
      <w:lang w:val="es-ES" w:eastAsia="zh-CN"/>
    </w:rPr>
  </w:style>
  <w:style w:type="table" w:styleId="TableGrid">
    <w:name w:val="Table Grid"/>
    <w:basedOn w:val="TableNormal"/>
    <w:rsid w:val="00B070BF"/>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rsid w:val="00B070BF"/>
    <w:rPr>
      <w:sz w:val="16"/>
      <w:szCs w:val="16"/>
    </w:rPr>
  </w:style>
  <w:style w:type="paragraph" w:customStyle="1" w:styleId="StyleStyleHeading3ComplexItalicLatin12pt">
    <w:name w:val="Style Style Heading 3 + (Complex) Italic + (Latin) 12 pt"/>
    <w:basedOn w:val="Normal"/>
    <w:link w:val="StyleStyleHeading3ComplexItalicLatin12ptChar"/>
    <w:rsid w:val="00B070BF"/>
    <w:pPr>
      <w:keepNext/>
      <w:tabs>
        <w:tab w:val="left" w:pos="1985"/>
      </w:tabs>
      <w:outlineLvl w:val="2"/>
    </w:pPr>
    <w:rPr>
      <w:rFonts w:ascii="Times New Roman" w:eastAsia="Times New Roman" w:hAnsi="Times New Roman" w:cs="Times New Roman"/>
      <w:b/>
      <w:iCs/>
      <w:caps/>
      <w:sz w:val="24"/>
      <w:szCs w:val="22"/>
      <w:lang w:val="en-US" w:eastAsia="en-US"/>
    </w:rPr>
  </w:style>
  <w:style w:type="character" w:customStyle="1" w:styleId="StyleStyleHeading3ComplexItalicLatin12ptChar">
    <w:name w:val="Style Style Heading 3 + (Complex) Italic + (Latin) 12 pt Char"/>
    <w:link w:val="StyleStyleHeading3ComplexItalicLatin12pt"/>
    <w:rsid w:val="00B070BF"/>
    <w:rPr>
      <w:b/>
      <w:iCs/>
      <w:caps/>
      <w:sz w:val="24"/>
      <w:szCs w:val="22"/>
    </w:rPr>
  </w:style>
  <w:style w:type="paragraph" w:customStyle="1" w:styleId="BodyA">
    <w:name w:val="Body A"/>
    <w:link w:val="BodyAChar"/>
    <w:rsid w:val="00B070BF"/>
    <w:rPr>
      <w:rFonts w:ascii="Helvetica" w:eastAsia="ヒラギノ角ゴ Pro W3" w:hAnsi="Helvetica"/>
      <w:color w:val="000000"/>
      <w:sz w:val="24"/>
    </w:rPr>
  </w:style>
  <w:style w:type="character" w:customStyle="1" w:styleId="BodyAChar">
    <w:name w:val="Body A Char"/>
    <w:link w:val="BodyA"/>
    <w:rsid w:val="00B070BF"/>
    <w:rPr>
      <w:rFonts w:ascii="Helvetica" w:eastAsia="ヒラギノ角ゴ Pro W3" w:hAnsi="Helvetica"/>
      <w:color w:val="000000"/>
      <w:sz w:val="24"/>
    </w:rPr>
  </w:style>
  <w:style w:type="paragraph" w:styleId="BodyText2">
    <w:name w:val="Body Text 2"/>
    <w:basedOn w:val="Normal"/>
    <w:link w:val="BodyText2Char"/>
    <w:rsid w:val="00B070BF"/>
    <w:pPr>
      <w:spacing w:after="120" w:line="480" w:lineRule="auto"/>
    </w:pPr>
    <w:rPr>
      <w:rFonts w:ascii="Times New Roman" w:eastAsia="MS Mincho" w:hAnsi="Times New Roman" w:cs="Times New Roman"/>
      <w:sz w:val="24"/>
      <w:szCs w:val="24"/>
      <w:lang w:val="en-US" w:eastAsia="en-US"/>
    </w:rPr>
  </w:style>
  <w:style w:type="character" w:customStyle="1" w:styleId="BodyText2Char">
    <w:name w:val="Body Text 2 Char"/>
    <w:basedOn w:val="DefaultParagraphFont"/>
    <w:link w:val="BodyText2"/>
    <w:rsid w:val="00B070BF"/>
    <w:rPr>
      <w:rFonts w:eastAsia="MS Mincho"/>
      <w:sz w:val="24"/>
      <w:szCs w:val="24"/>
    </w:rPr>
  </w:style>
  <w:style w:type="paragraph" w:styleId="ListParagraph">
    <w:name w:val="List Paragraph"/>
    <w:basedOn w:val="Normal"/>
    <w:qFormat/>
    <w:rsid w:val="00B070BF"/>
    <w:pPr>
      <w:ind w:left="720"/>
    </w:pPr>
    <w:rPr>
      <w:rFonts w:ascii="Times New Roman" w:eastAsia="Times New Roman" w:hAnsi="Times New Roman" w:cs="Times New Roman"/>
      <w:sz w:val="24"/>
      <w:lang w:val="en-US" w:eastAsia="en-US"/>
    </w:rPr>
  </w:style>
  <w:style w:type="character" w:customStyle="1" w:styleId="Heading2Char">
    <w:name w:val="Heading 2 Char"/>
    <w:link w:val="Heading2"/>
    <w:rsid w:val="00B070BF"/>
    <w:rPr>
      <w:rFonts w:ascii="Arial" w:eastAsia="SimSun" w:hAnsi="Arial" w:cs="Arial"/>
      <w:bCs/>
      <w:iCs/>
      <w:caps/>
      <w:sz w:val="22"/>
      <w:szCs w:val="28"/>
      <w:lang w:val="es-ES" w:eastAsia="zh-CN"/>
    </w:rPr>
  </w:style>
  <w:style w:type="paragraph" w:styleId="BalloonText">
    <w:name w:val="Balloon Text"/>
    <w:basedOn w:val="Normal"/>
    <w:link w:val="BalloonTextChar"/>
    <w:rsid w:val="00B070BF"/>
    <w:rPr>
      <w:rFonts w:ascii="Tahoma" w:hAnsi="Tahoma" w:cs="Tahoma"/>
      <w:sz w:val="16"/>
      <w:szCs w:val="16"/>
      <w:lang w:val="en-US"/>
    </w:rPr>
  </w:style>
  <w:style w:type="character" w:customStyle="1" w:styleId="BalloonTextChar">
    <w:name w:val="Balloon Text Char"/>
    <w:basedOn w:val="DefaultParagraphFont"/>
    <w:link w:val="BalloonText"/>
    <w:rsid w:val="00B070BF"/>
    <w:rPr>
      <w:rFonts w:ascii="Tahoma" w:eastAsia="SimSun" w:hAnsi="Tahoma" w:cs="Tahoma"/>
      <w:sz w:val="16"/>
      <w:szCs w:val="16"/>
      <w:lang w:eastAsia="zh-CN"/>
    </w:rPr>
  </w:style>
  <w:style w:type="character" w:customStyle="1" w:styleId="Heading1Char">
    <w:name w:val="Heading 1 Char"/>
    <w:link w:val="Heading1"/>
    <w:locked/>
    <w:rsid w:val="00B070BF"/>
    <w:rPr>
      <w:rFonts w:ascii="Arial" w:eastAsia="SimSun" w:hAnsi="Arial" w:cs="Arial"/>
      <w:b/>
      <w:bCs/>
      <w:caps/>
      <w:kern w:val="32"/>
      <w:sz w:val="22"/>
      <w:szCs w:val="32"/>
      <w:lang w:val="es-ES" w:eastAsia="zh-CN"/>
    </w:rPr>
  </w:style>
  <w:style w:type="paragraph" w:customStyle="1" w:styleId="Test">
    <w:name w:val="Test"/>
    <w:basedOn w:val="Normal"/>
    <w:qFormat/>
    <w:rsid w:val="00B070BF"/>
    <w:pPr>
      <w:numPr>
        <w:numId w:val="29"/>
      </w:numPr>
    </w:pPr>
    <w:rPr>
      <w:rFonts w:eastAsia="Times New Roman"/>
      <w:szCs w:val="22"/>
      <w:lang w:val="en-US" w:eastAsia="en-US"/>
    </w:rPr>
  </w:style>
  <w:style w:type="paragraph" w:customStyle="1" w:styleId="ListBullets1">
    <w:name w:val="ListBullets1"/>
    <w:basedOn w:val="Normal"/>
    <w:rsid w:val="00B070BF"/>
    <w:pPr>
      <w:numPr>
        <w:numId w:val="38"/>
      </w:numPr>
      <w:suppressAutoHyphens/>
    </w:pPr>
    <w:rPr>
      <w:lang w:val="en-US" w:eastAsia="ar-SA"/>
    </w:rPr>
  </w:style>
  <w:style w:type="paragraph" w:customStyle="1" w:styleId="CharCharCharChar">
    <w:name w:val="Char Char Char Char"/>
    <w:basedOn w:val="Normal"/>
    <w:rsid w:val="00B070BF"/>
    <w:pPr>
      <w:spacing w:after="160" w:line="240" w:lineRule="exact"/>
    </w:pPr>
    <w:rPr>
      <w:rFonts w:ascii="Verdana" w:eastAsia="Times New Roman" w:hAnsi="Verdana" w:cs="Times New Roman"/>
      <w:sz w:val="20"/>
      <w:lang w:val="en-GB" w:eastAsia="en-US"/>
    </w:rPr>
  </w:style>
  <w:style w:type="paragraph" w:styleId="BodyTextIndent">
    <w:name w:val="Body Text Indent"/>
    <w:basedOn w:val="Normal"/>
    <w:link w:val="BodyTextIndentChar"/>
    <w:rsid w:val="00B070BF"/>
    <w:pPr>
      <w:ind w:left="567"/>
    </w:pPr>
    <w:rPr>
      <w:rFonts w:ascii="Times New Roman" w:eastAsia="Times New Roman" w:hAnsi="Times New Roman" w:cs="Times New Roman"/>
      <w:sz w:val="24"/>
      <w:lang w:val="en-US" w:eastAsia="en-US"/>
    </w:rPr>
  </w:style>
  <w:style w:type="character" w:customStyle="1" w:styleId="BodyTextIndentChar">
    <w:name w:val="Body Text Indent Char"/>
    <w:basedOn w:val="DefaultParagraphFont"/>
    <w:link w:val="BodyTextIndent"/>
    <w:rsid w:val="00B070BF"/>
    <w:rPr>
      <w:sz w:val="24"/>
    </w:rPr>
  </w:style>
  <w:style w:type="character" w:customStyle="1" w:styleId="CharChar">
    <w:name w:val="Char Char"/>
    <w:locked/>
    <w:rsid w:val="00B070BF"/>
    <w:rPr>
      <w:rFonts w:ascii="Arial" w:hAnsi="Arial" w:cs="Times New Roman"/>
      <w:lang w:val="en-US" w:eastAsia="en-US" w:bidi="ar-SA"/>
    </w:rPr>
  </w:style>
  <w:style w:type="paragraph" w:customStyle="1" w:styleId="CarCar">
    <w:name w:val="Car Car"/>
    <w:basedOn w:val="Normal"/>
    <w:rsid w:val="00B070BF"/>
    <w:pPr>
      <w:spacing w:after="160" w:line="240" w:lineRule="exact"/>
    </w:pPr>
    <w:rPr>
      <w:rFonts w:ascii="Verdana" w:eastAsia="Times New Roman" w:hAnsi="Verdana" w:cs="Times New Roman"/>
      <w:sz w:val="20"/>
      <w:lang w:val="en-GB" w:eastAsia="en-US"/>
    </w:rPr>
  </w:style>
  <w:style w:type="paragraph" w:styleId="CommentSubject">
    <w:name w:val="annotation subject"/>
    <w:basedOn w:val="CommentText"/>
    <w:next w:val="CommentText"/>
    <w:link w:val="CommentSubjectChar"/>
    <w:rsid w:val="00B070BF"/>
    <w:rPr>
      <w:rFonts w:ascii="Times New Roman" w:eastAsia="Times New Roman" w:hAnsi="Times New Roman" w:cs="Times New Roman"/>
      <w:b/>
      <w:bCs/>
      <w:sz w:val="20"/>
      <w:lang w:val="en-US" w:eastAsia="en-US"/>
    </w:rPr>
  </w:style>
  <w:style w:type="character" w:customStyle="1" w:styleId="CommentTextChar">
    <w:name w:val="Comment Text Char"/>
    <w:basedOn w:val="DefaultParagraphFont"/>
    <w:link w:val="CommentText"/>
    <w:semiHidden/>
    <w:rsid w:val="00B070BF"/>
    <w:rPr>
      <w:rFonts w:ascii="Arial" w:eastAsia="SimSun" w:hAnsi="Arial" w:cs="Arial"/>
      <w:sz w:val="18"/>
      <w:lang w:val="es-ES" w:eastAsia="zh-CN"/>
    </w:rPr>
  </w:style>
  <w:style w:type="character" w:customStyle="1" w:styleId="CommentSubjectChar">
    <w:name w:val="Comment Subject Char"/>
    <w:basedOn w:val="CommentTextChar"/>
    <w:link w:val="CommentSubject"/>
    <w:rsid w:val="00B070BF"/>
    <w:rPr>
      <w:rFonts w:ascii="Arial" w:eastAsia="SimSun" w:hAnsi="Arial" w:cs="Arial"/>
      <w:b/>
      <w:bCs/>
      <w:sz w:val="18"/>
      <w:lang w:val="es-ES" w:eastAsia="zh-CN"/>
    </w:rPr>
  </w:style>
  <w:style w:type="character" w:customStyle="1" w:styleId="CharChar2">
    <w:name w:val="Char Char2"/>
    <w:rsid w:val="00B070BF"/>
    <w:rPr>
      <w:rFonts w:ascii="Arial" w:hAnsi="Arial"/>
      <w:lang w:val="en-US" w:eastAsia="en-US" w:bidi="ar-SA"/>
    </w:rPr>
  </w:style>
  <w:style w:type="paragraph" w:customStyle="1" w:styleId="Indicators">
    <w:name w:val="Indicators"/>
    <w:basedOn w:val="Normal"/>
    <w:link w:val="IndicatorsChar"/>
    <w:rsid w:val="00B070BF"/>
    <w:pPr>
      <w:spacing w:before="120"/>
      <w:ind w:left="284" w:right="170"/>
    </w:pPr>
    <w:rPr>
      <w:rFonts w:eastAsia="Times New Roman" w:cs="Times New Roman"/>
      <w:sz w:val="20"/>
      <w:lang w:val="en-US" w:eastAsia="en-US"/>
    </w:rPr>
  </w:style>
  <w:style w:type="character" w:customStyle="1" w:styleId="IndicatorsChar">
    <w:name w:val="Indicators Char"/>
    <w:link w:val="Indicators"/>
    <w:rsid w:val="00B070BF"/>
    <w:rPr>
      <w:rFonts w:ascii="Arial" w:hAnsi="Arial"/>
    </w:rPr>
  </w:style>
  <w:style w:type="paragraph" w:customStyle="1" w:styleId="preparedby">
    <w:name w:val="prepared by"/>
    <w:basedOn w:val="Normal"/>
    <w:next w:val="Normal"/>
    <w:rsid w:val="00B070BF"/>
    <w:pPr>
      <w:spacing w:after="480" w:line="260" w:lineRule="exact"/>
      <w:ind w:left="1021"/>
    </w:pPr>
    <w:rPr>
      <w:rFonts w:eastAsia="Times New Roman" w:cs="Times New Roman"/>
      <w:i/>
      <w:sz w:val="20"/>
      <w:lang w:val="en-US" w:eastAsia="en-US"/>
    </w:rPr>
  </w:style>
  <w:style w:type="paragraph" w:customStyle="1" w:styleId="Documenttitle">
    <w:name w:val="Document title"/>
    <w:basedOn w:val="Normal"/>
    <w:rsid w:val="00B070BF"/>
    <w:pPr>
      <w:spacing w:before="1200" w:after="120" w:line="260" w:lineRule="exact"/>
      <w:ind w:left="1021"/>
    </w:pPr>
    <w:rPr>
      <w:rFonts w:eastAsia="Times New Roman" w:cs="Times New Roman"/>
      <w:b/>
      <w:caps/>
      <w:sz w:val="20"/>
      <w:lang w:val="en-US" w:eastAsia="en-US"/>
    </w:rPr>
  </w:style>
  <w:style w:type="paragraph" w:customStyle="1" w:styleId="MeetinglanguageDate">
    <w:name w:val="Meeting language &amp; Date"/>
    <w:basedOn w:val="Normal"/>
    <w:next w:val="Meetingtitle"/>
    <w:rsid w:val="00B070BF"/>
    <w:pPr>
      <w:spacing w:after="1680" w:line="160" w:lineRule="exact"/>
      <w:ind w:left="1021"/>
      <w:contextualSpacing/>
      <w:jc w:val="right"/>
    </w:pPr>
    <w:rPr>
      <w:rFonts w:ascii="Arial Black" w:eastAsia="Times New Roman" w:hAnsi="Arial Black" w:cs="Times New Roman"/>
      <w:b/>
      <w:caps/>
      <w:sz w:val="15"/>
      <w:lang w:val="fr-FR" w:eastAsia="en-US"/>
    </w:rPr>
  </w:style>
  <w:style w:type="paragraph" w:customStyle="1" w:styleId="Meetingtitle">
    <w:name w:val="Meeting title"/>
    <w:basedOn w:val="Normal"/>
    <w:next w:val="Sessiontitle"/>
    <w:rsid w:val="00B070BF"/>
    <w:pPr>
      <w:spacing w:after="360" w:line="336" w:lineRule="exact"/>
      <w:ind w:left="1021"/>
    </w:pPr>
    <w:rPr>
      <w:rFonts w:eastAsia="Times New Roman" w:cs="Times New Roman"/>
      <w:b/>
      <w:sz w:val="28"/>
      <w:lang w:val="fr-FR" w:eastAsia="en-US"/>
    </w:rPr>
  </w:style>
  <w:style w:type="paragraph" w:customStyle="1" w:styleId="Sessiontitle">
    <w:name w:val="Session title"/>
    <w:basedOn w:val="Meetingtitle"/>
    <w:next w:val="Meetingdateplace"/>
    <w:rsid w:val="00B070BF"/>
    <w:pPr>
      <w:spacing w:after="0"/>
    </w:pPr>
    <w:rPr>
      <w:sz w:val="24"/>
    </w:rPr>
  </w:style>
  <w:style w:type="paragraph" w:customStyle="1" w:styleId="Meetingdateplace">
    <w:name w:val="Meeting date &amp; place"/>
    <w:basedOn w:val="Sessiontitle"/>
    <w:next w:val="Documenttitle"/>
    <w:rsid w:val="00B070BF"/>
    <w:rPr>
      <w:lang w:val="en-US"/>
    </w:rPr>
  </w:style>
  <w:style w:type="paragraph" w:customStyle="1" w:styleId="Language">
    <w:name w:val="Language"/>
    <w:basedOn w:val="Normal"/>
    <w:next w:val="Normal"/>
    <w:autoRedefine/>
    <w:rsid w:val="00B070BF"/>
    <w:pPr>
      <w:spacing w:after="120" w:line="340" w:lineRule="atLeast"/>
      <w:ind w:left="1021"/>
      <w:jc w:val="right"/>
    </w:pPr>
    <w:rPr>
      <w:rFonts w:eastAsia="Times New Roman" w:cs="Times New Roman"/>
      <w:b/>
      <w:caps/>
      <w:sz w:val="40"/>
      <w:lang w:val="pt-BR" w:eastAsia="en-US"/>
    </w:rPr>
  </w:style>
  <w:style w:type="paragraph" w:customStyle="1" w:styleId="MeetingCode">
    <w:name w:val="Meeting Code"/>
    <w:basedOn w:val="MeetinglanguageDate"/>
    <w:rsid w:val="00B070BF"/>
    <w:pPr>
      <w:spacing w:before="300" w:after="0"/>
    </w:pPr>
  </w:style>
  <w:style w:type="character" w:customStyle="1" w:styleId="CharChar3">
    <w:name w:val="Char Char3"/>
    <w:rsid w:val="00B070BF"/>
    <w:rPr>
      <w:rFonts w:ascii="Arial" w:hAnsi="Arial"/>
      <w:lang w:val="en-US" w:eastAsia="en-US" w:bidi="ar-SA"/>
    </w:rPr>
  </w:style>
  <w:style w:type="paragraph" w:styleId="BlockText">
    <w:name w:val="Block Text"/>
    <w:basedOn w:val="Normal"/>
    <w:rsid w:val="00B070BF"/>
    <w:pPr>
      <w:spacing w:before="60" w:after="60"/>
      <w:ind w:left="266" w:right="142"/>
    </w:pPr>
    <w:rPr>
      <w:rFonts w:ascii="Times New Roman" w:eastAsia="Times New Roman" w:hAnsi="Times New Roman" w:cs="Times New Roman"/>
      <w:lang w:val="en-US" w:eastAsia="en-US"/>
    </w:rPr>
  </w:style>
  <w:style w:type="paragraph" w:customStyle="1" w:styleId="BoxText1">
    <w:name w:val="Box Text1"/>
    <w:basedOn w:val="Normal"/>
    <w:rsid w:val="00B070BF"/>
    <w:pPr>
      <w:ind w:left="284"/>
    </w:pPr>
    <w:rPr>
      <w:rFonts w:ascii="Times New Roman" w:eastAsia="Times New Roman" w:hAnsi="Times New Roman" w:cs="Times New Roman"/>
      <w:snapToGrid w:val="0"/>
      <w:lang w:val="en-US" w:eastAsia="en-US"/>
    </w:rPr>
  </w:style>
  <w:style w:type="paragraph" w:customStyle="1" w:styleId="Normal1">
    <w:name w:val="Normal+1"/>
    <w:basedOn w:val="Normal"/>
    <w:next w:val="Normal"/>
    <w:rsid w:val="00B070BF"/>
    <w:pPr>
      <w:autoSpaceDE w:val="0"/>
      <w:autoSpaceDN w:val="0"/>
      <w:adjustRightInd w:val="0"/>
    </w:pPr>
    <w:rPr>
      <w:rFonts w:eastAsia="Times New Roman" w:cs="Times New Roman"/>
      <w:sz w:val="24"/>
      <w:szCs w:val="24"/>
      <w:lang w:val="en-US" w:eastAsia="en-US"/>
    </w:rPr>
  </w:style>
  <w:style w:type="character" w:customStyle="1" w:styleId="CharChar4">
    <w:name w:val="Char Char4"/>
    <w:rsid w:val="00B070BF"/>
    <w:rPr>
      <w:rFonts w:ascii="Arial" w:hAnsi="Arial"/>
      <w:lang w:val="en-US" w:eastAsia="en-US" w:bidi="ar-SA"/>
    </w:rPr>
  </w:style>
  <w:style w:type="character" w:styleId="FollowedHyperlink">
    <w:name w:val="FollowedHyperlink"/>
    <w:rsid w:val="00B070BF"/>
    <w:rPr>
      <w:color w:val="606420"/>
      <w:u w:val="single"/>
    </w:rPr>
  </w:style>
  <w:style w:type="paragraph" w:customStyle="1" w:styleId="Meetingplacedate">
    <w:name w:val="Meeting place &amp; date"/>
    <w:basedOn w:val="Sessiontitle"/>
    <w:next w:val="Documenttitle"/>
    <w:rsid w:val="00B070BF"/>
    <w:rPr>
      <w:lang w:val="en-US"/>
    </w:rPr>
  </w:style>
  <w:style w:type="character" w:customStyle="1" w:styleId="CharChar6">
    <w:name w:val="Char Char6"/>
    <w:rsid w:val="00B070BF"/>
    <w:rPr>
      <w:rFonts w:ascii="Arial" w:hAnsi="Arial"/>
      <w:lang w:val="en-US" w:eastAsia="en-US" w:bidi="ar-SA"/>
    </w:rPr>
  </w:style>
  <w:style w:type="character" w:customStyle="1" w:styleId="description">
    <w:name w:val="description"/>
    <w:rsid w:val="00B070BF"/>
  </w:style>
  <w:style w:type="paragraph" w:customStyle="1" w:styleId="FreeFormA">
    <w:name w:val="Free Form A"/>
    <w:rsid w:val="00B070BF"/>
    <w:rPr>
      <w:rFonts w:ascii="Helvetica" w:eastAsia="ヒラギノ角ゴ Pro W3" w:hAnsi="Helvetica"/>
      <w:color w:val="000000"/>
      <w:sz w:val="24"/>
    </w:rPr>
  </w:style>
  <w:style w:type="paragraph" w:customStyle="1" w:styleId="Char">
    <w:name w:val="Char 字元 字元"/>
    <w:basedOn w:val="Normal"/>
    <w:rsid w:val="00B070BF"/>
    <w:pPr>
      <w:spacing w:after="160" w:line="240" w:lineRule="exact"/>
    </w:pPr>
    <w:rPr>
      <w:rFonts w:ascii="Verdana" w:eastAsia="PMingLiU" w:hAnsi="Verdana" w:cs="Times New Roman"/>
      <w:sz w:val="20"/>
      <w:lang w:val="en-US" w:eastAsia="en-US"/>
    </w:rPr>
  </w:style>
  <w:style w:type="character" w:customStyle="1" w:styleId="underline">
    <w:name w:val="underline"/>
    <w:rsid w:val="00B070BF"/>
    <w:rPr>
      <w:u w:val="single"/>
    </w:rPr>
  </w:style>
  <w:style w:type="paragraph" w:customStyle="1" w:styleId="FreeForm">
    <w:name w:val="Free Form"/>
    <w:rsid w:val="00B070BF"/>
    <w:rPr>
      <w:rFonts w:eastAsia="ヒラギノ角ゴ Pro W3"/>
      <w:color w:val="000000"/>
    </w:rPr>
  </w:style>
  <w:style w:type="paragraph" w:customStyle="1" w:styleId="Heading2A">
    <w:name w:val="Heading 2 A"/>
    <w:next w:val="Normal"/>
    <w:rsid w:val="00B070BF"/>
    <w:pPr>
      <w:keepNext/>
      <w:tabs>
        <w:tab w:val="left" w:pos="567"/>
        <w:tab w:val="right" w:pos="9072"/>
      </w:tabs>
      <w:ind w:left="1701" w:hanging="1701"/>
      <w:outlineLvl w:val="1"/>
    </w:pPr>
    <w:rPr>
      <w:rFonts w:ascii="Arial Bold" w:eastAsia="ヒラギノ角ゴ Pro W3" w:hAnsi="Arial Bold"/>
      <w:color w:val="000000"/>
      <w:sz w:val="22"/>
    </w:rPr>
  </w:style>
  <w:style w:type="paragraph" w:customStyle="1" w:styleId="Normal-Header">
    <w:name w:val="Normal-Header"/>
    <w:rsid w:val="00B070BF"/>
    <w:rPr>
      <w:rFonts w:ascii="Arial" w:hAnsi="Arial"/>
      <w:sz w:val="16"/>
    </w:rPr>
  </w:style>
  <w:style w:type="paragraph" w:styleId="TOC3">
    <w:name w:val="toc 3"/>
    <w:basedOn w:val="Normal"/>
    <w:next w:val="Normal"/>
    <w:autoRedefine/>
    <w:uiPriority w:val="39"/>
    <w:rsid w:val="00B070BF"/>
    <w:pPr>
      <w:tabs>
        <w:tab w:val="right" w:leader="dot" w:pos="9288"/>
      </w:tabs>
      <w:ind w:left="440"/>
    </w:pPr>
    <w:rPr>
      <w:noProof/>
      <w:lang w:val="en-US"/>
    </w:rPr>
  </w:style>
  <w:style w:type="character" w:customStyle="1" w:styleId="ONUMFSCar">
    <w:name w:val="ONUM FS Car"/>
    <w:basedOn w:val="BodyTextChar"/>
    <w:link w:val="ONUMFS"/>
    <w:rsid w:val="00B070BF"/>
    <w:rPr>
      <w:rFonts w:ascii="Arial" w:eastAsia="SimSun" w:hAnsi="Arial" w:cs="Arial"/>
      <w:sz w:val="22"/>
      <w:lang w:val="es-ES" w:eastAsia="zh-CN"/>
    </w:rPr>
  </w:style>
  <w:style w:type="character" w:customStyle="1" w:styleId="st">
    <w:name w:val="st"/>
    <w:basedOn w:val="DefaultParagraphFont"/>
    <w:rsid w:val="00B070BF"/>
  </w:style>
  <w:style w:type="character" w:styleId="Emphasis">
    <w:name w:val="Emphasis"/>
    <w:uiPriority w:val="20"/>
    <w:qFormat/>
    <w:rsid w:val="00B070BF"/>
    <w:rPr>
      <w:i/>
      <w:iCs/>
    </w:rPr>
  </w:style>
  <w:style w:type="paragraph" w:styleId="DocumentMap">
    <w:name w:val="Document Map"/>
    <w:basedOn w:val="Normal"/>
    <w:link w:val="DocumentMapChar"/>
    <w:rsid w:val="00B070BF"/>
    <w:pPr>
      <w:shd w:val="clear" w:color="auto" w:fill="000080"/>
    </w:pPr>
    <w:rPr>
      <w:rFonts w:ascii="Tahoma" w:hAnsi="Tahoma" w:cs="Tahoma"/>
      <w:sz w:val="20"/>
      <w:lang w:val="en-US"/>
    </w:rPr>
  </w:style>
  <w:style w:type="character" w:customStyle="1" w:styleId="DocumentMapChar">
    <w:name w:val="Document Map Char"/>
    <w:basedOn w:val="DefaultParagraphFont"/>
    <w:link w:val="DocumentMap"/>
    <w:rsid w:val="00B070BF"/>
    <w:rPr>
      <w:rFonts w:ascii="Tahoma" w:eastAsia="SimSun" w:hAnsi="Tahoma" w:cs="Tahoma"/>
      <w:shd w:val="clear" w:color="auto" w:fill="000080"/>
      <w:lang w:eastAsia="zh-CN"/>
    </w:rPr>
  </w:style>
  <w:style w:type="paragraph" w:styleId="TOCHeading">
    <w:name w:val="TOC Heading"/>
    <w:basedOn w:val="Heading1"/>
    <w:next w:val="Normal"/>
    <w:uiPriority w:val="39"/>
    <w:semiHidden/>
    <w:unhideWhenUsed/>
    <w:qFormat/>
    <w:rsid w:val="00B070BF"/>
    <w:pPr>
      <w:keepLines/>
      <w:spacing w:before="480" w:after="0" w:line="276" w:lineRule="auto"/>
      <w:outlineLvl w:val="9"/>
    </w:pPr>
    <w:rPr>
      <w:rFonts w:asciiTheme="majorHAnsi" w:eastAsiaTheme="majorEastAsia" w:hAnsiTheme="majorHAnsi" w:cstheme="majorBidi"/>
      <w:caps w:val="0"/>
      <w:color w:val="365F91" w:themeColor="accent1" w:themeShade="BF"/>
      <w:kern w:val="0"/>
      <w:sz w:val="28"/>
      <w:szCs w:val="28"/>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10.emf"/><Relationship Id="rId21" Type="http://schemas.openxmlformats.org/officeDocument/2006/relationships/image" Target="media/image5.emf"/><Relationship Id="rId42" Type="http://schemas.openxmlformats.org/officeDocument/2006/relationships/image" Target="media/image26.emf"/><Relationship Id="rId47" Type="http://schemas.openxmlformats.org/officeDocument/2006/relationships/image" Target="media/image31.emf"/><Relationship Id="rId63" Type="http://schemas.openxmlformats.org/officeDocument/2006/relationships/image" Target="media/image44.emf"/><Relationship Id="rId68" Type="http://schemas.openxmlformats.org/officeDocument/2006/relationships/image" Target="media/image49.emf"/><Relationship Id="rId84" Type="http://schemas.openxmlformats.org/officeDocument/2006/relationships/image" Target="media/image65.emf"/><Relationship Id="rId89" Type="http://schemas.openxmlformats.org/officeDocument/2006/relationships/image" Target="media/image70.emf"/><Relationship Id="rId7" Type="http://schemas.openxmlformats.org/officeDocument/2006/relationships/endnotes" Target="endnotes.xml"/><Relationship Id="rId71" Type="http://schemas.openxmlformats.org/officeDocument/2006/relationships/image" Target="media/image52.emf"/><Relationship Id="rId92" Type="http://schemas.openxmlformats.org/officeDocument/2006/relationships/image" Target="media/image73.e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image" Target="media/image13.emf"/><Relationship Id="rId107" Type="http://schemas.openxmlformats.org/officeDocument/2006/relationships/theme" Target="theme/theme1.xml"/><Relationship Id="rId11" Type="http://schemas.openxmlformats.org/officeDocument/2006/relationships/footer" Target="footer1.xml"/><Relationship Id="rId24" Type="http://schemas.openxmlformats.org/officeDocument/2006/relationships/image" Target="media/image8.emf"/><Relationship Id="rId32" Type="http://schemas.openxmlformats.org/officeDocument/2006/relationships/image" Target="media/image16.png"/><Relationship Id="rId37" Type="http://schemas.openxmlformats.org/officeDocument/2006/relationships/image" Target="media/image21.emf"/><Relationship Id="rId40" Type="http://schemas.openxmlformats.org/officeDocument/2006/relationships/image" Target="media/image24.emf"/><Relationship Id="rId45" Type="http://schemas.openxmlformats.org/officeDocument/2006/relationships/image" Target="media/image29.emf"/><Relationship Id="rId53" Type="http://schemas.openxmlformats.org/officeDocument/2006/relationships/image" Target="media/image34.emf"/><Relationship Id="rId58" Type="http://schemas.openxmlformats.org/officeDocument/2006/relationships/image" Target="media/image39.emf"/><Relationship Id="rId66" Type="http://schemas.openxmlformats.org/officeDocument/2006/relationships/image" Target="media/image47.emf"/><Relationship Id="rId74" Type="http://schemas.openxmlformats.org/officeDocument/2006/relationships/image" Target="media/image55.emf"/><Relationship Id="rId79" Type="http://schemas.openxmlformats.org/officeDocument/2006/relationships/image" Target="media/image60.emf"/><Relationship Id="rId87" Type="http://schemas.openxmlformats.org/officeDocument/2006/relationships/image" Target="media/image68.emf"/><Relationship Id="rId102" Type="http://schemas.openxmlformats.org/officeDocument/2006/relationships/header" Target="header6.xml"/><Relationship Id="rId5" Type="http://schemas.openxmlformats.org/officeDocument/2006/relationships/webSettings" Target="webSettings.xml"/><Relationship Id="rId61" Type="http://schemas.openxmlformats.org/officeDocument/2006/relationships/image" Target="media/image42.emf"/><Relationship Id="rId82" Type="http://schemas.openxmlformats.org/officeDocument/2006/relationships/image" Target="media/image63.emf"/><Relationship Id="rId90" Type="http://schemas.openxmlformats.org/officeDocument/2006/relationships/image" Target="media/image71.emf"/><Relationship Id="rId95" Type="http://schemas.openxmlformats.org/officeDocument/2006/relationships/image" Target="media/image76.emf"/><Relationship Id="rId19" Type="http://schemas.openxmlformats.org/officeDocument/2006/relationships/image" Target="media/image3.emf"/><Relationship Id="rId14" Type="http://schemas.openxmlformats.org/officeDocument/2006/relationships/header" Target="header4.xml"/><Relationship Id="rId22" Type="http://schemas.openxmlformats.org/officeDocument/2006/relationships/image" Target="media/image6.emf"/><Relationship Id="rId27" Type="http://schemas.openxmlformats.org/officeDocument/2006/relationships/image" Target="media/image11.emf"/><Relationship Id="rId30" Type="http://schemas.openxmlformats.org/officeDocument/2006/relationships/image" Target="media/image14.emf"/><Relationship Id="rId35" Type="http://schemas.openxmlformats.org/officeDocument/2006/relationships/image" Target="media/image19.emf"/><Relationship Id="rId43" Type="http://schemas.openxmlformats.org/officeDocument/2006/relationships/image" Target="media/image27.emf"/><Relationship Id="rId48" Type="http://schemas.openxmlformats.org/officeDocument/2006/relationships/image" Target="media/image32.emf"/><Relationship Id="rId56" Type="http://schemas.openxmlformats.org/officeDocument/2006/relationships/image" Target="media/image37.png"/><Relationship Id="rId64" Type="http://schemas.openxmlformats.org/officeDocument/2006/relationships/image" Target="media/image45.emf"/><Relationship Id="rId69" Type="http://schemas.openxmlformats.org/officeDocument/2006/relationships/image" Target="media/image50.emf"/><Relationship Id="rId77" Type="http://schemas.openxmlformats.org/officeDocument/2006/relationships/image" Target="media/image58.emf"/><Relationship Id="rId100" Type="http://schemas.openxmlformats.org/officeDocument/2006/relationships/header" Target="header5.xml"/><Relationship Id="rId105" Type="http://schemas.openxmlformats.org/officeDocument/2006/relationships/footer" Target="footer8.xml"/><Relationship Id="rId8" Type="http://schemas.openxmlformats.org/officeDocument/2006/relationships/image" Target="media/image1.jpeg"/><Relationship Id="rId51" Type="http://schemas.openxmlformats.org/officeDocument/2006/relationships/hyperlink" Target="http://www.wipo.int/dmd" TargetMode="External"/><Relationship Id="rId72" Type="http://schemas.openxmlformats.org/officeDocument/2006/relationships/image" Target="media/image53.emf"/><Relationship Id="rId80" Type="http://schemas.openxmlformats.org/officeDocument/2006/relationships/image" Target="media/image61.emf"/><Relationship Id="rId85" Type="http://schemas.openxmlformats.org/officeDocument/2006/relationships/image" Target="media/image66.emf"/><Relationship Id="rId93" Type="http://schemas.openxmlformats.org/officeDocument/2006/relationships/image" Target="media/image74.emf"/><Relationship Id="rId98" Type="http://schemas.openxmlformats.org/officeDocument/2006/relationships/image" Target="media/image79.emf"/><Relationship Id="rId3" Type="http://schemas.microsoft.com/office/2007/relationships/stylesWithEffects" Target="stylesWithEffects.xml"/><Relationship Id="rId12" Type="http://schemas.openxmlformats.org/officeDocument/2006/relationships/footer" Target="footer2.xml"/><Relationship Id="rId17" Type="http://schemas.openxmlformats.org/officeDocument/2006/relationships/footer" Target="footer5.xml"/><Relationship Id="rId25" Type="http://schemas.openxmlformats.org/officeDocument/2006/relationships/image" Target="media/image9.emf"/><Relationship Id="rId33" Type="http://schemas.openxmlformats.org/officeDocument/2006/relationships/image" Target="media/image17.emf"/><Relationship Id="rId38" Type="http://schemas.openxmlformats.org/officeDocument/2006/relationships/image" Target="media/image22.emf"/><Relationship Id="rId46" Type="http://schemas.openxmlformats.org/officeDocument/2006/relationships/image" Target="media/image30.emf"/><Relationship Id="rId59" Type="http://schemas.openxmlformats.org/officeDocument/2006/relationships/image" Target="media/image40.emf"/><Relationship Id="rId67" Type="http://schemas.openxmlformats.org/officeDocument/2006/relationships/image" Target="media/image48.emf"/><Relationship Id="rId103" Type="http://schemas.openxmlformats.org/officeDocument/2006/relationships/footer" Target="footer7.xml"/><Relationship Id="rId20" Type="http://schemas.openxmlformats.org/officeDocument/2006/relationships/image" Target="media/image4.emf"/><Relationship Id="rId41" Type="http://schemas.openxmlformats.org/officeDocument/2006/relationships/image" Target="media/image25.emf"/><Relationship Id="rId54" Type="http://schemas.openxmlformats.org/officeDocument/2006/relationships/image" Target="media/image35.emf"/><Relationship Id="rId62" Type="http://schemas.openxmlformats.org/officeDocument/2006/relationships/image" Target="media/image43.emf"/><Relationship Id="rId70" Type="http://schemas.openxmlformats.org/officeDocument/2006/relationships/image" Target="media/image51.emf"/><Relationship Id="rId75" Type="http://schemas.openxmlformats.org/officeDocument/2006/relationships/image" Target="media/image56.emf"/><Relationship Id="rId83" Type="http://schemas.openxmlformats.org/officeDocument/2006/relationships/image" Target="media/image64.emf"/><Relationship Id="rId88" Type="http://schemas.openxmlformats.org/officeDocument/2006/relationships/image" Target="media/image69.emf"/><Relationship Id="rId91" Type="http://schemas.openxmlformats.org/officeDocument/2006/relationships/image" Target="media/image72.emf"/><Relationship Id="rId96" Type="http://schemas.openxmlformats.org/officeDocument/2006/relationships/image" Target="media/image77.emf"/><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image" Target="media/image7.emf"/><Relationship Id="rId28" Type="http://schemas.openxmlformats.org/officeDocument/2006/relationships/image" Target="media/image12.emf"/><Relationship Id="rId36" Type="http://schemas.openxmlformats.org/officeDocument/2006/relationships/image" Target="media/image20.emf"/><Relationship Id="rId49" Type="http://schemas.openxmlformats.org/officeDocument/2006/relationships/hyperlink" Target="http://www.wipo.int/tad/es/" TargetMode="External"/><Relationship Id="rId57" Type="http://schemas.openxmlformats.org/officeDocument/2006/relationships/image" Target="media/image38.png"/><Relationship Id="rId106" Type="http://schemas.openxmlformats.org/officeDocument/2006/relationships/fontTable" Target="fontTable.xml"/><Relationship Id="rId10" Type="http://schemas.openxmlformats.org/officeDocument/2006/relationships/header" Target="header2.xml"/><Relationship Id="rId31" Type="http://schemas.openxmlformats.org/officeDocument/2006/relationships/image" Target="media/image15.emf"/><Relationship Id="rId44" Type="http://schemas.openxmlformats.org/officeDocument/2006/relationships/image" Target="media/image28.emf"/><Relationship Id="rId52" Type="http://schemas.openxmlformats.org/officeDocument/2006/relationships/image" Target="media/image33.emf"/><Relationship Id="rId60" Type="http://schemas.openxmlformats.org/officeDocument/2006/relationships/image" Target="media/image41.emf"/><Relationship Id="rId65" Type="http://schemas.openxmlformats.org/officeDocument/2006/relationships/image" Target="media/image46.emf"/><Relationship Id="rId73" Type="http://schemas.openxmlformats.org/officeDocument/2006/relationships/image" Target="media/image54.emf"/><Relationship Id="rId78" Type="http://schemas.openxmlformats.org/officeDocument/2006/relationships/image" Target="media/image59.emf"/><Relationship Id="rId81" Type="http://schemas.openxmlformats.org/officeDocument/2006/relationships/image" Target="media/image62.emf"/><Relationship Id="rId86" Type="http://schemas.openxmlformats.org/officeDocument/2006/relationships/image" Target="media/image67.emf"/><Relationship Id="rId94" Type="http://schemas.openxmlformats.org/officeDocument/2006/relationships/image" Target="media/image75.emf"/><Relationship Id="rId99" Type="http://schemas.openxmlformats.org/officeDocument/2006/relationships/image" Target="media/image80.emf"/><Relationship Id="rId101"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image" Target="media/image2.emf"/><Relationship Id="rId39" Type="http://schemas.openxmlformats.org/officeDocument/2006/relationships/image" Target="media/image23.emf"/><Relationship Id="rId34" Type="http://schemas.openxmlformats.org/officeDocument/2006/relationships/image" Target="media/image18.emf"/><Relationship Id="rId50" Type="http://schemas.openxmlformats.org/officeDocument/2006/relationships/hyperlink" Target="http://www.wipo.int/roc/es/" TargetMode="External"/><Relationship Id="rId55" Type="http://schemas.openxmlformats.org/officeDocument/2006/relationships/image" Target="media/image36.emf"/><Relationship Id="rId76" Type="http://schemas.openxmlformats.org/officeDocument/2006/relationships/image" Target="media/image57.emf"/><Relationship Id="rId97" Type="http://schemas.openxmlformats.org/officeDocument/2006/relationships/image" Target="media/image78.emf"/><Relationship Id="rId104" Type="http://schemas.openxmlformats.org/officeDocument/2006/relationships/header" Target="header7.xml"/></Relationships>
</file>

<file path=word/_rels/footnotes.xml.rels><?xml version="1.0" encoding="UTF-8" standalone="yes"?>
<Relationships xmlns="http://schemas.openxmlformats.org/package/2006/relationships"><Relationship Id="rId8" Type="http://schemas.openxmlformats.org/officeDocument/2006/relationships/hyperlink" Target="http://www.wipo.int/about-wipo/en/strategic_realignment/results_framework.html" TargetMode="External"/><Relationship Id="rId3" Type="http://schemas.openxmlformats.org/officeDocument/2006/relationships/hyperlink" Target="http://www.wipo.int/edocs/mdocs/govbody/es/a_42/a_42_10-annex3.pdf" TargetMode="External"/><Relationship Id="rId7" Type="http://schemas.openxmlformats.org/officeDocument/2006/relationships/hyperlink" Target="http://www.wipo.int/export/sites/www/tisc/en/doc/TISC_2012_Survey_Summary_Report.pdf" TargetMode="External"/><Relationship Id="rId2" Type="http://schemas.openxmlformats.org/officeDocument/2006/relationships/hyperlink" Target="http://www.wipo.int/meetings/en/details.jsp?meeting_id=25024" TargetMode="External"/><Relationship Id="rId1" Type="http://schemas.openxmlformats.org/officeDocument/2006/relationships/hyperlink" Target="http://www.wipo.int/meetings/en/details.jsp?meeting_id=25014" TargetMode="External"/><Relationship Id="rId6" Type="http://schemas.openxmlformats.org/officeDocument/2006/relationships/hyperlink" Target="http://wipo.int/tisc/etutorial" TargetMode="External"/><Relationship Id="rId5" Type="http://schemas.openxmlformats.org/officeDocument/2006/relationships/hyperlink" Target="http://etisc.wipo.org" TargetMode="External"/><Relationship Id="rId4" Type="http://schemas.openxmlformats.org/officeDocument/2006/relationships/hyperlink" Target="http://www.wipo.int/meetings/en/doc_details.jsp?doc_id=208882" TargetMode="External"/><Relationship Id="rId9" Type="http://schemas.openxmlformats.org/officeDocument/2006/relationships/hyperlink" Target="http://www.wipo.int/about-wipo/en/strategic_realignment/results_framework.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A-51%20(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A-51 (S).dot</Template>
  <TotalTime>5</TotalTime>
  <Pages>201</Pages>
  <Words>86477</Words>
  <Characters>472060</Characters>
  <Application>Microsoft Office Word</Application>
  <DocSecurity>0</DocSecurity>
  <Lines>3933</Lines>
  <Paragraphs>1114</Paragraphs>
  <ScaleCrop>false</ScaleCrop>
  <HeadingPairs>
    <vt:vector size="2" baseType="variant">
      <vt:variant>
        <vt:lpstr>Title</vt:lpstr>
      </vt:variant>
      <vt:variant>
        <vt:i4>1</vt:i4>
      </vt:variant>
    </vt:vector>
  </HeadingPairs>
  <TitlesOfParts>
    <vt:vector size="1" baseType="lpstr">
      <vt:lpstr>A/51/</vt:lpstr>
    </vt:vector>
  </TitlesOfParts>
  <Company>WIPO</Company>
  <LinksUpToDate>false</LinksUpToDate>
  <CharactersWithSpaces>557423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A/51/</dc:title>
  <dc:creator>HALLER Mario</dc:creator>
  <cp:lastModifiedBy>MARIN-CUDRAZ DAVI Nicoletta</cp:lastModifiedBy>
  <cp:revision>6</cp:revision>
  <dcterms:created xsi:type="dcterms:W3CDTF">2013-09-11T07:08:00Z</dcterms:created>
  <dcterms:modified xsi:type="dcterms:W3CDTF">2013-09-11T07:36:00Z</dcterms:modified>
</cp:coreProperties>
</file>