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CC1" w:rsidRDefault="008B2CC1" w:rsidP="003845C1">
      <w:bookmarkStart w:id="0" w:name="_GoBack"/>
      <w:bookmarkEnd w:id="0"/>
    </w:p>
    <w:p w:rsidR="004E4A95" w:rsidRDefault="004E4A95" w:rsidP="003845C1"/>
    <w:p w:rsidR="000F5E56" w:rsidRDefault="000F5E56"/>
    <w:p w:rsidR="00F84474" w:rsidRDefault="00F84474"/>
    <w:p w:rsidR="00F84474" w:rsidRDefault="00F84474"/>
    <w:p w:rsidR="00152CEA" w:rsidRDefault="00D17DE2" w:rsidP="00D17DE2">
      <w:pPr>
        <w:pStyle w:val="Heading2"/>
      </w:pPr>
      <w:r>
        <w:t>punto 14 del orden del día consolidado</w:t>
      </w:r>
    </w:p>
    <w:p w:rsidR="00D17DE2" w:rsidRDefault="00D17DE2" w:rsidP="00D17DE2">
      <w:pPr>
        <w:pStyle w:val="Heading2"/>
      </w:pPr>
      <w:r>
        <w:t>propuesta de presupuesto por programas para el bienio 2014/15</w:t>
      </w:r>
    </w:p>
    <w:p w:rsidR="00D17DE2" w:rsidRDefault="00D17DE2"/>
    <w:p w:rsidR="00D17DE2" w:rsidRDefault="00D17DE2" w:rsidP="00D17DE2">
      <w:pPr>
        <w:pStyle w:val="ONUMFS"/>
      </w:pPr>
      <w:r>
        <w:t>Los debates se basaron en los documentos A/81/7 Rev., A/51/INF/6, A/51/INF/6 Add., A/51/INF/6 Add. 2, A/51/INF/6 Add. 3, A/51/13 y A/51/14.</w:t>
      </w:r>
    </w:p>
    <w:p w:rsidR="00D17DE2" w:rsidRDefault="00D17DE2" w:rsidP="00D17DE2">
      <w:pPr>
        <w:pStyle w:val="ONUMFS"/>
      </w:pPr>
      <w:r>
        <w:t>Las intervenciones de las delegaciones constarán en el informe final (documento A/51/20).</w:t>
      </w:r>
    </w:p>
    <w:p w:rsidR="00D17DE2" w:rsidRDefault="00D17DE2" w:rsidP="00D17DE2">
      <w:pPr>
        <w:pStyle w:val="ONUMFS"/>
      </w:pPr>
      <w:r>
        <w:t>La Presidenta leyó en voz alta la propuesta de decisión, que fue adoptada, en los términos siguientes:</w:t>
      </w:r>
    </w:p>
    <w:p w:rsidR="00D17DE2" w:rsidRDefault="00D17DE2" w:rsidP="00D17DE2">
      <w:pPr>
        <w:pStyle w:val="ONUMFS"/>
        <w:tabs>
          <w:tab w:val="clear" w:pos="567"/>
          <w:tab w:val="num" w:pos="1134"/>
        </w:tabs>
        <w:ind w:left="567"/>
      </w:pPr>
      <w:r>
        <w:t>Las Asambleas de los Estados miembros de la OMPI y de las Uniones que la OMPI administra, en lo que a cada una le concierne,</w:t>
      </w:r>
    </w:p>
    <w:p w:rsidR="00D17DE2" w:rsidRDefault="00D17DE2" w:rsidP="00D17DE2">
      <w:pPr>
        <w:pStyle w:val="ONUMFS"/>
        <w:numPr>
          <w:ilvl w:val="2"/>
          <w:numId w:val="6"/>
        </w:numPr>
      </w:pPr>
      <w:r>
        <w:t>aprueban la propuesta de presupuesto por programas para el bienio 2014/15 que figura en el documento A/51/7 Rev., con sujeción a las siguientes modificaciones acordadas, con respecto a:</w:t>
      </w:r>
    </w:p>
    <w:p w:rsidR="00D17DE2" w:rsidRDefault="00D17DE2" w:rsidP="00D17DE2">
      <w:pPr>
        <w:pStyle w:val="ONUMFS"/>
        <w:numPr>
          <w:ilvl w:val="0"/>
          <w:numId w:val="0"/>
        </w:numPr>
        <w:ind w:left="1701"/>
      </w:pPr>
      <w:r>
        <w:t>a)</w:t>
      </w:r>
      <w:r>
        <w:tab/>
        <w:t>la formulación de los objetivos en el marco de resultados del programa 2, según consta en el Anexo I;</w:t>
      </w:r>
    </w:p>
    <w:p w:rsidR="00D17DE2" w:rsidRDefault="00D17DE2" w:rsidP="00D17DE2">
      <w:pPr>
        <w:pStyle w:val="ONUMFS"/>
        <w:numPr>
          <w:ilvl w:val="0"/>
          <w:numId w:val="0"/>
        </w:numPr>
        <w:ind w:left="1701"/>
      </w:pPr>
      <w:r>
        <w:t>b)</w:t>
      </w:r>
      <w:r>
        <w:tab/>
        <w:t xml:space="preserve">la formulación de los objetivos en el marco de resultados del programa 4, según consta en el Anexo II, </w:t>
      </w:r>
    </w:p>
    <w:p w:rsidR="00D17DE2" w:rsidRDefault="00D17DE2" w:rsidP="00D17DE2">
      <w:pPr>
        <w:pStyle w:val="ONUMFS"/>
        <w:numPr>
          <w:ilvl w:val="0"/>
          <w:numId w:val="0"/>
        </w:numPr>
        <w:ind w:left="1701"/>
      </w:pPr>
      <w:r>
        <w:t>c)</w:t>
      </w:r>
      <w:r>
        <w:tab/>
        <w:t>la formulación de los párrafos 20.8 y 20.21, en el programa 20, tal como queda modificado en el Anexo III para reflejar la inclusión de dos oficinas adicionales (una en América Latina y el Caribe, y una en la India);</w:t>
      </w:r>
    </w:p>
    <w:p w:rsidR="00D17DE2" w:rsidRDefault="00D17DE2" w:rsidP="00D17DE2">
      <w:pPr>
        <w:pStyle w:val="ONUMFS"/>
        <w:numPr>
          <w:ilvl w:val="0"/>
          <w:numId w:val="0"/>
        </w:numPr>
        <w:ind w:left="1701"/>
      </w:pPr>
      <w:r>
        <w:t>d)</w:t>
      </w:r>
      <w:r>
        <w:tab/>
        <w:t>una asignación adicional de recursos no relativos a personal al programa 20, proveniente de fondos sin consignar;</w:t>
      </w:r>
    </w:p>
    <w:p w:rsidR="00D17DE2" w:rsidRDefault="00D17DE2" w:rsidP="00D17DE2">
      <w:pPr>
        <w:pStyle w:val="ONUMFS"/>
        <w:numPr>
          <w:ilvl w:val="2"/>
          <w:numId w:val="6"/>
        </w:numPr>
      </w:pPr>
      <w:r>
        <w:t>adoptan los principios rectores generales relativos a las oficinas de la OMPI en el exterior (Anexo IV);  y</w:t>
      </w:r>
    </w:p>
    <w:p w:rsidR="00D17DE2" w:rsidRDefault="00D17DE2" w:rsidP="00D17DE2">
      <w:pPr>
        <w:pStyle w:val="ONUMFS"/>
        <w:numPr>
          <w:ilvl w:val="2"/>
          <w:numId w:val="6"/>
        </w:numPr>
      </w:pPr>
      <w:r>
        <w:t xml:space="preserve">toman nota de las observaciones formuladas por los Estados miembros sobre el pedido de información adicional en relación </w:t>
      </w:r>
      <w:r w:rsidR="00A05011">
        <w:t>con e</w:t>
      </w:r>
      <w:r>
        <w:t xml:space="preserve">l programa de desafíos mundiales y P.I. (programa 18), y </w:t>
      </w:r>
      <w:r w:rsidR="00A05011">
        <w:t>piden al programa que informe a los Estados miembros, en la 12ª sesión del CDIP, acerca los aspectos de sus actividades que están relacionados con el desarrollo, y que informe a los Estados miembros, en la 20ª sesión del SCP sobre los aspectos de sus actividades que están relacionados con las patentes.</w:t>
      </w:r>
    </w:p>
    <w:p w:rsidR="00A05011" w:rsidRDefault="00A05011" w:rsidP="00A05011"/>
    <w:p w:rsidR="00A05011" w:rsidRDefault="00A05011" w:rsidP="00A05011"/>
    <w:p w:rsidR="00A05011" w:rsidRPr="001C181F" w:rsidRDefault="00A05011" w:rsidP="00A05011">
      <w:pPr>
        <w:pStyle w:val="Endofdocument-Annex"/>
        <w:rPr>
          <w:lang w:val="es-ES_tradnl"/>
        </w:rPr>
      </w:pPr>
      <w:r w:rsidRPr="001C181F">
        <w:rPr>
          <w:lang w:val="es-ES_tradnl"/>
        </w:rPr>
        <w:t>[Siguen los Anexos]</w:t>
      </w:r>
    </w:p>
    <w:p w:rsidR="00A05011" w:rsidRDefault="00A05011" w:rsidP="00A05011"/>
    <w:p w:rsidR="00A05011" w:rsidRDefault="00A05011" w:rsidP="00A05011">
      <w:pPr>
        <w:sectPr w:rsidR="00A05011" w:rsidSect="00D17DE2">
          <w:headerReference w:type="default" r:id="rId9"/>
          <w:headerReference w:type="first" r:id="rId10"/>
          <w:pgSz w:w="11907" w:h="16840" w:code="9"/>
          <w:pgMar w:top="567" w:right="1134" w:bottom="1418" w:left="1418" w:header="510" w:footer="1021" w:gutter="0"/>
          <w:cols w:space="720"/>
          <w:titlePg/>
          <w:docGrid w:linePitch="299"/>
        </w:sectPr>
      </w:pPr>
    </w:p>
    <w:p w:rsidR="00CE4941" w:rsidRDefault="00CE4941" w:rsidP="00CE4941">
      <w:pPr>
        <w:pStyle w:val="Heading3"/>
        <w:tabs>
          <w:tab w:val="left" w:pos="1985"/>
        </w:tabs>
        <w:jc w:val="center"/>
        <w:rPr>
          <w:b/>
          <w:iCs/>
          <w:caps/>
          <w:u w:val="none"/>
        </w:rPr>
      </w:pPr>
      <w:bookmarkStart w:id="2" w:name="_Toc366078708"/>
      <w:r>
        <w:rPr>
          <w:b/>
          <w:iCs/>
          <w:caps/>
          <w:u w:val="none"/>
        </w:rPr>
        <w:lastRenderedPageBreak/>
        <w:t>ANEXO I</w:t>
      </w:r>
    </w:p>
    <w:p w:rsidR="002C3E27" w:rsidRPr="002370D4" w:rsidRDefault="002C3E27" w:rsidP="002C3E27">
      <w:pPr>
        <w:pStyle w:val="Heading3"/>
        <w:tabs>
          <w:tab w:val="left" w:pos="1985"/>
        </w:tabs>
        <w:rPr>
          <w:b/>
          <w:iCs/>
          <w:caps/>
          <w:u w:val="none"/>
        </w:rPr>
      </w:pPr>
      <w:r w:rsidRPr="002370D4">
        <w:rPr>
          <w:b/>
          <w:iCs/>
          <w:caps/>
          <w:u w:val="none"/>
        </w:rPr>
        <w:t>PROGRAMA 2</w:t>
      </w:r>
      <w:r w:rsidRPr="002370D4">
        <w:rPr>
          <w:b/>
          <w:iCs/>
          <w:caps/>
          <w:u w:val="none"/>
        </w:rPr>
        <w:tab/>
        <w:t>MARCAS, DISEÑOS INDUSTRIALES E INDICACIONES GEOGRÁFICAS</w:t>
      </w:r>
      <w:bookmarkEnd w:id="2"/>
    </w:p>
    <w:p w:rsidR="00A05011" w:rsidRDefault="00A05011" w:rsidP="00A05011"/>
    <w:p w:rsidR="002C3E27" w:rsidRDefault="002C3E27" w:rsidP="00A05011">
      <w:r>
        <w:t>MARCO DE RESULTADOS</w:t>
      </w:r>
    </w:p>
    <w:p w:rsidR="002C3E27" w:rsidRDefault="002C3E27" w:rsidP="00A05011"/>
    <w:tbl>
      <w:tblPr>
        <w:tblW w:w="4915"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8"/>
        <w:gridCol w:w="2849"/>
        <w:gridCol w:w="2058"/>
        <w:gridCol w:w="2153"/>
      </w:tblGrid>
      <w:tr w:rsidR="002C3E27" w:rsidRPr="00C75C7E" w:rsidTr="002C3E27">
        <w:trPr>
          <w:cantSplit/>
          <w:trHeight w:val="430"/>
          <w:tblHeader/>
        </w:trPr>
        <w:tc>
          <w:tcPr>
            <w:tcW w:w="1248" w:type="pct"/>
            <w:tcBorders>
              <w:top w:val="single" w:sz="4" w:space="0" w:color="auto"/>
              <w:bottom w:val="single" w:sz="4" w:space="0" w:color="auto"/>
            </w:tcBorders>
            <w:shd w:val="clear" w:color="auto" w:fill="CCFFFF"/>
            <w:vAlign w:val="center"/>
          </w:tcPr>
          <w:p w:rsidR="002C3E27" w:rsidRPr="00C75C7E" w:rsidRDefault="002C3E27" w:rsidP="002C3E27">
            <w:pPr>
              <w:keepNext/>
              <w:keepLines/>
              <w:widowControl w:val="0"/>
              <w:spacing w:after="120"/>
              <w:jc w:val="center"/>
              <w:rPr>
                <w:b/>
                <w:bCs/>
                <w:sz w:val="18"/>
                <w:szCs w:val="18"/>
                <w:lang w:val="es-ES_tradnl"/>
              </w:rPr>
            </w:pPr>
            <w:r w:rsidRPr="00C75C7E">
              <w:rPr>
                <w:b/>
                <w:bCs/>
                <w:sz w:val="18"/>
                <w:szCs w:val="18"/>
                <w:lang w:val="es-ES_tradnl"/>
              </w:rPr>
              <w:t>Resultados previstos</w:t>
            </w:r>
          </w:p>
        </w:tc>
        <w:tc>
          <w:tcPr>
            <w:tcW w:w="1514" w:type="pct"/>
            <w:tcBorders>
              <w:top w:val="single" w:sz="4" w:space="0" w:color="auto"/>
              <w:bottom w:val="single" w:sz="4" w:space="0" w:color="auto"/>
            </w:tcBorders>
            <w:shd w:val="clear" w:color="auto" w:fill="CCFFFF"/>
            <w:tcMar>
              <w:top w:w="110" w:type="dxa"/>
            </w:tcMar>
            <w:vAlign w:val="center"/>
          </w:tcPr>
          <w:p w:rsidR="002C3E27" w:rsidRPr="00C75C7E" w:rsidRDefault="002C3E27" w:rsidP="002C3E27">
            <w:pPr>
              <w:keepNext/>
              <w:keepLines/>
              <w:widowControl w:val="0"/>
              <w:spacing w:after="120"/>
              <w:jc w:val="center"/>
              <w:rPr>
                <w:b/>
                <w:sz w:val="18"/>
                <w:szCs w:val="18"/>
                <w:lang w:val="es-ES_tradnl"/>
              </w:rPr>
            </w:pPr>
            <w:r w:rsidRPr="00C75C7E">
              <w:rPr>
                <w:b/>
                <w:sz w:val="18"/>
                <w:szCs w:val="18"/>
                <w:lang w:val="es-ES_tradnl"/>
              </w:rPr>
              <w:t>Indicadores de rendimiento</w:t>
            </w:r>
          </w:p>
        </w:tc>
        <w:tc>
          <w:tcPr>
            <w:tcW w:w="1094" w:type="pct"/>
            <w:tcBorders>
              <w:top w:val="single" w:sz="4" w:space="0" w:color="auto"/>
              <w:bottom w:val="single" w:sz="4" w:space="0" w:color="auto"/>
            </w:tcBorders>
            <w:shd w:val="clear" w:color="auto" w:fill="CCFFFF"/>
            <w:tcMar>
              <w:top w:w="110" w:type="dxa"/>
            </w:tcMar>
            <w:vAlign w:val="center"/>
          </w:tcPr>
          <w:p w:rsidR="002C3E27" w:rsidRPr="00C75C7E" w:rsidRDefault="002C3E27" w:rsidP="002C3E27">
            <w:pPr>
              <w:keepNext/>
              <w:keepLines/>
              <w:widowControl w:val="0"/>
              <w:spacing w:after="120"/>
              <w:ind w:left="85"/>
              <w:jc w:val="center"/>
              <w:rPr>
                <w:sz w:val="18"/>
                <w:szCs w:val="18"/>
                <w:lang w:val="es-ES_tradnl"/>
              </w:rPr>
            </w:pPr>
            <w:r w:rsidRPr="00C75C7E">
              <w:rPr>
                <w:b/>
                <w:bCs/>
                <w:sz w:val="18"/>
                <w:szCs w:val="18"/>
                <w:lang w:val="es-ES_tradnl"/>
              </w:rPr>
              <w:t>Referencia</w:t>
            </w:r>
          </w:p>
        </w:tc>
        <w:tc>
          <w:tcPr>
            <w:tcW w:w="1144" w:type="pct"/>
            <w:tcBorders>
              <w:top w:val="single" w:sz="4" w:space="0" w:color="auto"/>
              <w:bottom w:val="single" w:sz="4" w:space="0" w:color="auto"/>
            </w:tcBorders>
            <w:shd w:val="clear" w:color="auto" w:fill="CCFFFF"/>
            <w:tcMar>
              <w:top w:w="110" w:type="dxa"/>
            </w:tcMar>
            <w:vAlign w:val="center"/>
          </w:tcPr>
          <w:p w:rsidR="002C3E27" w:rsidRPr="00C75C7E" w:rsidRDefault="002C3E27" w:rsidP="002C3E27">
            <w:pPr>
              <w:keepNext/>
              <w:keepLines/>
              <w:widowControl w:val="0"/>
              <w:tabs>
                <w:tab w:val="left" w:pos="1649"/>
                <w:tab w:val="left" w:pos="1759"/>
              </w:tabs>
              <w:spacing w:after="120"/>
              <w:ind w:right="1"/>
              <w:jc w:val="center"/>
              <w:rPr>
                <w:b/>
                <w:bCs/>
                <w:sz w:val="18"/>
                <w:szCs w:val="18"/>
                <w:lang w:val="es-ES_tradnl"/>
              </w:rPr>
            </w:pPr>
            <w:r w:rsidRPr="00C75C7E">
              <w:rPr>
                <w:b/>
                <w:bCs/>
                <w:sz w:val="18"/>
                <w:szCs w:val="18"/>
                <w:lang w:val="es-ES_tradnl"/>
              </w:rPr>
              <w:t>Objetivos</w:t>
            </w:r>
          </w:p>
        </w:tc>
      </w:tr>
      <w:tr w:rsidR="002C3E27" w:rsidRPr="00C75C7E" w:rsidTr="002C3E27">
        <w:trPr>
          <w:cantSplit/>
        </w:trPr>
        <w:tc>
          <w:tcPr>
            <w:tcW w:w="1248" w:type="pct"/>
            <w:vMerge w:val="restart"/>
            <w:tcBorders>
              <w:top w:val="single" w:sz="4" w:space="0" w:color="auto"/>
            </w:tcBorders>
            <w:shd w:val="clear" w:color="auto" w:fill="auto"/>
          </w:tcPr>
          <w:p w:rsidR="002C3E27" w:rsidRPr="00C75C7E" w:rsidRDefault="002C3E27" w:rsidP="002C3E27">
            <w:pPr>
              <w:keepNext/>
              <w:keepLines/>
              <w:widowControl w:val="0"/>
              <w:rPr>
                <w:sz w:val="16"/>
                <w:szCs w:val="16"/>
                <w:lang w:val="es-ES_tradnl"/>
              </w:rPr>
            </w:pPr>
            <w:r w:rsidRPr="00C75C7E">
              <w:rPr>
                <w:sz w:val="16"/>
                <w:szCs w:val="16"/>
                <w:lang w:val="es-ES_tradnl" w:bidi="th-TH"/>
              </w:rPr>
              <w:t xml:space="preserve">I.1. Mejor cooperación entre los Estados miembros en lo que atañe a la elaboración de marcos normativos internacionales equilibrados para la P.I. y </w:t>
            </w:r>
            <w:r>
              <w:rPr>
                <w:sz w:val="16"/>
                <w:szCs w:val="16"/>
                <w:lang w:val="es-ES_tradnl" w:bidi="th-TH"/>
              </w:rPr>
              <w:t>fomento de acuerdos sobre las cuestiones específicas</w:t>
            </w:r>
            <w:r w:rsidRPr="00C75C7E">
              <w:rPr>
                <w:sz w:val="16"/>
                <w:szCs w:val="16"/>
                <w:lang w:val="es-ES_tradnl" w:bidi="th-TH"/>
              </w:rPr>
              <w:t xml:space="preserve"> respecto de las que se acuerdan instrumentos internacionales.</w:t>
            </w:r>
          </w:p>
        </w:tc>
        <w:tc>
          <w:tcPr>
            <w:tcW w:w="1514" w:type="pct"/>
            <w:tcBorders>
              <w:top w:val="single" w:sz="4" w:space="0" w:color="auto"/>
            </w:tcBorders>
            <w:shd w:val="clear" w:color="auto" w:fill="auto"/>
            <w:tcMar>
              <w:top w:w="110" w:type="dxa"/>
              <w:bottom w:w="85" w:type="dxa"/>
            </w:tcMar>
          </w:tcPr>
          <w:p w:rsidR="002C3E27" w:rsidRPr="00C75C7E" w:rsidRDefault="002C3E27" w:rsidP="002C3E27">
            <w:pPr>
              <w:keepNext/>
              <w:keepLines/>
              <w:widowControl w:val="0"/>
              <w:rPr>
                <w:sz w:val="16"/>
                <w:szCs w:val="16"/>
                <w:lang w:val="es-ES_tradnl"/>
              </w:rPr>
            </w:pPr>
            <w:r w:rsidRPr="00C75C7E">
              <w:rPr>
                <w:sz w:val="16"/>
                <w:szCs w:val="16"/>
                <w:lang w:val="es-ES_tradnl"/>
              </w:rPr>
              <w:t>Acuerdo sobre un marco normativo para los procedimientos de registro y mantenimiento de los diseños industriales.</w:t>
            </w:r>
          </w:p>
        </w:tc>
        <w:tc>
          <w:tcPr>
            <w:tcW w:w="1094" w:type="pct"/>
            <w:tcBorders>
              <w:top w:val="single" w:sz="4" w:space="0" w:color="auto"/>
            </w:tcBorders>
            <w:shd w:val="clear" w:color="auto" w:fill="FFFFFF"/>
            <w:tcMar>
              <w:top w:w="110" w:type="dxa"/>
              <w:bottom w:w="85" w:type="dxa"/>
            </w:tcMar>
          </w:tcPr>
          <w:p w:rsidR="002C3E27" w:rsidRPr="00C75C7E" w:rsidRDefault="002C3E27" w:rsidP="002C3E27">
            <w:pPr>
              <w:keepNext/>
              <w:keepLines/>
              <w:widowControl w:val="0"/>
              <w:rPr>
                <w:sz w:val="16"/>
                <w:szCs w:val="16"/>
                <w:lang w:val="es-ES_tradnl" w:bidi="th-TH"/>
              </w:rPr>
            </w:pPr>
            <w:r w:rsidRPr="00C75C7E">
              <w:rPr>
                <w:sz w:val="16"/>
                <w:szCs w:val="16"/>
                <w:lang w:val="es-ES_tradnl" w:bidi="th-TH"/>
              </w:rPr>
              <w:t>No existe un marco normativo para los procedimientos de registro y mantenimiento de los diseños industriales.</w:t>
            </w:r>
          </w:p>
          <w:p w:rsidR="002C3E27" w:rsidRPr="00C75C7E" w:rsidRDefault="002C3E27" w:rsidP="002C3E27">
            <w:pPr>
              <w:keepNext/>
              <w:keepLines/>
              <w:widowControl w:val="0"/>
              <w:rPr>
                <w:sz w:val="16"/>
                <w:szCs w:val="16"/>
                <w:lang w:val="es-ES_tradnl"/>
              </w:rPr>
            </w:pPr>
          </w:p>
        </w:tc>
        <w:tc>
          <w:tcPr>
            <w:tcW w:w="1144" w:type="pct"/>
            <w:tcBorders>
              <w:top w:val="single" w:sz="4" w:space="0" w:color="auto"/>
            </w:tcBorders>
            <w:shd w:val="clear" w:color="auto" w:fill="auto"/>
            <w:tcMar>
              <w:top w:w="110" w:type="dxa"/>
              <w:bottom w:w="85" w:type="dxa"/>
            </w:tcMar>
          </w:tcPr>
          <w:p w:rsidR="002C3E27" w:rsidRPr="00C75C7E" w:rsidRDefault="002C3E27" w:rsidP="002C3E27">
            <w:pPr>
              <w:keepNext/>
              <w:keepLines/>
              <w:widowControl w:val="0"/>
              <w:ind w:right="381"/>
              <w:rPr>
                <w:bCs/>
                <w:sz w:val="16"/>
                <w:szCs w:val="16"/>
                <w:lang w:val="es-ES_tradnl"/>
              </w:rPr>
            </w:pPr>
            <w:r w:rsidRPr="00C75C7E">
              <w:rPr>
                <w:bCs/>
                <w:sz w:val="16"/>
                <w:szCs w:val="16"/>
                <w:lang w:val="es-ES_tradnl"/>
              </w:rPr>
              <w:t xml:space="preserve">Adopción en </w:t>
            </w:r>
            <w:r>
              <w:rPr>
                <w:bCs/>
                <w:sz w:val="16"/>
                <w:szCs w:val="16"/>
                <w:lang w:val="es-ES_tradnl"/>
              </w:rPr>
              <w:t xml:space="preserve">una eventual </w:t>
            </w:r>
            <w:r w:rsidRPr="00C75C7E">
              <w:rPr>
                <w:bCs/>
                <w:sz w:val="16"/>
                <w:szCs w:val="16"/>
                <w:lang w:val="es-ES_tradnl"/>
              </w:rPr>
              <w:t>conferencia dipl</w:t>
            </w:r>
            <w:r>
              <w:rPr>
                <w:bCs/>
                <w:sz w:val="16"/>
                <w:szCs w:val="16"/>
                <w:lang w:val="es-ES_tradnl"/>
              </w:rPr>
              <w:t>omática de un tratado sobre el D</w:t>
            </w:r>
            <w:r w:rsidRPr="00C75C7E">
              <w:rPr>
                <w:bCs/>
                <w:sz w:val="16"/>
                <w:szCs w:val="16"/>
                <w:lang w:val="es-ES_tradnl"/>
              </w:rPr>
              <w:t>erecho de los diseños industriales.</w:t>
            </w:r>
          </w:p>
        </w:tc>
      </w:tr>
      <w:tr w:rsidR="002C3E27" w:rsidRPr="00C75C7E" w:rsidTr="002C3E27">
        <w:trPr>
          <w:cantSplit/>
        </w:trPr>
        <w:tc>
          <w:tcPr>
            <w:tcW w:w="1248" w:type="pct"/>
            <w:vMerge/>
            <w:shd w:val="clear" w:color="auto" w:fill="auto"/>
          </w:tcPr>
          <w:p w:rsidR="002C3E27" w:rsidRPr="00C75C7E" w:rsidRDefault="002C3E27" w:rsidP="002C3E27">
            <w:pPr>
              <w:keepNext/>
              <w:keepLines/>
              <w:widowControl w:val="0"/>
              <w:rPr>
                <w:sz w:val="16"/>
                <w:szCs w:val="16"/>
                <w:lang w:val="es-ES_tradnl"/>
              </w:rPr>
            </w:pPr>
          </w:p>
        </w:tc>
        <w:tc>
          <w:tcPr>
            <w:tcW w:w="1514" w:type="pct"/>
            <w:shd w:val="clear" w:color="auto" w:fill="auto"/>
            <w:tcMar>
              <w:top w:w="110" w:type="dxa"/>
              <w:bottom w:w="85" w:type="dxa"/>
            </w:tcMar>
          </w:tcPr>
          <w:p w:rsidR="002C3E27" w:rsidRPr="00C75C7E" w:rsidRDefault="002C3E27" w:rsidP="002C3E27">
            <w:pPr>
              <w:keepNext/>
              <w:keepLines/>
              <w:widowControl w:val="0"/>
              <w:rPr>
                <w:sz w:val="16"/>
                <w:szCs w:val="16"/>
                <w:lang w:val="es-ES_tradnl" w:bidi="th-TH"/>
              </w:rPr>
            </w:pPr>
            <w:r w:rsidRPr="00C75C7E">
              <w:rPr>
                <w:sz w:val="16"/>
                <w:szCs w:val="16"/>
                <w:lang w:val="es-ES_tradnl"/>
              </w:rPr>
              <w:t>Avances para llegar a un acuerdo sobre las cuestiones que figu</w:t>
            </w:r>
            <w:r>
              <w:rPr>
                <w:sz w:val="16"/>
                <w:szCs w:val="16"/>
                <w:lang w:val="es-ES_tradnl"/>
              </w:rPr>
              <w:t>ran en el orden del día del SCT</w:t>
            </w:r>
            <w:r w:rsidRPr="00C75C7E">
              <w:rPr>
                <w:sz w:val="16"/>
                <w:szCs w:val="16"/>
                <w:lang w:val="es-ES_tradnl" w:bidi="th-TH"/>
              </w:rPr>
              <w:t>.</w:t>
            </w:r>
          </w:p>
          <w:p w:rsidR="002C3E27" w:rsidRPr="00C75C7E" w:rsidRDefault="002C3E27" w:rsidP="002C3E27">
            <w:pPr>
              <w:keepNext/>
              <w:keepLines/>
              <w:widowControl w:val="0"/>
              <w:rPr>
                <w:i/>
                <w:sz w:val="16"/>
                <w:szCs w:val="16"/>
                <w:lang w:val="es-ES_tradnl"/>
              </w:rPr>
            </w:pPr>
          </w:p>
        </w:tc>
        <w:tc>
          <w:tcPr>
            <w:tcW w:w="1094" w:type="pct"/>
            <w:shd w:val="clear" w:color="auto" w:fill="FFFFFF"/>
            <w:tcMar>
              <w:top w:w="110" w:type="dxa"/>
              <w:bottom w:w="85" w:type="dxa"/>
            </w:tcMar>
          </w:tcPr>
          <w:p w:rsidR="002C3E27" w:rsidRPr="00C75C7E" w:rsidRDefault="002C3E27" w:rsidP="002C3E27">
            <w:pPr>
              <w:keepNext/>
              <w:keepLines/>
              <w:widowControl w:val="0"/>
              <w:rPr>
                <w:sz w:val="16"/>
                <w:szCs w:val="16"/>
                <w:lang w:val="es-ES_tradnl"/>
              </w:rPr>
            </w:pPr>
            <w:r>
              <w:rPr>
                <w:sz w:val="16"/>
                <w:szCs w:val="16"/>
                <w:lang w:val="es-ES_tradnl" w:bidi="th-TH"/>
              </w:rPr>
              <w:t>Proyecto de documento de referencia sobre la protección de los nombres de países contra su registro y uso como marcas</w:t>
            </w:r>
            <w:r w:rsidRPr="00C75C7E">
              <w:rPr>
                <w:sz w:val="16"/>
                <w:szCs w:val="16"/>
                <w:lang w:val="es-ES_tradnl" w:bidi="th-TH"/>
              </w:rPr>
              <w:t>.</w:t>
            </w:r>
          </w:p>
        </w:tc>
        <w:tc>
          <w:tcPr>
            <w:tcW w:w="1144" w:type="pct"/>
            <w:shd w:val="clear" w:color="auto" w:fill="auto"/>
            <w:tcMar>
              <w:top w:w="110" w:type="dxa"/>
              <w:bottom w:w="85" w:type="dxa"/>
            </w:tcMar>
          </w:tcPr>
          <w:p w:rsidR="002C3E27" w:rsidRPr="00C75C7E" w:rsidRDefault="002C3E27" w:rsidP="002C3E27">
            <w:pPr>
              <w:keepNext/>
              <w:keepLines/>
              <w:widowControl w:val="0"/>
              <w:tabs>
                <w:tab w:val="left" w:pos="2051"/>
              </w:tabs>
              <w:ind w:right="381"/>
              <w:rPr>
                <w:bCs/>
                <w:sz w:val="16"/>
                <w:szCs w:val="16"/>
                <w:lang w:val="es-ES_tradnl"/>
              </w:rPr>
            </w:pPr>
            <w:r>
              <w:rPr>
                <w:bCs/>
                <w:sz w:val="16"/>
                <w:szCs w:val="16"/>
                <w:lang w:val="es-ES_tradnl"/>
              </w:rPr>
              <w:t>Resultados acordados en el</w:t>
            </w:r>
            <w:r w:rsidRPr="00C75C7E">
              <w:rPr>
                <w:bCs/>
                <w:sz w:val="16"/>
                <w:szCs w:val="16"/>
                <w:lang w:val="es-ES_tradnl"/>
              </w:rPr>
              <w:t xml:space="preserve"> SCT.</w:t>
            </w:r>
          </w:p>
        </w:tc>
      </w:tr>
      <w:tr w:rsidR="002C3E27" w:rsidRPr="00C75C7E" w:rsidTr="002C3E27">
        <w:trPr>
          <w:cantSplit/>
          <w:trHeight w:val="557"/>
        </w:trPr>
        <w:tc>
          <w:tcPr>
            <w:tcW w:w="1248" w:type="pct"/>
            <w:vMerge/>
            <w:shd w:val="clear" w:color="auto" w:fill="auto"/>
          </w:tcPr>
          <w:p w:rsidR="002C3E27" w:rsidRPr="00C75C7E" w:rsidRDefault="002C3E27" w:rsidP="002C3E27">
            <w:pPr>
              <w:widowControl w:val="0"/>
              <w:rPr>
                <w:sz w:val="16"/>
                <w:szCs w:val="16"/>
                <w:lang w:val="es-ES_tradnl"/>
              </w:rPr>
            </w:pPr>
          </w:p>
        </w:tc>
        <w:tc>
          <w:tcPr>
            <w:tcW w:w="1514" w:type="pct"/>
            <w:shd w:val="clear" w:color="auto" w:fill="auto"/>
            <w:tcMar>
              <w:top w:w="110"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Número de ratificaciones y adhesiones al Tratado de Singapur</w:t>
            </w:r>
            <w:r>
              <w:rPr>
                <w:sz w:val="16"/>
                <w:szCs w:val="16"/>
                <w:lang w:val="es-ES_tradnl"/>
              </w:rPr>
              <w:t>.</w:t>
            </w:r>
          </w:p>
        </w:tc>
        <w:tc>
          <w:tcPr>
            <w:tcW w:w="1094" w:type="pct"/>
            <w:shd w:val="clear" w:color="auto" w:fill="FFFFFF"/>
            <w:tcMar>
              <w:top w:w="110" w:type="dxa"/>
              <w:bottom w:w="85" w:type="dxa"/>
            </w:tcMar>
          </w:tcPr>
          <w:p w:rsidR="002C3E27" w:rsidRPr="00C75C7E" w:rsidRDefault="002C3E27" w:rsidP="002C3E27">
            <w:pPr>
              <w:widowControl w:val="0"/>
              <w:rPr>
                <w:sz w:val="16"/>
                <w:szCs w:val="16"/>
                <w:lang w:val="es-ES_tradnl" w:bidi="th-TH"/>
              </w:rPr>
            </w:pPr>
            <w:r w:rsidRPr="00C75C7E">
              <w:rPr>
                <w:sz w:val="16"/>
                <w:szCs w:val="16"/>
                <w:lang w:val="es-ES_tradnl" w:bidi="th-TH"/>
              </w:rPr>
              <w:t>29 Partes Contratantes (al final de 2012).</w:t>
            </w:r>
          </w:p>
        </w:tc>
        <w:tc>
          <w:tcPr>
            <w:tcW w:w="1144" w:type="pct"/>
            <w:shd w:val="clear" w:color="auto" w:fill="auto"/>
            <w:tcMar>
              <w:top w:w="110" w:type="dxa"/>
              <w:bottom w:w="85" w:type="dxa"/>
            </w:tcMar>
          </w:tcPr>
          <w:p w:rsidR="002C3E27" w:rsidRPr="00C75C7E" w:rsidRDefault="002C3E27" w:rsidP="002C3E27">
            <w:pPr>
              <w:widowControl w:val="0"/>
              <w:ind w:right="161"/>
              <w:rPr>
                <w:bCs/>
                <w:sz w:val="16"/>
                <w:szCs w:val="16"/>
                <w:lang w:val="es-ES_tradnl"/>
              </w:rPr>
            </w:pPr>
            <w:r w:rsidRPr="00C75C7E">
              <w:rPr>
                <w:bCs/>
                <w:sz w:val="16"/>
                <w:szCs w:val="16"/>
                <w:lang w:val="es-ES_tradnl"/>
              </w:rPr>
              <w:t>Ocho nuevas ratificaciones</w:t>
            </w:r>
            <w:r>
              <w:rPr>
                <w:bCs/>
                <w:sz w:val="16"/>
                <w:szCs w:val="16"/>
                <w:lang w:val="es-ES_tradnl"/>
              </w:rPr>
              <w:t xml:space="preserve"> </w:t>
            </w:r>
            <w:r w:rsidRPr="00C75C7E">
              <w:rPr>
                <w:bCs/>
                <w:sz w:val="16"/>
                <w:szCs w:val="16"/>
                <w:lang w:val="es-ES_tradnl"/>
              </w:rPr>
              <w:t>/</w:t>
            </w:r>
            <w:r>
              <w:rPr>
                <w:bCs/>
                <w:sz w:val="16"/>
                <w:szCs w:val="16"/>
                <w:lang w:val="es-ES_tradnl"/>
              </w:rPr>
              <w:t xml:space="preserve"> </w:t>
            </w:r>
            <w:r w:rsidRPr="00C75C7E">
              <w:rPr>
                <w:bCs/>
                <w:sz w:val="16"/>
                <w:szCs w:val="16"/>
                <w:lang w:val="es-ES_tradnl"/>
              </w:rPr>
              <w:t>adhesiones.</w:t>
            </w:r>
          </w:p>
        </w:tc>
      </w:tr>
      <w:tr w:rsidR="002C3E27" w:rsidRPr="00C75C7E" w:rsidTr="002C3E27">
        <w:trPr>
          <w:cantSplit/>
          <w:trHeight w:val="1507"/>
        </w:trPr>
        <w:tc>
          <w:tcPr>
            <w:tcW w:w="1248" w:type="pct"/>
            <w:shd w:val="clear" w:color="auto" w:fill="auto"/>
          </w:tcPr>
          <w:p w:rsidR="002C3E27" w:rsidRPr="00C75C7E" w:rsidRDefault="002C3E27" w:rsidP="002C3E27">
            <w:pPr>
              <w:widowControl w:val="0"/>
              <w:rPr>
                <w:sz w:val="16"/>
                <w:szCs w:val="16"/>
                <w:lang w:val="es-ES_tradnl"/>
              </w:rPr>
            </w:pPr>
            <w:r w:rsidRPr="00C75C7E">
              <w:rPr>
                <w:sz w:val="16"/>
                <w:szCs w:val="16"/>
                <w:lang w:val="es-ES_tradnl"/>
              </w:rPr>
              <w:t>I.2. Marcos de P.I. adaptados y equilibrados en el ámbito legislativo, reglamentario y de política.</w:t>
            </w:r>
          </w:p>
        </w:tc>
        <w:tc>
          <w:tcPr>
            <w:tcW w:w="1514" w:type="pct"/>
            <w:shd w:val="clear" w:color="auto" w:fill="auto"/>
            <w:tcMar>
              <w:top w:w="110"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Número y porcentaje de Estados miembros/organizaciones regionales que han presentado comentarios positivos sobre el asesoramiento legislativo proporcionado en la esfera de las marcas, los diseños industriales y las indicaciones geográficas.</w:t>
            </w:r>
          </w:p>
        </w:tc>
        <w:tc>
          <w:tcPr>
            <w:tcW w:w="1094" w:type="pct"/>
            <w:shd w:val="clear" w:color="auto" w:fill="FFFFFF"/>
            <w:tcMar>
              <w:top w:w="110" w:type="dxa"/>
              <w:bottom w:w="85" w:type="dxa"/>
            </w:tcMar>
          </w:tcPr>
          <w:p w:rsidR="002C3E27" w:rsidRPr="00C75C7E" w:rsidRDefault="002C3E27" w:rsidP="002C3E27">
            <w:pPr>
              <w:widowControl w:val="0"/>
              <w:rPr>
                <w:sz w:val="16"/>
                <w:szCs w:val="16"/>
                <w:lang w:val="es-ES_tradnl" w:bidi="th-TH"/>
              </w:rPr>
            </w:pPr>
            <w:r w:rsidRPr="00C75C7E">
              <w:rPr>
                <w:sz w:val="16"/>
                <w:szCs w:val="16"/>
                <w:lang w:val="es-ES_tradnl" w:bidi="th-TH"/>
              </w:rPr>
              <w:t>11 Estados miembros/organizaciones regionales han recibido asesoramiento legislativo y tres de ellos han formulado comentarios positivos sobre el asesoramiento legislativo recibido en 2012.</w:t>
            </w:r>
          </w:p>
        </w:tc>
        <w:tc>
          <w:tcPr>
            <w:tcW w:w="1144" w:type="pct"/>
            <w:shd w:val="clear" w:color="auto" w:fill="auto"/>
            <w:tcMar>
              <w:top w:w="110" w:type="dxa"/>
              <w:bottom w:w="85" w:type="dxa"/>
            </w:tcMar>
          </w:tcPr>
          <w:p w:rsidR="002C3E27" w:rsidRPr="00C75C7E" w:rsidRDefault="002C3E27" w:rsidP="002C3E27">
            <w:pPr>
              <w:widowControl w:val="0"/>
              <w:ind w:right="161"/>
              <w:rPr>
                <w:bCs/>
                <w:sz w:val="16"/>
                <w:szCs w:val="16"/>
                <w:lang w:val="es-ES_tradnl"/>
              </w:rPr>
            </w:pPr>
            <w:r w:rsidRPr="00C75C7E">
              <w:rPr>
                <w:bCs/>
                <w:sz w:val="16"/>
                <w:szCs w:val="16"/>
                <w:lang w:val="es-ES_tradnl"/>
              </w:rPr>
              <w:t>Se proporciona asesoramiento legislativo a 10 Estados miembros</w:t>
            </w:r>
            <w:r>
              <w:rPr>
                <w:bCs/>
                <w:sz w:val="16"/>
                <w:szCs w:val="16"/>
                <w:lang w:val="es-ES_tradnl"/>
              </w:rPr>
              <w:t xml:space="preserve"> </w:t>
            </w:r>
            <w:r w:rsidRPr="00C75C7E">
              <w:rPr>
                <w:bCs/>
                <w:sz w:val="16"/>
                <w:szCs w:val="16"/>
                <w:lang w:val="es-ES_tradnl"/>
              </w:rPr>
              <w:t>/</w:t>
            </w:r>
            <w:r>
              <w:rPr>
                <w:bCs/>
                <w:sz w:val="16"/>
                <w:szCs w:val="16"/>
                <w:lang w:val="es-ES_tradnl"/>
              </w:rPr>
              <w:t xml:space="preserve"> </w:t>
            </w:r>
            <w:r w:rsidRPr="00C75C7E">
              <w:rPr>
                <w:bCs/>
                <w:sz w:val="16"/>
                <w:szCs w:val="16"/>
                <w:lang w:val="es-ES_tradnl"/>
              </w:rPr>
              <w:t>organizaciones regionales</w:t>
            </w:r>
            <w:r>
              <w:rPr>
                <w:bCs/>
                <w:sz w:val="16"/>
                <w:szCs w:val="16"/>
                <w:lang w:val="es-ES_tradnl"/>
              </w:rPr>
              <w:t>. 90% de los encuestados expresa satisfacción con el asesoramiento brindado</w:t>
            </w:r>
            <w:r w:rsidRPr="00C75C7E">
              <w:rPr>
                <w:bCs/>
                <w:sz w:val="16"/>
                <w:szCs w:val="16"/>
                <w:lang w:val="es-ES_tradnl"/>
              </w:rPr>
              <w:t xml:space="preserve">. </w:t>
            </w:r>
          </w:p>
        </w:tc>
      </w:tr>
      <w:tr w:rsidR="002C3E27" w:rsidRPr="00C75C7E" w:rsidTr="002C3E27">
        <w:trPr>
          <w:cantSplit/>
          <w:trHeight w:val="1013"/>
        </w:trPr>
        <w:tc>
          <w:tcPr>
            <w:tcW w:w="1248" w:type="pct"/>
            <w:shd w:val="clear" w:color="auto" w:fill="auto"/>
          </w:tcPr>
          <w:p w:rsidR="002C3E27" w:rsidRPr="00C75C7E" w:rsidRDefault="002C3E27" w:rsidP="002C3E27">
            <w:pPr>
              <w:widowControl w:val="0"/>
              <w:rPr>
                <w:sz w:val="16"/>
                <w:szCs w:val="16"/>
                <w:lang w:val="es-ES_tradnl"/>
              </w:rPr>
            </w:pPr>
            <w:r w:rsidRPr="00C75C7E">
              <w:rPr>
                <w:sz w:val="16"/>
                <w:szCs w:val="16"/>
                <w:lang w:val="es-ES_tradnl"/>
              </w:rPr>
              <w:t>I.3. Aumento de la protección de los emblemas de Estado y de los nombres y emblemas de organizaciones intergubernamentales internacionales.</w:t>
            </w:r>
          </w:p>
        </w:tc>
        <w:tc>
          <w:tcPr>
            <w:tcW w:w="1514" w:type="pct"/>
            <w:shd w:val="clear" w:color="auto" w:fill="auto"/>
            <w:tcMar>
              <w:top w:w="110" w:type="dxa"/>
            </w:tcMar>
          </w:tcPr>
          <w:p w:rsidR="002C3E27" w:rsidRPr="00C75C7E" w:rsidRDefault="002C3E27" w:rsidP="002C3E27">
            <w:pPr>
              <w:widowControl w:val="0"/>
              <w:rPr>
                <w:sz w:val="16"/>
                <w:szCs w:val="16"/>
                <w:lang w:val="es-ES_tradnl"/>
              </w:rPr>
            </w:pPr>
            <w:r w:rsidRPr="00C75C7E">
              <w:rPr>
                <w:sz w:val="16"/>
                <w:szCs w:val="16"/>
                <w:lang w:val="es-ES_tradnl"/>
              </w:rPr>
              <w:t>Número de peticiones de comunicación tramitadas en virtud del artículo 6</w:t>
            </w:r>
            <w:r w:rsidRPr="00C75C7E">
              <w:rPr>
                <w:i/>
                <w:sz w:val="16"/>
                <w:szCs w:val="16"/>
                <w:lang w:val="es-ES_tradnl"/>
              </w:rPr>
              <w:t>ter.</w:t>
            </w:r>
          </w:p>
        </w:tc>
        <w:tc>
          <w:tcPr>
            <w:tcW w:w="1094" w:type="pct"/>
            <w:shd w:val="clear" w:color="auto" w:fill="FFFFFF"/>
            <w:tcMar>
              <w:top w:w="110" w:type="dxa"/>
            </w:tcMar>
          </w:tcPr>
          <w:p w:rsidR="002C3E27" w:rsidRPr="00C75C7E" w:rsidRDefault="002C3E27" w:rsidP="002C3E27">
            <w:pPr>
              <w:widowControl w:val="0"/>
              <w:rPr>
                <w:sz w:val="16"/>
                <w:szCs w:val="16"/>
                <w:lang w:val="es-ES_tradnl" w:bidi="th-TH"/>
              </w:rPr>
            </w:pPr>
            <w:r w:rsidRPr="00C75C7E">
              <w:rPr>
                <w:sz w:val="16"/>
                <w:szCs w:val="16"/>
                <w:lang w:val="es-ES_tradnl" w:bidi="th-TH"/>
              </w:rPr>
              <w:t>70 peticiones de comunicación tramitadas en 2012</w:t>
            </w:r>
            <w:r>
              <w:rPr>
                <w:sz w:val="16"/>
                <w:szCs w:val="16"/>
                <w:lang w:val="es-ES_tradnl" w:bidi="th-TH"/>
              </w:rPr>
              <w:t xml:space="preserve"> </w:t>
            </w:r>
            <w:r w:rsidRPr="00C75C7E">
              <w:rPr>
                <w:sz w:val="16"/>
                <w:szCs w:val="16"/>
                <w:lang w:val="es-ES_tradnl" w:bidi="th-TH"/>
              </w:rPr>
              <w:t>en virtud del artículo 6</w:t>
            </w:r>
            <w:r w:rsidRPr="00C75C7E">
              <w:rPr>
                <w:i/>
                <w:sz w:val="16"/>
                <w:szCs w:val="16"/>
                <w:lang w:val="es-ES_tradnl" w:bidi="th-TH"/>
              </w:rPr>
              <w:t>ter</w:t>
            </w:r>
            <w:r w:rsidRPr="00C75C7E">
              <w:rPr>
                <w:sz w:val="16"/>
                <w:szCs w:val="16"/>
                <w:lang w:val="es-ES_tradnl" w:bidi="th-TH"/>
              </w:rPr>
              <w:t>.</w:t>
            </w:r>
          </w:p>
        </w:tc>
        <w:tc>
          <w:tcPr>
            <w:tcW w:w="1144" w:type="pct"/>
            <w:shd w:val="clear" w:color="auto" w:fill="auto"/>
            <w:tcMar>
              <w:top w:w="110" w:type="dxa"/>
            </w:tcMar>
          </w:tcPr>
          <w:p w:rsidR="002C3E27" w:rsidRPr="00C75C7E" w:rsidRDefault="002C3E27" w:rsidP="002C3E27">
            <w:pPr>
              <w:widowControl w:val="0"/>
              <w:ind w:right="161"/>
              <w:rPr>
                <w:bCs/>
                <w:sz w:val="16"/>
                <w:szCs w:val="16"/>
                <w:lang w:val="es-ES_tradnl"/>
              </w:rPr>
            </w:pPr>
            <w:r w:rsidRPr="00C75C7E">
              <w:rPr>
                <w:bCs/>
                <w:sz w:val="16"/>
                <w:szCs w:val="16"/>
                <w:lang w:val="es-ES_tradnl"/>
              </w:rPr>
              <w:t>140  peticiones de comunicación tramitadas en virtud del artículo 6</w:t>
            </w:r>
            <w:r w:rsidRPr="00C75C7E">
              <w:rPr>
                <w:bCs/>
                <w:i/>
                <w:sz w:val="16"/>
                <w:szCs w:val="16"/>
                <w:lang w:val="es-ES_tradnl"/>
              </w:rPr>
              <w:t>ter.</w:t>
            </w:r>
          </w:p>
        </w:tc>
      </w:tr>
      <w:tr w:rsidR="002C3E27" w:rsidRPr="00C75C7E" w:rsidTr="002C3E27">
        <w:trPr>
          <w:cantSplit/>
          <w:trHeight w:val="710"/>
        </w:trPr>
        <w:tc>
          <w:tcPr>
            <w:tcW w:w="1248" w:type="pct"/>
            <w:shd w:val="clear" w:color="auto" w:fill="auto"/>
          </w:tcPr>
          <w:p w:rsidR="002C3E27" w:rsidRPr="00C75C7E" w:rsidRDefault="002C3E27" w:rsidP="002C3E27">
            <w:pPr>
              <w:widowControl w:val="0"/>
              <w:rPr>
                <w:sz w:val="16"/>
                <w:szCs w:val="16"/>
                <w:lang w:val="es-ES_tradnl"/>
              </w:rPr>
            </w:pPr>
          </w:p>
        </w:tc>
        <w:tc>
          <w:tcPr>
            <w:tcW w:w="1514" w:type="pct"/>
            <w:shd w:val="clear" w:color="auto" w:fill="auto"/>
            <w:tcMar>
              <w:top w:w="110" w:type="dxa"/>
            </w:tcMar>
          </w:tcPr>
          <w:p w:rsidR="002C3E27" w:rsidRPr="00C75C7E" w:rsidRDefault="002C3E27" w:rsidP="002C3E27">
            <w:pPr>
              <w:widowControl w:val="0"/>
              <w:rPr>
                <w:sz w:val="16"/>
                <w:szCs w:val="16"/>
                <w:lang w:val="es-ES_tradnl"/>
              </w:rPr>
            </w:pPr>
            <w:r w:rsidRPr="00C75C7E">
              <w:rPr>
                <w:sz w:val="16"/>
                <w:szCs w:val="16"/>
                <w:lang w:val="es-ES_tradnl"/>
              </w:rPr>
              <w:t>Número de signos publicados en la base de datos sobre el artículo 6</w:t>
            </w:r>
            <w:r w:rsidRPr="00C75C7E">
              <w:rPr>
                <w:i/>
                <w:sz w:val="16"/>
                <w:szCs w:val="16"/>
                <w:lang w:val="es-ES_tradnl"/>
              </w:rPr>
              <w:t>ter</w:t>
            </w:r>
            <w:r w:rsidRPr="00C75C7E">
              <w:rPr>
                <w:sz w:val="16"/>
                <w:szCs w:val="16"/>
                <w:lang w:val="es-ES_tradnl"/>
              </w:rPr>
              <w:t>.</w:t>
            </w:r>
          </w:p>
        </w:tc>
        <w:tc>
          <w:tcPr>
            <w:tcW w:w="1094" w:type="pct"/>
            <w:shd w:val="clear" w:color="auto" w:fill="FFFFFF"/>
            <w:tcMar>
              <w:top w:w="110" w:type="dxa"/>
            </w:tcMar>
          </w:tcPr>
          <w:p w:rsidR="002C3E27" w:rsidRPr="00C75C7E" w:rsidRDefault="002C3E27" w:rsidP="002C3E27">
            <w:pPr>
              <w:widowControl w:val="0"/>
              <w:rPr>
                <w:sz w:val="16"/>
                <w:szCs w:val="16"/>
                <w:lang w:val="es-ES_tradnl" w:bidi="th-TH"/>
              </w:rPr>
            </w:pPr>
            <w:r w:rsidRPr="00C75C7E">
              <w:rPr>
                <w:sz w:val="16"/>
                <w:szCs w:val="16"/>
                <w:lang w:val="es-ES_tradnl" w:bidi="th-TH"/>
              </w:rPr>
              <w:t>75 signos publicados en 2012</w:t>
            </w:r>
            <w:r>
              <w:rPr>
                <w:sz w:val="16"/>
                <w:szCs w:val="16"/>
                <w:lang w:val="es-ES_tradnl" w:bidi="th-TH"/>
              </w:rPr>
              <w:t xml:space="preserve"> </w:t>
            </w:r>
            <w:r w:rsidRPr="00C75C7E">
              <w:rPr>
                <w:sz w:val="16"/>
                <w:szCs w:val="16"/>
                <w:lang w:val="es-ES_tradnl" w:bidi="th-TH"/>
              </w:rPr>
              <w:t>en la base de datos sobre el artículo 6</w:t>
            </w:r>
            <w:r w:rsidRPr="00C75C7E">
              <w:rPr>
                <w:i/>
                <w:sz w:val="16"/>
                <w:szCs w:val="16"/>
                <w:lang w:val="es-ES_tradnl" w:bidi="th-TH"/>
              </w:rPr>
              <w:t>ter</w:t>
            </w:r>
            <w:r w:rsidRPr="00C75C7E">
              <w:rPr>
                <w:sz w:val="16"/>
                <w:szCs w:val="16"/>
                <w:lang w:val="es-ES_tradnl" w:bidi="th-TH"/>
              </w:rPr>
              <w:t>.</w:t>
            </w:r>
          </w:p>
        </w:tc>
        <w:tc>
          <w:tcPr>
            <w:tcW w:w="1144" w:type="pct"/>
            <w:shd w:val="clear" w:color="auto" w:fill="auto"/>
            <w:tcMar>
              <w:top w:w="110" w:type="dxa"/>
            </w:tcMar>
          </w:tcPr>
          <w:p w:rsidR="002C3E27" w:rsidRPr="00C75C7E" w:rsidRDefault="002C3E27" w:rsidP="002C3E27">
            <w:pPr>
              <w:widowControl w:val="0"/>
              <w:ind w:right="161"/>
              <w:rPr>
                <w:bCs/>
                <w:sz w:val="16"/>
                <w:szCs w:val="16"/>
                <w:lang w:val="es-ES_tradnl"/>
              </w:rPr>
            </w:pPr>
            <w:r w:rsidRPr="00C75C7E">
              <w:rPr>
                <w:bCs/>
                <w:sz w:val="16"/>
                <w:szCs w:val="16"/>
                <w:lang w:val="es-ES_tradnl"/>
              </w:rPr>
              <w:t>150 signos publicados en la base de datos sobre el artículo 6</w:t>
            </w:r>
            <w:r w:rsidRPr="00C75C7E">
              <w:rPr>
                <w:bCs/>
                <w:i/>
                <w:sz w:val="16"/>
                <w:szCs w:val="16"/>
                <w:lang w:val="es-ES_tradnl"/>
              </w:rPr>
              <w:t>ter</w:t>
            </w:r>
            <w:r w:rsidRPr="00C75C7E">
              <w:rPr>
                <w:bCs/>
                <w:sz w:val="16"/>
                <w:szCs w:val="16"/>
                <w:lang w:val="es-ES_tradnl"/>
              </w:rPr>
              <w:t>.</w:t>
            </w:r>
          </w:p>
        </w:tc>
      </w:tr>
    </w:tbl>
    <w:p w:rsidR="00A35236" w:rsidRDefault="00A35236" w:rsidP="00A05011"/>
    <w:p w:rsidR="000637AB" w:rsidRDefault="000637AB" w:rsidP="00A05011"/>
    <w:p w:rsidR="000637AB" w:rsidRDefault="000637AB" w:rsidP="00A05011"/>
    <w:p w:rsidR="000637AB" w:rsidRPr="001C181F" w:rsidRDefault="000637AB" w:rsidP="000637AB">
      <w:pPr>
        <w:pStyle w:val="Endofdocument-Annex"/>
        <w:rPr>
          <w:lang w:val="es-ES_tradnl"/>
        </w:rPr>
      </w:pPr>
      <w:r w:rsidRPr="001C181F">
        <w:rPr>
          <w:lang w:val="es-ES_tradnl"/>
        </w:rPr>
        <w:t>[Sigue el Anexo II]</w:t>
      </w:r>
    </w:p>
    <w:p w:rsidR="00A35236" w:rsidRDefault="00A35236" w:rsidP="00A05011"/>
    <w:p w:rsidR="00A35236" w:rsidRDefault="00A35236" w:rsidP="00A05011">
      <w:pPr>
        <w:sectPr w:rsidR="00A35236" w:rsidSect="00D17DE2">
          <w:headerReference w:type="first" r:id="rId11"/>
          <w:pgSz w:w="11907" w:h="16840" w:code="9"/>
          <w:pgMar w:top="567" w:right="1134" w:bottom="1418" w:left="1418" w:header="510" w:footer="1021" w:gutter="0"/>
          <w:cols w:space="720"/>
          <w:titlePg/>
          <w:docGrid w:linePitch="299"/>
        </w:sectPr>
      </w:pPr>
    </w:p>
    <w:p w:rsidR="00A35236" w:rsidRPr="00CE4941" w:rsidRDefault="00CE4941" w:rsidP="00CE4941">
      <w:pPr>
        <w:jc w:val="center"/>
        <w:rPr>
          <w:b/>
        </w:rPr>
      </w:pPr>
      <w:r>
        <w:rPr>
          <w:b/>
        </w:rPr>
        <w:lastRenderedPageBreak/>
        <w:t>ANEXO II</w:t>
      </w:r>
    </w:p>
    <w:p w:rsidR="002C3E27" w:rsidRPr="00450C3A" w:rsidRDefault="002C3E27" w:rsidP="002C3E27">
      <w:pPr>
        <w:pStyle w:val="Heading3"/>
        <w:tabs>
          <w:tab w:val="left" w:pos="1985"/>
        </w:tabs>
        <w:ind w:left="1985" w:hanging="1985"/>
        <w:rPr>
          <w:b/>
          <w:iCs/>
          <w:caps/>
          <w:u w:val="none"/>
        </w:rPr>
      </w:pPr>
      <w:bookmarkStart w:id="3" w:name="_Toc356567750"/>
      <w:bookmarkStart w:id="4" w:name="_Toc366078710"/>
      <w:r w:rsidRPr="00450C3A">
        <w:rPr>
          <w:b/>
          <w:iCs/>
          <w:u w:val="none"/>
        </w:rPr>
        <w:t>PROGRAMA 4</w:t>
      </w:r>
      <w:r w:rsidRPr="00450C3A">
        <w:rPr>
          <w:b/>
          <w:iCs/>
          <w:u w:val="none"/>
        </w:rPr>
        <w:tab/>
      </w:r>
      <w:bookmarkEnd w:id="3"/>
      <w:r w:rsidRPr="00450C3A">
        <w:rPr>
          <w:b/>
          <w:iCs/>
          <w:u w:val="none"/>
        </w:rPr>
        <w:t>CONOCIMIENTOS TRADICIONALES, EXPRESIONES CULTURALES TRADICIONALES Y RECURSOS GENÉTICOS</w:t>
      </w:r>
      <w:bookmarkEnd w:id="4"/>
    </w:p>
    <w:p w:rsidR="002C3E27" w:rsidRPr="00546AD7" w:rsidRDefault="002C3E27" w:rsidP="002C3E27">
      <w:pPr>
        <w:widowControl w:val="0"/>
        <w:tabs>
          <w:tab w:val="left" w:pos="2268"/>
        </w:tabs>
        <w:ind w:left="2268" w:hanging="2268"/>
        <w:rPr>
          <w:rFonts w:eastAsia="Times New Roman" w:cs="Times New Roman"/>
          <w:bCs/>
          <w:sz w:val="20"/>
          <w:lang w:eastAsia="en-US"/>
        </w:rPr>
      </w:pPr>
    </w:p>
    <w:p w:rsidR="002C3E27" w:rsidRPr="00C75C7E" w:rsidRDefault="002C3E27" w:rsidP="002C3E27">
      <w:pPr>
        <w:rPr>
          <w:szCs w:val="22"/>
        </w:rPr>
      </w:pPr>
    </w:p>
    <w:p w:rsidR="002C3E27" w:rsidRPr="00C75C7E" w:rsidRDefault="002C3E27" w:rsidP="002C3E27">
      <w:pPr>
        <w:widowControl w:val="0"/>
        <w:tabs>
          <w:tab w:val="left" w:pos="567"/>
          <w:tab w:val="left" w:pos="1985"/>
        </w:tabs>
        <w:jc w:val="both"/>
        <w:rPr>
          <w:bCs/>
          <w:sz w:val="20"/>
          <w:lang w:val="es-ES_tradnl"/>
        </w:rPr>
      </w:pPr>
      <w:r w:rsidRPr="00C75C7E">
        <w:rPr>
          <w:bCs/>
          <w:szCs w:val="22"/>
          <w:lang w:val="es-ES_tradnl"/>
        </w:rPr>
        <w:t>MARCO DE RESULTADOS</w:t>
      </w:r>
    </w:p>
    <w:p w:rsidR="002C3E27" w:rsidRPr="00C75C7E" w:rsidRDefault="002C3E27" w:rsidP="002C3E27">
      <w:pPr>
        <w:widowControl w:val="0"/>
        <w:tabs>
          <w:tab w:val="left" w:pos="567"/>
          <w:tab w:val="left" w:pos="1985"/>
        </w:tabs>
        <w:jc w:val="both"/>
        <w:rPr>
          <w:bCs/>
          <w:sz w:val="20"/>
          <w:lang w:val="es-ES_tradnl"/>
        </w:rPr>
      </w:pPr>
    </w:p>
    <w:tbl>
      <w:tblPr>
        <w:tblW w:w="4888"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0"/>
        <w:gridCol w:w="2847"/>
        <w:gridCol w:w="2057"/>
        <w:gridCol w:w="2103"/>
      </w:tblGrid>
      <w:tr w:rsidR="002C3E27" w:rsidRPr="00C75C7E" w:rsidTr="002C3E27">
        <w:trPr>
          <w:cantSplit/>
          <w:trHeight w:val="397"/>
        </w:trPr>
        <w:tc>
          <w:tcPr>
            <w:tcW w:w="1255" w:type="pct"/>
            <w:tcBorders>
              <w:top w:val="single" w:sz="4" w:space="0" w:color="auto"/>
              <w:left w:val="single" w:sz="4" w:space="0" w:color="auto"/>
              <w:bottom w:val="single" w:sz="4" w:space="0" w:color="auto"/>
            </w:tcBorders>
            <w:shd w:val="clear" w:color="auto" w:fill="CCFFFF"/>
            <w:vAlign w:val="center"/>
          </w:tcPr>
          <w:p w:rsidR="002C3E27" w:rsidRPr="00C75C7E" w:rsidRDefault="002C3E27" w:rsidP="002C3E27">
            <w:pPr>
              <w:widowControl w:val="0"/>
              <w:spacing w:after="120"/>
              <w:jc w:val="center"/>
              <w:rPr>
                <w:b/>
                <w:bCs/>
                <w:sz w:val="18"/>
                <w:szCs w:val="18"/>
                <w:lang w:val="es-ES_tradnl"/>
              </w:rPr>
            </w:pPr>
            <w:r w:rsidRPr="00C75C7E">
              <w:rPr>
                <w:b/>
                <w:bCs/>
                <w:sz w:val="18"/>
                <w:szCs w:val="18"/>
                <w:lang w:val="es-ES_tradnl"/>
              </w:rPr>
              <w:t>Resultados previstos</w:t>
            </w:r>
          </w:p>
        </w:tc>
        <w:tc>
          <w:tcPr>
            <w:tcW w:w="1521" w:type="pct"/>
            <w:tcBorders>
              <w:top w:val="single" w:sz="4" w:space="0" w:color="auto"/>
              <w:bottom w:val="single" w:sz="4" w:space="0" w:color="auto"/>
            </w:tcBorders>
            <w:shd w:val="clear" w:color="auto" w:fill="CCFFFF"/>
            <w:tcMar>
              <w:top w:w="110" w:type="dxa"/>
            </w:tcMar>
            <w:vAlign w:val="center"/>
          </w:tcPr>
          <w:p w:rsidR="002C3E27" w:rsidRPr="00C75C7E" w:rsidRDefault="002C3E27" w:rsidP="002C3E27">
            <w:pPr>
              <w:widowControl w:val="0"/>
              <w:spacing w:after="120"/>
              <w:jc w:val="center"/>
              <w:rPr>
                <w:b/>
                <w:sz w:val="18"/>
                <w:szCs w:val="18"/>
                <w:lang w:val="es-ES_tradnl"/>
              </w:rPr>
            </w:pPr>
            <w:r w:rsidRPr="00C75C7E">
              <w:rPr>
                <w:b/>
                <w:sz w:val="18"/>
                <w:szCs w:val="18"/>
                <w:lang w:val="es-ES_tradnl"/>
              </w:rPr>
              <w:t>Indicadores de rendimiento</w:t>
            </w:r>
          </w:p>
        </w:tc>
        <w:tc>
          <w:tcPr>
            <w:tcW w:w="1099" w:type="pct"/>
            <w:tcBorders>
              <w:top w:val="single" w:sz="4" w:space="0" w:color="auto"/>
              <w:bottom w:val="single" w:sz="4" w:space="0" w:color="auto"/>
            </w:tcBorders>
            <w:shd w:val="clear" w:color="auto" w:fill="CCFFFF"/>
            <w:tcMar>
              <w:top w:w="110" w:type="dxa"/>
            </w:tcMar>
            <w:vAlign w:val="center"/>
          </w:tcPr>
          <w:p w:rsidR="002C3E27" w:rsidRPr="00C75C7E" w:rsidRDefault="002C3E27" w:rsidP="002C3E27">
            <w:pPr>
              <w:widowControl w:val="0"/>
              <w:spacing w:after="120"/>
              <w:ind w:left="85"/>
              <w:jc w:val="center"/>
              <w:rPr>
                <w:sz w:val="18"/>
                <w:szCs w:val="18"/>
                <w:lang w:val="es-ES_tradnl"/>
              </w:rPr>
            </w:pPr>
            <w:r w:rsidRPr="00C75C7E">
              <w:rPr>
                <w:b/>
                <w:bCs/>
                <w:sz w:val="18"/>
                <w:szCs w:val="18"/>
                <w:lang w:val="es-ES_tradnl"/>
              </w:rPr>
              <w:t>Referencia</w:t>
            </w:r>
          </w:p>
        </w:tc>
        <w:tc>
          <w:tcPr>
            <w:tcW w:w="1124" w:type="pct"/>
            <w:tcBorders>
              <w:top w:val="single" w:sz="4" w:space="0" w:color="auto"/>
              <w:bottom w:val="single" w:sz="4" w:space="0" w:color="auto"/>
              <w:right w:val="single" w:sz="4" w:space="0" w:color="auto"/>
            </w:tcBorders>
            <w:shd w:val="clear" w:color="auto" w:fill="CCFFFF"/>
            <w:tcMar>
              <w:top w:w="110" w:type="dxa"/>
            </w:tcMar>
            <w:vAlign w:val="center"/>
          </w:tcPr>
          <w:p w:rsidR="002C3E27" w:rsidRPr="00C75C7E" w:rsidRDefault="002C3E27" w:rsidP="002C3E27">
            <w:pPr>
              <w:widowControl w:val="0"/>
              <w:tabs>
                <w:tab w:val="left" w:pos="1433"/>
              </w:tabs>
              <w:spacing w:after="120"/>
              <w:ind w:right="222"/>
              <w:jc w:val="center"/>
              <w:rPr>
                <w:b/>
                <w:bCs/>
                <w:sz w:val="18"/>
                <w:szCs w:val="18"/>
                <w:lang w:val="es-ES_tradnl"/>
              </w:rPr>
            </w:pPr>
            <w:r w:rsidRPr="00C75C7E">
              <w:rPr>
                <w:b/>
                <w:bCs/>
                <w:sz w:val="18"/>
                <w:szCs w:val="18"/>
                <w:lang w:val="es-ES_tradnl"/>
              </w:rPr>
              <w:t>Objetivos</w:t>
            </w:r>
          </w:p>
        </w:tc>
      </w:tr>
      <w:tr w:rsidR="002C3E27" w:rsidRPr="00C75C7E" w:rsidTr="002C3E27">
        <w:trPr>
          <w:cantSplit/>
        </w:trPr>
        <w:tc>
          <w:tcPr>
            <w:tcW w:w="1255" w:type="pct"/>
            <w:tcBorders>
              <w:top w:val="single" w:sz="4" w:space="0" w:color="auto"/>
            </w:tcBorders>
            <w:shd w:val="clear" w:color="auto" w:fill="auto"/>
            <w:tcMar>
              <w:top w:w="113"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 xml:space="preserve">I.1. Mejor cooperación entre los Estados miembros en lo que atañe a la elaboración de marcos normativos internacionales equilibrados para la P.I. y </w:t>
            </w:r>
            <w:r>
              <w:rPr>
                <w:sz w:val="16"/>
                <w:szCs w:val="16"/>
                <w:lang w:val="es-ES_tradnl"/>
              </w:rPr>
              <w:t>fomento de acuerdos sobre las cuestiones específicas</w:t>
            </w:r>
            <w:r w:rsidRPr="00C75C7E">
              <w:rPr>
                <w:sz w:val="16"/>
                <w:szCs w:val="16"/>
                <w:lang w:val="es-ES_tradnl"/>
              </w:rPr>
              <w:t xml:space="preserve"> respecto de las que se acuerdan instrumentos internacionales.</w:t>
            </w:r>
          </w:p>
        </w:tc>
        <w:tc>
          <w:tcPr>
            <w:tcW w:w="1521" w:type="pct"/>
            <w:tcBorders>
              <w:top w:val="single" w:sz="4" w:space="0" w:color="auto"/>
            </w:tcBorders>
            <w:shd w:val="clear" w:color="auto" w:fill="auto"/>
            <w:tcMar>
              <w:top w:w="113"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A</w:t>
            </w:r>
            <w:r>
              <w:rPr>
                <w:sz w:val="16"/>
                <w:szCs w:val="16"/>
                <w:lang w:val="es-ES_tradnl"/>
              </w:rPr>
              <w:t>cuerdo</w:t>
            </w:r>
            <w:r w:rsidRPr="00C75C7E">
              <w:rPr>
                <w:sz w:val="16"/>
                <w:szCs w:val="16"/>
                <w:lang w:val="es-ES_tradnl"/>
              </w:rPr>
              <w:t xml:space="preserve"> en las negociaciones del CIG </w:t>
            </w:r>
            <w:r>
              <w:rPr>
                <w:sz w:val="16"/>
                <w:szCs w:val="16"/>
                <w:lang w:val="es-ES_tradnl"/>
              </w:rPr>
              <w:t>sobre</w:t>
            </w:r>
            <w:r w:rsidRPr="00C75C7E">
              <w:rPr>
                <w:sz w:val="16"/>
                <w:szCs w:val="16"/>
                <w:lang w:val="es-ES_tradnl"/>
              </w:rPr>
              <w:t xml:space="preserve"> uno o varios instrumentos jurídicos internacionales</w:t>
            </w:r>
            <w:r>
              <w:rPr>
                <w:sz w:val="16"/>
                <w:szCs w:val="16"/>
                <w:lang w:val="es-ES_tradnl"/>
              </w:rPr>
              <w:t xml:space="preserve"> relativos a los CC.TT., ECT y RR.GG.</w:t>
            </w:r>
          </w:p>
        </w:tc>
        <w:tc>
          <w:tcPr>
            <w:tcW w:w="1099" w:type="pct"/>
            <w:tcBorders>
              <w:top w:val="single" w:sz="4" w:space="0" w:color="auto"/>
            </w:tcBorders>
            <w:shd w:val="clear" w:color="auto" w:fill="FFFFFF"/>
            <w:tcMar>
              <w:top w:w="113" w:type="dxa"/>
              <w:bottom w:w="85" w:type="dxa"/>
            </w:tcMar>
          </w:tcPr>
          <w:p w:rsidR="002C3E27" w:rsidRPr="00C75C7E" w:rsidRDefault="002C3E27" w:rsidP="002C3E27">
            <w:pPr>
              <w:widowControl w:val="0"/>
              <w:rPr>
                <w:sz w:val="16"/>
                <w:szCs w:val="16"/>
                <w:lang w:val="es-ES_tradnl" w:bidi="th-TH"/>
              </w:rPr>
            </w:pPr>
            <w:r w:rsidRPr="00C75C7E">
              <w:rPr>
                <w:sz w:val="16"/>
                <w:szCs w:val="16"/>
                <w:lang w:val="es-ES_tradnl" w:bidi="th-TH"/>
              </w:rPr>
              <w:t>Negociaciones en curso en el marco del mandato del CIG c</w:t>
            </w:r>
            <w:r>
              <w:rPr>
                <w:sz w:val="16"/>
                <w:szCs w:val="16"/>
                <w:lang w:val="es-ES_tradnl" w:bidi="th-TH"/>
              </w:rPr>
              <w:t xml:space="preserve">orrespondiente a 2012-2013 y </w:t>
            </w:r>
            <w:r w:rsidRPr="00C75C7E">
              <w:rPr>
                <w:sz w:val="16"/>
                <w:szCs w:val="16"/>
                <w:lang w:val="es-ES_tradnl" w:bidi="th-TH"/>
              </w:rPr>
              <w:t>programa de trabajo de 2013.</w:t>
            </w:r>
          </w:p>
          <w:p w:rsidR="002C3E27" w:rsidRPr="00C75C7E" w:rsidRDefault="002C3E27" w:rsidP="002C3E27">
            <w:pPr>
              <w:widowControl w:val="0"/>
              <w:rPr>
                <w:sz w:val="16"/>
                <w:szCs w:val="16"/>
                <w:lang w:val="es-ES_tradnl" w:bidi="th-TH"/>
              </w:rPr>
            </w:pPr>
          </w:p>
          <w:p w:rsidR="002C3E27" w:rsidRPr="00C75C7E" w:rsidRDefault="002C3E27" w:rsidP="002C3E27">
            <w:pPr>
              <w:widowControl w:val="0"/>
              <w:rPr>
                <w:sz w:val="16"/>
                <w:szCs w:val="16"/>
                <w:lang w:val="es-ES_tradnl"/>
              </w:rPr>
            </w:pPr>
          </w:p>
        </w:tc>
        <w:tc>
          <w:tcPr>
            <w:tcW w:w="1124" w:type="pct"/>
            <w:tcBorders>
              <w:top w:val="single" w:sz="4" w:space="0" w:color="auto"/>
            </w:tcBorders>
            <w:shd w:val="clear" w:color="auto" w:fill="auto"/>
            <w:tcMar>
              <w:top w:w="113" w:type="dxa"/>
              <w:bottom w:w="85" w:type="dxa"/>
            </w:tcMar>
          </w:tcPr>
          <w:p w:rsidR="002C3E27" w:rsidRPr="00C75C7E" w:rsidRDefault="002C3E27" w:rsidP="002C3E27">
            <w:pPr>
              <w:widowControl w:val="0"/>
              <w:rPr>
                <w:bCs/>
                <w:sz w:val="16"/>
                <w:szCs w:val="16"/>
                <w:lang w:val="es-ES_tradnl"/>
              </w:rPr>
            </w:pPr>
            <w:r w:rsidRPr="00C75C7E">
              <w:rPr>
                <w:bCs/>
                <w:sz w:val="16"/>
                <w:szCs w:val="16"/>
                <w:lang w:val="es-ES_tradnl"/>
              </w:rPr>
              <w:t>Adopción de uno o varios instrumentos internacionales</w:t>
            </w:r>
            <w:r>
              <w:rPr>
                <w:bCs/>
                <w:sz w:val="16"/>
                <w:szCs w:val="16"/>
                <w:lang w:val="es-ES_tradnl"/>
              </w:rPr>
              <w:t xml:space="preserve"> en una eventual conferencia diplomática.</w:t>
            </w:r>
          </w:p>
        </w:tc>
      </w:tr>
      <w:tr w:rsidR="002C3E27" w:rsidRPr="00C75C7E" w:rsidTr="002C3E27">
        <w:trPr>
          <w:cantSplit/>
        </w:trPr>
        <w:tc>
          <w:tcPr>
            <w:tcW w:w="1255" w:type="pct"/>
            <w:shd w:val="clear" w:color="auto" w:fill="auto"/>
            <w:tcMar>
              <w:top w:w="113"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III.2 Mejora de las capacidades en el ámbito de los recursos humanos para hacer frente al amplio espectro de exigencias que supone la utilización eficaz de la P.I. en aras del desarrollo en los países en desarrollo, PMA y países con economías en transición.</w:t>
            </w:r>
          </w:p>
        </w:tc>
        <w:tc>
          <w:tcPr>
            <w:tcW w:w="1521" w:type="pct"/>
            <w:shd w:val="clear" w:color="auto" w:fill="auto"/>
            <w:tcMar>
              <w:top w:w="113" w:type="dxa"/>
              <w:bottom w:w="85" w:type="dxa"/>
            </w:tcMar>
          </w:tcPr>
          <w:p w:rsidR="002C3E27" w:rsidRPr="00C75C7E" w:rsidRDefault="002C3E27" w:rsidP="002C3E27">
            <w:pPr>
              <w:widowControl w:val="0"/>
              <w:rPr>
                <w:sz w:val="16"/>
                <w:szCs w:val="16"/>
                <w:lang w:val="es-ES_tradnl"/>
              </w:rPr>
            </w:pPr>
            <w:r w:rsidRPr="00C75C7E">
              <w:rPr>
                <w:sz w:val="16"/>
                <w:szCs w:val="16"/>
                <w:lang w:val="es-ES_tradnl"/>
              </w:rPr>
              <w:t>Porcentaje de participantes en actividades de la OMPI que afirman haber fomentado la capacidad de comprender y utilizar principios, sistemas y herramientas de P.I. para la protección de los CC.TT. y las ECT, y para la gestión de la relación existente entre la P.I. y los RR.GG.</w:t>
            </w:r>
          </w:p>
        </w:tc>
        <w:tc>
          <w:tcPr>
            <w:tcW w:w="1099" w:type="pct"/>
            <w:shd w:val="clear" w:color="auto" w:fill="FFFFFF"/>
            <w:tcMar>
              <w:top w:w="113" w:type="dxa"/>
              <w:bottom w:w="85" w:type="dxa"/>
            </w:tcMar>
          </w:tcPr>
          <w:p w:rsidR="002C3E27" w:rsidRPr="00C75C7E" w:rsidRDefault="002C3E27" w:rsidP="002C3E27">
            <w:pPr>
              <w:widowControl w:val="0"/>
              <w:rPr>
                <w:sz w:val="16"/>
                <w:szCs w:val="16"/>
                <w:lang w:val="es-ES_tradnl" w:bidi="th-TH"/>
              </w:rPr>
            </w:pPr>
            <w:r w:rsidRPr="00C75C7E">
              <w:rPr>
                <w:sz w:val="16"/>
                <w:szCs w:val="16"/>
                <w:lang w:val="es-ES_tradnl" w:bidi="th-TH"/>
              </w:rPr>
              <w:t>Aún no está disponible.</w:t>
            </w:r>
          </w:p>
          <w:p w:rsidR="002C3E27" w:rsidRPr="00C75C7E" w:rsidRDefault="002C3E27" w:rsidP="002C3E27">
            <w:pPr>
              <w:widowControl w:val="0"/>
              <w:rPr>
                <w:sz w:val="16"/>
                <w:szCs w:val="16"/>
                <w:lang w:val="es-ES_tradnl" w:bidi="th-TH"/>
              </w:rPr>
            </w:pPr>
          </w:p>
          <w:p w:rsidR="002C3E27" w:rsidRPr="00C75C7E" w:rsidRDefault="002C3E27" w:rsidP="002C3E27">
            <w:pPr>
              <w:widowControl w:val="0"/>
              <w:rPr>
                <w:sz w:val="16"/>
                <w:szCs w:val="16"/>
                <w:lang w:val="es-ES_tradnl" w:bidi="th-TH"/>
              </w:rPr>
            </w:pPr>
          </w:p>
          <w:p w:rsidR="002C3E27" w:rsidRPr="00C75C7E" w:rsidRDefault="002C3E27" w:rsidP="002C3E27">
            <w:pPr>
              <w:widowControl w:val="0"/>
              <w:rPr>
                <w:sz w:val="16"/>
                <w:szCs w:val="16"/>
                <w:lang w:val="es-ES_tradnl"/>
              </w:rPr>
            </w:pPr>
          </w:p>
        </w:tc>
        <w:tc>
          <w:tcPr>
            <w:tcW w:w="1124" w:type="pct"/>
            <w:shd w:val="clear" w:color="auto" w:fill="auto"/>
            <w:tcMar>
              <w:top w:w="113" w:type="dxa"/>
              <w:bottom w:w="85" w:type="dxa"/>
            </w:tcMar>
          </w:tcPr>
          <w:p w:rsidR="002C3E27" w:rsidRPr="00C75C7E" w:rsidRDefault="002C3E27" w:rsidP="002C3E27">
            <w:pPr>
              <w:widowControl w:val="0"/>
              <w:tabs>
                <w:tab w:val="left" w:pos="2051"/>
              </w:tabs>
              <w:ind w:right="381"/>
              <w:rPr>
                <w:bCs/>
                <w:sz w:val="16"/>
                <w:szCs w:val="16"/>
                <w:lang w:val="es-ES_tradnl"/>
              </w:rPr>
            </w:pPr>
            <w:r w:rsidRPr="00C75C7E">
              <w:rPr>
                <w:bCs/>
                <w:sz w:val="16"/>
                <w:szCs w:val="16"/>
                <w:lang w:val="es-ES_tradnl"/>
              </w:rPr>
              <w:t>80%</w:t>
            </w:r>
          </w:p>
        </w:tc>
      </w:tr>
    </w:tbl>
    <w:p w:rsidR="002C3E27" w:rsidRPr="00C75C7E" w:rsidRDefault="002C3E27" w:rsidP="002C3E27">
      <w:pPr>
        <w:widowControl w:val="0"/>
        <w:tabs>
          <w:tab w:val="left" w:pos="567"/>
          <w:tab w:val="left" w:pos="1985"/>
        </w:tabs>
        <w:rPr>
          <w:bCs/>
          <w:sz w:val="20"/>
          <w:lang w:val="es-ES_tradnl"/>
        </w:rPr>
      </w:pPr>
    </w:p>
    <w:p w:rsidR="002C3E27" w:rsidRPr="00546AD7" w:rsidRDefault="002C3E27" w:rsidP="002C3E27">
      <w:pPr>
        <w:widowControl w:val="0"/>
        <w:tabs>
          <w:tab w:val="left" w:pos="2268"/>
        </w:tabs>
        <w:ind w:left="2268" w:hanging="2268"/>
        <w:rPr>
          <w:rFonts w:eastAsia="Times New Roman" w:cs="Times New Roman"/>
          <w:bCs/>
          <w:sz w:val="20"/>
          <w:lang w:eastAsia="en-US"/>
        </w:rPr>
      </w:pPr>
    </w:p>
    <w:p w:rsidR="00A35236" w:rsidRDefault="00A35236" w:rsidP="00A05011"/>
    <w:p w:rsidR="000637AB" w:rsidRDefault="000637AB" w:rsidP="000637AB">
      <w:pPr>
        <w:pStyle w:val="Endofdocument-Annex"/>
      </w:pPr>
      <w:r>
        <w:t>[Sigue el Anexo III]</w:t>
      </w:r>
    </w:p>
    <w:p w:rsidR="00A35236" w:rsidRDefault="00A35236" w:rsidP="00A05011"/>
    <w:p w:rsidR="00A35236" w:rsidRDefault="00A35236" w:rsidP="00A05011">
      <w:pPr>
        <w:sectPr w:rsidR="00A35236" w:rsidSect="00D17DE2">
          <w:headerReference w:type="first" r:id="rId12"/>
          <w:pgSz w:w="11907" w:h="16840" w:code="9"/>
          <w:pgMar w:top="567" w:right="1134" w:bottom="1418" w:left="1418" w:header="510" w:footer="1021" w:gutter="0"/>
          <w:cols w:space="720"/>
          <w:titlePg/>
          <w:docGrid w:linePitch="299"/>
        </w:sectPr>
      </w:pPr>
    </w:p>
    <w:p w:rsidR="00A35236" w:rsidRPr="00CE4941" w:rsidRDefault="00CE4941" w:rsidP="00CE4941">
      <w:pPr>
        <w:jc w:val="center"/>
        <w:rPr>
          <w:b/>
        </w:rPr>
      </w:pPr>
      <w:r>
        <w:rPr>
          <w:b/>
        </w:rPr>
        <w:lastRenderedPageBreak/>
        <w:t>ANEXO III</w:t>
      </w:r>
    </w:p>
    <w:p w:rsidR="002C3E27" w:rsidRPr="000E3B25" w:rsidRDefault="002C3E27" w:rsidP="002C3E27">
      <w:pPr>
        <w:pStyle w:val="Heading3"/>
        <w:tabs>
          <w:tab w:val="left" w:pos="1985"/>
        </w:tabs>
        <w:ind w:left="1985" w:hanging="1985"/>
        <w:rPr>
          <w:b/>
          <w:u w:val="none"/>
          <w:lang w:val="es-ES_tradnl"/>
        </w:rPr>
      </w:pPr>
      <w:bookmarkStart w:id="5" w:name="_Toc356567774"/>
      <w:bookmarkStart w:id="6" w:name="_Toc366078742"/>
      <w:r w:rsidRPr="00BE322F">
        <w:rPr>
          <w:b/>
          <w:u w:val="none"/>
          <w:lang w:val="es-ES_tradnl"/>
        </w:rPr>
        <w:t>PROGRAMA 20</w:t>
      </w:r>
      <w:r w:rsidRPr="00BE322F">
        <w:rPr>
          <w:b/>
          <w:u w:val="none"/>
          <w:lang w:val="es-ES_tradnl"/>
        </w:rPr>
        <w:tab/>
      </w:r>
      <w:r w:rsidRPr="00F21127">
        <w:rPr>
          <w:b/>
          <w:iCs/>
          <w:caps/>
          <w:u w:val="none"/>
        </w:rPr>
        <w:t>RELACIONES</w:t>
      </w:r>
      <w:r w:rsidRPr="00BE322F">
        <w:rPr>
          <w:b/>
          <w:u w:val="none"/>
          <w:lang w:val="es-ES_tradnl"/>
        </w:rPr>
        <w:t xml:space="preserve"> EXTERIORES, ALIANZAS Y OFICINAS </w:t>
      </w:r>
      <w:r>
        <w:rPr>
          <w:b/>
          <w:u w:val="none"/>
          <w:lang w:val="es-ES_tradnl"/>
        </w:rPr>
        <w:t>EN EL EXTERIOR</w:t>
      </w:r>
      <w:bookmarkEnd w:id="5"/>
      <w:bookmarkEnd w:id="6"/>
    </w:p>
    <w:p w:rsidR="002C3E27" w:rsidRDefault="002C3E27" w:rsidP="002C3E27">
      <w:pPr>
        <w:rPr>
          <w:bCs/>
          <w:szCs w:val="22"/>
          <w:lang w:val="es-ES_tradnl"/>
        </w:rPr>
      </w:pPr>
    </w:p>
    <w:p w:rsidR="002C3E27" w:rsidRPr="00AD1E8B" w:rsidRDefault="002C3E27" w:rsidP="002C3E27">
      <w:pPr>
        <w:jc w:val="both"/>
        <w:rPr>
          <w:b/>
          <w:bCs/>
          <w:szCs w:val="22"/>
          <w:lang w:val="es-ES_tradnl"/>
        </w:rPr>
      </w:pPr>
      <w:r w:rsidRPr="00AD1E8B">
        <w:rPr>
          <w:b/>
          <w:bCs/>
          <w:szCs w:val="22"/>
          <w:lang w:val="es-ES_tradnl"/>
        </w:rPr>
        <w:t xml:space="preserve">OFICINAS </w:t>
      </w:r>
      <w:r>
        <w:rPr>
          <w:b/>
          <w:bCs/>
          <w:szCs w:val="22"/>
          <w:lang w:val="es-ES_tradnl"/>
        </w:rPr>
        <w:t xml:space="preserve">EN EL </w:t>
      </w:r>
      <w:r w:rsidRPr="00AD1E8B">
        <w:rPr>
          <w:b/>
          <w:bCs/>
          <w:szCs w:val="22"/>
          <w:lang w:val="es-ES_tradnl"/>
        </w:rPr>
        <w:t>EXTER</w:t>
      </w:r>
      <w:r>
        <w:rPr>
          <w:b/>
          <w:bCs/>
          <w:szCs w:val="22"/>
          <w:lang w:val="es-ES_tradnl"/>
        </w:rPr>
        <w:t>IOR</w:t>
      </w:r>
    </w:p>
    <w:p w:rsidR="002C3E27" w:rsidRPr="00AD1E8B" w:rsidRDefault="002C3E27" w:rsidP="002C3E27">
      <w:pPr>
        <w:jc w:val="both"/>
        <w:rPr>
          <w:sz w:val="20"/>
          <w:lang w:val="es-ES_tradnl"/>
        </w:rPr>
      </w:pPr>
    </w:p>
    <w:p w:rsidR="002C3E27" w:rsidRPr="00AD1E8B" w:rsidRDefault="002C3E27" w:rsidP="002C3E27">
      <w:pPr>
        <w:tabs>
          <w:tab w:val="num" w:pos="709"/>
        </w:tabs>
        <w:jc w:val="both"/>
        <w:rPr>
          <w:bCs/>
          <w:szCs w:val="22"/>
          <w:lang w:val="es-ES_tradnl"/>
        </w:rPr>
      </w:pPr>
      <w:r w:rsidRPr="00AD1E8B">
        <w:rPr>
          <w:bCs/>
          <w:szCs w:val="22"/>
          <w:lang w:val="es-ES_tradnl"/>
        </w:rPr>
        <w:t>CONTEXTO  DE PLANIFICACIÓN</w:t>
      </w:r>
    </w:p>
    <w:p w:rsidR="002C3E27" w:rsidRPr="00AD1E8B" w:rsidRDefault="002C3E27" w:rsidP="002C3E27">
      <w:pPr>
        <w:tabs>
          <w:tab w:val="num" w:pos="709"/>
        </w:tabs>
        <w:jc w:val="both"/>
        <w:rPr>
          <w:bCs/>
          <w:sz w:val="20"/>
          <w:lang w:val="es-ES_tradnl"/>
        </w:rPr>
      </w:pPr>
    </w:p>
    <w:p w:rsidR="002C3E27" w:rsidRPr="00AD1E8B" w:rsidRDefault="002C3E27" w:rsidP="002C3E27">
      <w:pPr>
        <w:jc w:val="both"/>
        <w:rPr>
          <w:sz w:val="20"/>
          <w:lang w:val="es-ES_tradnl"/>
        </w:rPr>
      </w:pPr>
    </w:p>
    <w:p w:rsidR="002C3E27" w:rsidRPr="00AD1E8B" w:rsidRDefault="002C3E27" w:rsidP="002C3E27">
      <w:pPr>
        <w:jc w:val="both"/>
        <w:rPr>
          <w:sz w:val="20"/>
          <w:lang w:val="es-ES_tradnl"/>
        </w:rPr>
      </w:pPr>
      <w:r>
        <w:rPr>
          <w:sz w:val="20"/>
          <w:lang w:val="es-ES_tradnl"/>
        </w:rPr>
        <w:t>20.8</w:t>
      </w:r>
      <w:r>
        <w:rPr>
          <w:sz w:val="20"/>
          <w:lang w:val="es-ES_tradnl"/>
        </w:rPr>
        <w:tab/>
      </w:r>
      <w:r w:rsidRPr="00AD1E8B">
        <w:rPr>
          <w:sz w:val="20"/>
          <w:lang w:val="es-ES_tradnl"/>
        </w:rPr>
        <w:t>Las consultas oficiosas celebradas con los Estados miembros en 2011 y 2012 arrojaron como resultado la formulación de los siguientes princ</w:t>
      </w:r>
      <w:r>
        <w:rPr>
          <w:sz w:val="20"/>
          <w:lang w:val="es-ES_tradnl"/>
        </w:rPr>
        <w:t>ipios:  1) las oficinas en el exterior</w:t>
      </w:r>
      <w:r w:rsidRPr="00AD1E8B">
        <w:rPr>
          <w:sz w:val="20"/>
          <w:lang w:val="es-ES_tradnl"/>
        </w:rPr>
        <w:t xml:space="preserve"> deben generar valor añadido y emprender actividades que puedan llevar a cabo más eficientemente que la Sede de la Organ</w:t>
      </w:r>
      <w:r>
        <w:rPr>
          <w:sz w:val="20"/>
          <w:lang w:val="es-ES_tradnl"/>
        </w:rPr>
        <w:t>ización;  2) las oficinas en el exterior</w:t>
      </w:r>
      <w:r w:rsidRPr="00AD1E8B">
        <w:rPr>
          <w:sz w:val="20"/>
          <w:lang w:val="es-ES_tradnl"/>
        </w:rPr>
        <w:t xml:space="preserve"> podrán desempeñar diferentes combinaciones de funciones según las prioridades y peculiaridades regionales;  3) una nueva oficina </w:t>
      </w:r>
      <w:r>
        <w:rPr>
          <w:sz w:val="20"/>
          <w:lang w:val="es-ES_tradnl"/>
        </w:rPr>
        <w:t>en el exterior</w:t>
      </w:r>
      <w:r w:rsidRPr="00AD1E8B">
        <w:rPr>
          <w:sz w:val="20"/>
          <w:lang w:val="es-ES_tradnl"/>
        </w:rPr>
        <w:t xml:space="preserve"> sólo debe ser  establecida si ello resulta viable para la Organización desde el punto de vista financiero;  4) se adoptará un planteamiento gradual y prudente al determinar las funciones de las oficinas </w:t>
      </w:r>
      <w:r>
        <w:rPr>
          <w:sz w:val="20"/>
          <w:lang w:val="es-ES_tradnl"/>
        </w:rPr>
        <w:t>en el exterior</w:t>
      </w:r>
      <w:r w:rsidRPr="00AD1E8B">
        <w:rPr>
          <w:sz w:val="20"/>
          <w:lang w:val="es-ES_tradnl"/>
        </w:rPr>
        <w:t xml:space="preserve"> y asignar los correspondientes recursos.</w:t>
      </w:r>
      <w:r>
        <w:rPr>
          <w:sz w:val="20"/>
          <w:lang w:val="es-ES_tradnl"/>
        </w:rPr>
        <w:t xml:space="preserve">  Tras las consultas oficiosas celebradas </w:t>
      </w:r>
      <w:r w:rsidR="000637AB">
        <w:rPr>
          <w:sz w:val="20"/>
          <w:lang w:val="es-ES_tradnl"/>
        </w:rPr>
        <w:t>durante la serie de reuniones de 2013 de las Asambleas de la OMPI, los Estados miembros adoptaron los principios rectores generales relativos a las oficinas de la OMPI en el exterior.</w:t>
      </w:r>
    </w:p>
    <w:p w:rsidR="002C3E27" w:rsidRPr="00AD1E8B" w:rsidRDefault="002C3E27" w:rsidP="002C3E27">
      <w:pPr>
        <w:jc w:val="both"/>
        <w:rPr>
          <w:sz w:val="20"/>
          <w:lang w:val="es-ES_tradnl"/>
        </w:rPr>
      </w:pPr>
    </w:p>
    <w:p w:rsidR="00A35236" w:rsidRDefault="00A35236" w:rsidP="00A05011">
      <w:pPr>
        <w:rPr>
          <w:lang w:val="es-ES_tradnl"/>
        </w:rPr>
      </w:pPr>
    </w:p>
    <w:p w:rsidR="000637AB" w:rsidRPr="00AD1E8B" w:rsidRDefault="000637AB" w:rsidP="000637AB">
      <w:pPr>
        <w:keepNext/>
        <w:keepLines/>
        <w:tabs>
          <w:tab w:val="num" w:pos="709"/>
        </w:tabs>
        <w:jc w:val="both"/>
        <w:rPr>
          <w:bCs/>
          <w:szCs w:val="22"/>
          <w:lang w:val="es-ES_tradnl"/>
        </w:rPr>
      </w:pPr>
      <w:r w:rsidRPr="00AD1E8B">
        <w:rPr>
          <w:bCs/>
          <w:szCs w:val="22"/>
          <w:lang w:val="es-ES_tradnl"/>
        </w:rPr>
        <w:t>ESTRATEGIAS DE EJECUCIÓN</w:t>
      </w:r>
    </w:p>
    <w:p w:rsidR="000637AB" w:rsidRPr="00AD1E8B" w:rsidRDefault="000637AB" w:rsidP="000637AB">
      <w:pPr>
        <w:keepNext/>
        <w:keepLines/>
        <w:tabs>
          <w:tab w:val="num" w:pos="709"/>
        </w:tabs>
        <w:jc w:val="both"/>
        <w:rPr>
          <w:bCs/>
          <w:sz w:val="20"/>
          <w:lang w:val="es-ES_tradnl"/>
        </w:rPr>
      </w:pPr>
    </w:p>
    <w:p w:rsidR="000637AB" w:rsidRPr="00AD1E8B" w:rsidRDefault="000637AB" w:rsidP="000637AB">
      <w:pPr>
        <w:tabs>
          <w:tab w:val="left" w:pos="1134"/>
        </w:tabs>
        <w:ind w:left="6"/>
        <w:jc w:val="both"/>
        <w:rPr>
          <w:sz w:val="20"/>
          <w:u w:val="single"/>
          <w:lang w:val="es-ES_tradnl"/>
        </w:rPr>
      </w:pPr>
      <w:r w:rsidRPr="00AD1E8B">
        <w:rPr>
          <w:sz w:val="20"/>
          <w:u w:val="single"/>
          <w:lang w:val="es-ES_tradnl"/>
        </w:rPr>
        <w:t xml:space="preserve">Nuevas oficinas </w:t>
      </w:r>
      <w:r>
        <w:rPr>
          <w:sz w:val="20"/>
          <w:u w:val="single"/>
          <w:lang w:val="es-ES_tradnl"/>
        </w:rPr>
        <w:t xml:space="preserve">en el </w:t>
      </w:r>
      <w:r w:rsidRPr="00AD1E8B">
        <w:rPr>
          <w:sz w:val="20"/>
          <w:u w:val="single"/>
          <w:lang w:val="es-ES_tradnl"/>
        </w:rPr>
        <w:t>exter</w:t>
      </w:r>
      <w:r>
        <w:rPr>
          <w:sz w:val="20"/>
          <w:u w:val="single"/>
          <w:lang w:val="es-ES_tradnl"/>
        </w:rPr>
        <w:t>ior</w:t>
      </w:r>
    </w:p>
    <w:p w:rsidR="000637AB" w:rsidRPr="00AD1E8B" w:rsidRDefault="000637AB" w:rsidP="000637AB">
      <w:pPr>
        <w:jc w:val="both"/>
        <w:rPr>
          <w:sz w:val="20"/>
          <w:highlight w:val="yellow"/>
          <w:lang w:val="es-ES_tradnl"/>
        </w:rPr>
      </w:pPr>
    </w:p>
    <w:p w:rsidR="000637AB" w:rsidRPr="00AD1E8B" w:rsidRDefault="000637AB" w:rsidP="000637AB">
      <w:pPr>
        <w:jc w:val="both"/>
        <w:rPr>
          <w:bCs/>
          <w:sz w:val="20"/>
          <w:lang w:val="es-ES_tradnl"/>
        </w:rPr>
      </w:pPr>
      <w:r>
        <w:rPr>
          <w:sz w:val="20"/>
          <w:lang w:val="es-ES_tradnl"/>
        </w:rPr>
        <w:t>20.21</w:t>
      </w:r>
      <w:r>
        <w:rPr>
          <w:sz w:val="20"/>
          <w:lang w:val="es-ES_tradnl"/>
        </w:rPr>
        <w:tab/>
      </w:r>
      <w:r w:rsidRPr="00AD1E8B">
        <w:rPr>
          <w:sz w:val="20"/>
          <w:lang w:val="es-ES_tradnl"/>
        </w:rPr>
        <w:t>Para el próximo bienio se ha planificado la apertura de oficinas en China, la Federación de Rusia</w:t>
      </w:r>
      <w:r>
        <w:rPr>
          <w:sz w:val="20"/>
          <w:lang w:val="es-ES_tradnl"/>
        </w:rPr>
        <w:t>,</w:t>
      </w:r>
      <w:r w:rsidRPr="00AD1E8B">
        <w:rPr>
          <w:sz w:val="20"/>
          <w:lang w:val="es-ES_tradnl"/>
        </w:rPr>
        <w:t xml:space="preserve"> los Estados Unidos de América</w:t>
      </w:r>
      <w:r>
        <w:rPr>
          <w:sz w:val="20"/>
          <w:lang w:val="es-ES_tradnl"/>
        </w:rPr>
        <w:t>, dos en África, una en América Latina y el Caribe, y una en la India.</w:t>
      </w:r>
      <w:r w:rsidRPr="00AD1E8B">
        <w:rPr>
          <w:sz w:val="20"/>
          <w:lang w:val="es-ES_tradnl"/>
        </w:rPr>
        <w:t xml:space="preserve">  Se da por supuesto que el establecimiento de las nuevas oficinas </w:t>
      </w:r>
      <w:r>
        <w:rPr>
          <w:sz w:val="20"/>
          <w:lang w:val="es-ES_tradnl"/>
        </w:rPr>
        <w:t xml:space="preserve">en el </w:t>
      </w:r>
      <w:r w:rsidRPr="00AD1E8B">
        <w:rPr>
          <w:sz w:val="20"/>
          <w:lang w:val="es-ES_tradnl"/>
        </w:rPr>
        <w:t>exter</w:t>
      </w:r>
      <w:r>
        <w:rPr>
          <w:sz w:val="20"/>
          <w:lang w:val="es-ES_tradnl"/>
        </w:rPr>
        <w:t>ior</w:t>
      </w:r>
      <w:r w:rsidRPr="00AD1E8B">
        <w:rPr>
          <w:sz w:val="20"/>
          <w:lang w:val="es-ES_tradnl"/>
        </w:rPr>
        <w:t xml:space="preserve"> no quedará culminado durante el bienio 2014-2015.  Tanto las oficinas nuevas como las existentes serán objeto de un seguimiento, procediéndose a una evaluación de los resultados alcanzados gracias a ellas.  L</w:t>
      </w:r>
      <w:r>
        <w:rPr>
          <w:sz w:val="20"/>
          <w:lang w:val="es-ES_tradnl"/>
        </w:rPr>
        <w:t>os pedidos de creación de otras oficinas aún no han sido atendidos</w:t>
      </w:r>
      <w:r w:rsidRPr="00AD1E8B">
        <w:rPr>
          <w:sz w:val="20"/>
          <w:lang w:val="es-ES_tradnl"/>
        </w:rPr>
        <w:t xml:space="preserve">.  En último término, es preciso que el número de las oficinas </w:t>
      </w:r>
      <w:r>
        <w:rPr>
          <w:sz w:val="20"/>
          <w:lang w:val="es-ES_tradnl"/>
        </w:rPr>
        <w:t>en el exterior</w:t>
      </w:r>
      <w:r w:rsidRPr="00AD1E8B">
        <w:rPr>
          <w:sz w:val="20"/>
          <w:lang w:val="es-ES_tradnl"/>
        </w:rPr>
        <w:t xml:space="preserve"> sea sostenible;  lo ideal sería tener una red mundial limitada de oficinas estratégicamente situadas.</w:t>
      </w:r>
    </w:p>
    <w:p w:rsidR="000637AB" w:rsidRPr="00AD1E8B" w:rsidRDefault="000637AB" w:rsidP="000637AB">
      <w:pPr>
        <w:tabs>
          <w:tab w:val="num" w:pos="709"/>
        </w:tabs>
        <w:jc w:val="both"/>
        <w:rPr>
          <w:bCs/>
          <w:sz w:val="20"/>
          <w:lang w:val="es-ES_tradnl"/>
        </w:rPr>
      </w:pPr>
    </w:p>
    <w:p w:rsidR="000637AB" w:rsidRDefault="000637AB" w:rsidP="00A05011">
      <w:pPr>
        <w:rPr>
          <w:lang w:val="es-ES_tradnl"/>
        </w:rPr>
      </w:pPr>
    </w:p>
    <w:p w:rsidR="000637AB" w:rsidRPr="001C181F" w:rsidRDefault="000637AB" w:rsidP="000637AB">
      <w:pPr>
        <w:pStyle w:val="Endofdocument-Annex"/>
        <w:rPr>
          <w:lang w:val="es-ES_tradnl"/>
        </w:rPr>
      </w:pPr>
      <w:r w:rsidRPr="001C181F">
        <w:rPr>
          <w:lang w:val="es-ES_tradnl"/>
        </w:rPr>
        <w:t>[Sigue el Anexo IV]</w:t>
      </w:r>
    </w:p>
    <w:p w:rsidR="00A35236" w:rsidRDefault="00A35236" w:rsidP="00A05011"/>
    <w:p w:rsidR="00A35236" w:rsidRDefault="00A35236" w:rsidP="00A05011">
      <w:pPr>
        <w:sectPr w:rsidR="00A35236" w:rsidSect="00D17DE2">
          <w:headerReference w:type="first" r:id="rId13"/>
          <w:pgSz w:w="11907" w:h="16840" w:code="9"/>
          <w:pgMar w:top="567" w:right="1134" w:bottom="1418" w:left="1418" w:header="510" w:footer="1021" w:gutter="0"/>
          <w:cols w:space="720"/>
          <w:titlePg/>
          <w:docGrid w:linePitch="299"/>
        </w:sectPr>
      </w:pPr>
    </w:p>
    <w:p w:rsidR="002C3E27" w:rsidRDefault="00CE4941" w:rsidP="00A35236">
      <w:pPr>
        <w:pStyle w:val="Header"/>
        <w:jc w:val="center"/>
        <w:rPr>
          <w:b/>
          <w:lang w:val="es-ES_tradnl"/>
        </w:rPr>
      </w:pPr>
      <w:r>
        <w:rPr>
          <w:b/>
          <w:lang w:val="es-ES_tradnl"/>
        </w:rPr>
        <w:lastRenderedPageBreak/>
        <w:t>ANEXO IV</w:t>
      </w:r>
    </w:p>
    <w:p w:rsidR="00CE4941" w:rsidRDefault="00CE4941" w:rsidP="00CE4941">
      <w:pPr>
        <w:pStyle w:val="Header"/>
        <w:rPr>
          <w:b/>
          <w:lang w:val="es-ES_tradnl"/>
        </w:rPr>
      </w:pPr>
    </w:p>
    <w:p w:rsidR="00A35236" w:rsidRDefault="00A35236" w:rsidP="00A35236">
      <w:pPr>
        <w:pStyle w:val="Header"/>
        <w:jc w:val="center"/>
        <w:rPr>
          <w:b/>
          <w:lang w:val="es-ES_tradnl"/>
        </w:rPr>
      </w:pPr>
      <w:r>
        <w:rPr>
          <w:b/>
          <w:lang w:val="es-ES_tradnl"/>
        </w:rPr>
        <w:t>Principios rectores generales relativos a las oficinas de la OMPI en el exterior</w:t>
      </w:r>
    </w:p>
    <w:p w:rsidR="00A35236" w:rsidRPr="00D155DF" w:rsidRDefault="00A35236" w:rsidP="00A35236">
      <w:pPr>
        <w:rPr>
          <w:lang w:val="es-ES_tradnl"/>
        </w:rPr>
      </w:pPr>
    </w:p>
    <w:p w:rsidR="00A35236" w:rsidRPr="00D93243" w:rsidRDefault="00A35236" w:rsidP="00A35236">
      <w:pPr>
        <w:pStyle w:val="ONUMFS"/>
        <w:numPr>
          <w:ilvl w:val="0"/>
          <w:numId w:val="0"/>
        </w:numPr>
        <w:rPr>
          <w:b/>
          <w:lang w:val="es-ES_tradnl"/>
        </w:rPr>
      </w:pPr>
      <w:r w:rsidRPr="00D93243">
        <w:rPr>
          <w:b/>
          <w:lang w:val="es-ES_tradnl"/>
        </w:rPr>
        <w:t>I.</w:t>
      </w:r>
      <w:r w:rsidRPr="00D93243">
        <w:rPr>
          <w:b/>
          <w:lang w:val="es-ES_tradnl"/>
        </w:rPr>
        <w:tab/>
        <w:t>Principios r</w:t>
      </w:r>
      <w:r>
        <w:rPr>
          <w:b/>
          <w:lang w:val="es-ES_tradnl"/>
        </w:rPr>
        <w:t>ectores generales</w:t>
      </w:r>
    </w:p>
    <w:p w:rsidR="00A35236" w:rsidRPr="00D93243" w:rsidRDefault="00A35236" w:rsidP="00A35236">
      <w:pPr>
        <w:pStyle w:val="ONUMFS"/>
        <w:numPr>
          <w:ilvl w:val="0"/>
          <w:numId w:val="0"/>
        </w:numPr>
        <w:rPr>
          <w:lang w:val="es-ES_tradnl"/>
        </w:rPr>
      </w:pPr>
      <w:r w:rsidRPr="00D93243">
        <w:rPr>
          <w:lang w:val="es-ES_tradnl"/>
        </w:rPr>
        <w:t xml:space="preserve">Se decidió lo siguiente: </w:t>
      </w:r>
    </w:p>
    <w:p w:rsidR="00A35236" w:rsidRPr="00D93243" w:rsidRDefault="00A35236" w:rsidP="00A35236">
      <w:pPr>
        <w:pStyle w:val="ONUMFS"/>
        <w:numPr>
          <w:ilvl w:val="0"/>
          <w:numId w:val="0"/>
        </w:numPr>
        <w:rPr>
          <w:lang w:val="es-ES_tradnl"/>
        </w:rPr>
      </w:pPr>
      <w:r w:rsidRPr="00D93243">
        <w:rPr>
          <w:lang w:val="es-ES_tradnl"/>
        </w:rPr>
        <w:t>Los principios siguientes orientarán el establecimiento de una pequeña red de oficinas de la OMPI</w:t>
      </w:r>
      <w:r>
        <w:rPr>
          <w:lang w:val="es-ES_tradnl"/>
        </w:rPr>
        <w:t xml:space="preserve"> en el exterior</w:t>
      </w:r>
      <w:r w:rsidRPr="00CE0EB0">
        <w:t xml:space="preserve"> que resulte eficaz, esté ubicada estratégicamente y sea representativa desde el punto de vista geográfico (véase el </w:t>
      </w:r>
      <w:r>
        <w:t>apartado</w:t>
      </w:r>
      <w:r w:rsidRPr="00D93243">
        <w:rPr>
          <w:lang w:val="es-ES_tradnl"/>
        </w:rPr>
        <w:t xml:space="preserve"> d) </w:t>
      </w:r>
      <w:r>
        <w:rPr>
          <w:lang w:val="es-ES_tradnl"/>
        </w:rPr>
        <w:t>más adelante</w:t>
      </w:r>
      <w:r w:rsidRPr="00D93243">
        <w:rPr>
          <w:lang w:val="es-ES_tradnl"/>
        </w:rPr>
        <w:t xml:space="preserve">) y que pueda representar un valor añadido al proporcionar apoyo político y logístico para el cumplimiento de los objetivos estratégicos de la Organización de una forma que no pueda lograrse únicamente por medio de las operaciones ejecutadas en la Sede de la OMPI.  </w:t>
      </w:r>
    </w:p>
    <w:p w:rsidR="00A35236" w:rsidRPr="00D93243" w:rsidRDefault="00A35236" w:rsidP="00A35236">
      <w:pPr>
        <w:pStyle w:val="ONUMFS"/>
        <w:numPr>
          <w:ilvl w:val="0"/>
          <w:numId w:val="0"/>
        </w:numPr>
        <w:rPr>
          <w:b/>
          <w:lang w:val="es-ES_tradnl"/>
        </w:rPr>
      </w:pPr>
      <w:r w:rsidRPr="00D93243">
        <w:rPr>
          <w:b/>
          <w:lang w:val="es-ES_tradnl"/>
        </w:rPr>
        <w:t>a.</w:t>
      </w:r>
      <w:r w:rsidRPr="00D93243">
        <w:rPr>
          <w:b/>
          <w:lang w:val="es-ES_tradnl"/>
        </w:rPr>
        <w:tab/>
        <w:t>Transparencia del procedimiento de creación de oficinas</w:t>
      </w:r>
      <w:r>
        <w:rPr>
          <w:b/>
          <w:lang w:val="es-ES_tradnl"/>
        </w:rPr>
        <w:t xml:space="preserve"> </w:t>
      </w:r>
      <w:r w:rsidRPr="00D93243">
        <w:rPr>
          <w:b/>
          <w:lang w:val="es-ES_tradnl"/>
        </w:rPr>
        <w:t>de la OMPI</w:t>
      </w:r>
      <w:r>
        <w:rPr>
          <w:b/>
          <w:lang w:val="es-ES_tradnl"/>
        </w:rPr>
        <w:t xml:space="preserve"> en el exterior</w:t>
      </w:r>
    </w:p>
    <w:p w:rsidR="00A35236" w:rsidRPr="00D93243" w:rsidRDefault="00A35236" w:rsidP="00A35236">
      <w:pPr>
        <w:pStyle w:val="ONUMFS"/>
        <w:ind w:left="567"/>
        <w:rPr>
          <w:lang w:val="es-ES_tradnl"/>
        </w:rPr>
      </w:pPr>
      <w:r w:rsidRPr="00D93243">
        <w:rPr>
          <w:lang w:val="es-ES_tradnl"/>
        </w:rPr>
        <w:t xml:space="preserve">Todo Estado miembro que desee acoger una oficina </w:t>
      </w:r>
      <w:r>
        <w:rPr>
          <w:lang w:val="es-ES_tradnl"/>
        </w:rPr>
        <w:t>de la OMPI</w:t>
      </w:r>
      <w:r w:rsidRPr="00D93243">
        <w:rPr>
          <w:lang w:val="es-ES_tradnl"/>
        </w:rPr>
        <w:t xml:space="preserve"> a título nacional</w:t>
      </w:r>
      <w:r>
        <w:rPr>
          <w:lang w:val="es-ES_tradnl"/>
        </w:rPr>
        <w:t>,</w:t>
      </w:r>
      <w:r w:rsidRPr="00D93243">
        <w:rPr>
          <w:lang w:val="es-ES_tradnl"/>
        </w:rPr>
        <w:t xml:space="preserve"> o en nombre de un grupo de países o de un Grupo Regional, si así se acuerda por consenso, deberá notificarlo por escrito al Director General.  El Director General deberá informar sin demora a los Estados miembros de que ha recibido la notificación.  Esta disposición no se aplica a los Estados miembros que, a título nacional o en nombre de un grupo de países o de un Grupo Regional, si así se acuerda por consenso, ya hayan presentado las comunicaciones/notificaciones escritas.</w:t>
      </w:r>
    </w:p>
    <w:p w:rsidR="00A35236" w:rsidRDefault="00A35236" w:rsidP="00A35236">
      <w:pPr>
        <w:pStyle w:val="ONUMFS"/>
        <w:ind w:left="567"/>
        <w:rPr>
          <w:lang w:val="es-ES_tradnl"/>
        </w:rPr>
      </w:pPr>
      <w:r w:rsidRPr="00D155DF">
        <w:rPr>
          <w:lang w:val="es-ES_tradnl"/>
        </w:rPr>
        <w:t xml:space="preserve">El Estado miembro que desee acoger una oficina </w:t>
      </w:r>
      <w:r>
        <w:rPr>
          <w:lang w:val="es-ES_tradnl"/>
        </w:rPr>
        <w:t>de la OMPI</w:t>
      </w:r>
      <w:r w:rsidRPr="00D155DF">
        <w:rPr>
          <w:lang w:val="es-ES_tradnl"/>
        </w:rPr>
        <w:t xml:space="preserve"> deberá presentar una propuesta, con la asistencia de la Secretaría s</w:t>
      </w:r>
      <w:r>
        <w:rPr>
          <w:lang w:val="es-ES_tradnl"/>
        </w:rPr>
        <w:t>i así lo</w:t>
      </w:r>
      <w:r w:rsidRPr="00D155DF">
        <w:rPr>
          <w:lang w:val="es-ES_tradnl"/>
        </w:rPr>
        <w:t xml:space="preserve"> solicit</w:t>
      </w:r>
      <w:r>
        <w:rPr>
          <w:lang w:val="es-ES_tradnl"/>
        </w:rPr>
        <w:t>a el Estado miembro</w:t>
      </w:r>
      <w:r w:rsidRPr="00D155DF">
        <w:rPr>
          <w:lang w:val="es-ES_tradnl"/>
        </w:rPr>
        <w:t>, al Director General a fin de que sea considerada por el Comité del Programa y Presupuesto (PBC).  La Secretaría deberá presentar al PBC la notificación y la propuesta recibidas del Estado miembro.  La Secretaría deberá incluir la propuesta recibida del Estado miembro en un informe que remitirá al PBC y formular observaciones sobre la viabilidad de la oficina propuesta y el cumplimiento de los principios establecidos. El PBC considerará la propuesta a fin de formular una recom</w:t>
      </w:r>
      <w:r>
        <w:rPr>
          <w:lang w:val="es-ES_tradnl"/>
        </w:rPr>
        <w:t>endación a la Asamblea General.</w:t>
      </w:r>
    </w:p>
    <w:p w:rsidR="00A35236" w:rsidRPr="00D93243" w:rsidRDefault="00A35236" w:rsidP="00A35236">
      <w:pPr>
        <w:pStyle w:val="ONUMFS"/>
        <w:ind w:left="567"/>
        <w:rPr>
          <w:lang w:val="es-ES_tradnl"/>
        </w:rPr>
      </w:pPr>
      <w:r w:rsidRPr="00D93243">
        <w:rPr>
          <w:lang w:val="es-ES_tradnl"/>
        </w:rPr>
        <w:t>Tras el resultado obtenido en el PBC, el Comité de Coordinación examinará un proyecto de propuesta de acuerdo que esté en concordancia con el artículo 12 del Convenio de la OMPI.</w:t>
      </w:r>
    </w:p>
    <w:p w:rsidR="00A35236" w:rsidRPr="00D93243" w:rsidRDefault="00A35236" w:rsidP="00A35236">
      <w:pPr>
        <w:pStyle w:val="ONUMFS"/>
        <w:ind w:left="567"/>
        <w:rPr>
          <w:lang w:val="es-ES_tradnl"/>
        </w:rPr>
      </w:pPr>
      <w:r w:rsidRPr="00D93243">
        <w:rPr>
          <w:lang w:val="es-ES_tradnl"/>
        </w:rPr>
        <w:t>La Asamblea General considerará las recomendaciones del PBC y los resultados de los debates del Co</w:t>
      </w:r>
      <w:r w:rsidR="002C3E27">
        <w:rPr>
          <w:lang w:val="es-ES_tradnl"/>
        </w:rPr>
        <w:t xml:space="preserve">mité de </w:t>
      </w:r>
      <w:r w:rsidRPr="00D93243">
        <w:rPr>
          <w:lang w:val="es-ES_tradnl"/>
        </w:rPr>
        <w:t>Co</w:t>
      </w:r>
      <w:r w:rsidR="002C3E27">
        <w:rPr>
          <w:lang w:val="es-ES_tradnl"/>
        </w:rPr>
        <w:t>ordinación</w:t>
      </w:r>
      <w:r w:rsidRPr="00D93243">
        <w:rPr>
          <w:lang w:val="es-ES_tradnl"/>
        </w:rPr>
        <w:t xml:space="preserve"> sobre el proyecto de propuesta de acuerdo</w:t>
      </w:r>
      <w:r>
        <w:rPr>
          <w:lang w:val="es-ES_tradnl"/>
        </w:rPr>
        <w:t>,</w:t>
      </w:r>
      <w:r w:rsidRPr="00D93243">
        <w:rPr>
          <w:lang w:val="es-ES_tradnl"/>
        </w:rPr>
        <w:t xml:space="preserve"> a fin de adoptar una decisión final sobre el establecimiento de la nueva oficina en el exterior.</w:t>
      </w:r>
    </w:p>
    <w:p w:rsidR="00A35236" w:rsidRPr="00D93243" w:rsidRDefault="00A35236" w:rsidP="00A35236">
      <w:pPr>
        <w:pStyle w:val="ONUMFS"/>
        <w:numPr>
          <w:ilvl w:val="0"/>
          <w:numId w:val="0"/>
        </w:numPr>
        <w:rPr>
          <w:b/>
          <w:lang w:val="es-ES_tradnl"/>
        </w:rPr>
      </w:pPr>
      <w:r w:rsidRPr="00D93243">
        <w:rPr>
          <w:b/>
          <w:lang w:val="es-ES_tradnl"/>
        </w:rPr>
        <w:t>b.</w:t>
      </w:r>
      <w:r w:rsidRPr="00D93243">
        <w:rPr>
          <w:b/>
          <w:lang w:val="es-ES_tradnl"/>
        </w:rPr>
        <w:tab/>
        <w:t>Razones para la creación de nuevas oficinas en el exterior y su objetivo</w:t>
      </w:r>
    </w:p>
    <w:p w:rsidR="00A35236" w:rsidRDefault="00A35236" w:rsidP="00A35236">
      <w:pPr>
        <w:pStyle w:val="ONUMFS"/>
        <w:numPr>
          <w:ilvl w:val="0"/>
          <w:numId w:val="0"/>
        </w:numPr>
        <w:ind w:left="567"/>
        <w:rPr>
          <w:lang w:val="es-ES_tradnl"/>
        </w:rPr>
      </w:pPr>
      <w:r w:rsidRPr="00D93243">
        <w:rPr>
          <w:lang w:val="es-ES_tradnl"/>
        </w:rPr>
        <w:t xml:space="preserve">En la propuesta que ha de presentarse al PBC, mencionada en el </w:t>
      </w:r>
      <w:r>
        <w:rPr>
          <w:lang w:val="es-ES_tradnl"/>
        </w:rPr>
        <w:t>apartado</w:t>
      </w:r>
      <w:r w:rsidRPr="00D93243">
        <w:rPr>
          <w:lang w:val="es-ES_tradnl"/>
        </w:rPr>
        <w:t xml:space="preserve"> a) </w:t>
      </w:r>
      <w:r>
        <w:rPr>
          <w:lang w:val="es-ES_tradnl"/>
        </w:rPr>
        <w:t>anterior</w:t>
      </w:r>
      <w:r w:rsidRPr="00D93243">
        <w:rPr>
          <w:lang w:val="es-ES_tradnl"/>
        </w:rPr>
        <w:t xml:space="preserve">, se deberán proporcionar los motivos, la necesidad, el objetivo y el valor añadido de establecer la nueva oficina en el exterior, </w:t>
      </w:r>
      <w:r>
        <w:rPr>
          <w:lang w:val="es-ES_tradnl"/>
        </w:rPr>
        <w:t>así como un</w:t>
      </w:r>
      <w:r w:rsidRPr="00D93243">
        <w:rPr>
          <w:lang w:val="es-ES_tradnl"/>
        </w:rPr>
        <w:t xml:space="preserve">a evaluación de </w:t>
      </w:r>
      <w:r>
        <w:rPr>
          <w:lang w:val="es-ES_tradnl"/>
        </w:rPr>
        <w:t>cómo contribuirá</w:t>
      </w:r>
      <w:r w:rsidRPr="00D93243">
        <w:rPr>
          <w:lang w:val="es-ES_tradnl"/>
        </w:rPr>
        <w:t xml:space="preserve"> a los programas y objetivos de la </w:t>
      </w:r>
      <w:r w:rsidRPr="00D93243">
        <w:rPr>
          <w:rFonts w:eastAsia="Arial"/>
          <w:lang w:val="es-ES_tradnl"/>
        </w:rPr>
        <w:t>Organización</w:t>
      </w:r>
      <w:r w:rsidRPr="00D93243">
        <w:rPr>
          <w:lang w:val="es-ES_tradnl"/>
        </w:rPr>
        <w:t xml:space="preserve">, prestando atención especialmente a los elementos siguientes mencionados en los </w:t>
      </w:r>
      <w:r>
        <w:rPr>
          <w:lang w:val="es-ES_tradnl"/>
        </w:rPr>
        <w:t>apartados</w:t>
      </w:r>
      <w:r w:rsidRPr="00D93243">
        <w:rPr>
          <w:lang w:val="es-ES_tradnl"/>
        </w:rPr>
        <w:t> c) y d)</w:t>
      </w:r>
      <w:r>
        <w:rPr>
          <w:lang w:val="es-ES_tradnl"/>
        </w:rPr>
        <w:t xml:space="preserve"> siguientes</w:t>
      </w:r>
      <w:r w:rsidRPr="00D93243">
        <w:rPr>
          <w:lang w:val="es-ES_tradnl"/>
        </w:rPr>
        <w:t>.</w:t>
      </w:r>
    </w:p>
    <w:p w:rsidR="00A35236" w:rsidRDefault="00A35236" w:rsidP="00A35236">
      <w:pPr>
        <w:pStyle w:val="ONUMFS"/>
        <w:numPr>
          <w:ilvl w:val="0"/>
          <w:numId w:val="0"/>
        </w:numPr>
        <w:ind w:left="567"/>
        <w:rPr>
          <w:lang w:val="es-ES_tradnl"/>
        </w:rPr>
      </w:pPr>
      <w:r>
        <w:rPr>
          <w:lang w:val="es-ES_tradnl"/>
        </w:rPr>
        <w:t>El alcance de las actividades de la oficina de la OMPI en un Estado miembro podrá consistir en:</w:t>
      </w:r>
    </w:p>
    <w:p w:rsidR="00A35236" w:rsidRPr="00D93243" w:rsidRDefault="00A35236" w:rsidP="00A35236">
      <w:pPr>
        <w:pStyle w:val="ListParagraph"/>
        <w:numPr>
          <w:ilvl w:val="0"/>
          <w:numId w:val="8"/>
        </w:numPr>
        <w:spacing w:after="220" w:line="240" w:lineRule="auto"/>
        <w:ind w:left="1701" w:hanging="561"/>
        <w:rPr>
          <w:rFonts w:ascii="Arial" w:hAnsi="Arial" w:cs="Arial"/>
          <w:lang w:val="es-ES_tradnl"/>
        </w:rPr>
      </w:pPr>
      <w:r w:rsidRPr="00D93243">
        <w:rPr>
          <w:rFonts w:ascii="Arial" w:hAnsi="Arial" w:cs="Arial"/>
          <w:lang w:val="es-ES_tradnl"/>
        </w:rPr>
        <w:t>Colaborar con el sistema de P.I. del país en cuestión;</w:t>
      </w:r>
    </w:p>
    <w:p w:rsidR="00A35236" w:rsidRPr="00D93243" w:rsidRDefault="00A35236" w:rsidP="00A35236">
      <w:pPr>
        <w:pStyle w:val="ListParagraph"/>
        <w:numPr>
          <w:ilvl w:val="0"/>
          <w:numId w:val="8"/>
        </w:numPr>
        <w:spacing w:after="220" w:line="240" w:lineRule="auto"/>
        <w:ind w:left="1701" w:hanging="561"/>
        <w:rPr>
          <w:rFonts w:ascii="Arial" w:hAnsi="Arial" w:cs="Arial"/>
          <w:lang w:val="es-ES_tradnl"/>
        </w:rPr>
      </w:pPr>
      <w:r>
        <w:rPr>
          <w:rFonts w:ascii="Arial" w:hAnsi="Arial" w:cs="Arial"/>
          <w:lang w:val="es-ES_tradnl"/>
        </w:rPr>
        <w:t>Mejorar</w:t>
      </w:r>
      <w:r w:rsidRPr="00D93243">
        <w:rPr>
          <w:rFonts w:ascii="Arial" w:hAnsi="Arial" w:cs="Arial"/>
          <w:lang w:val="es-ES_tradnl"/>
        </w:rPr>
        <w:t xml:space="preserve"> la innovación y la creatividad en el país en que se va a establecer la oficina incentivando un uso ef</w:t>
      </w:r>
      <w:r>
        <w:rPr>
          <w:rFonts w:ascii="Arial" w:hAnsi="Arial" w:cs="Arial"/>
          <w:lang w:val="es-ES_tradnl"/>
        </w:rPr>
        <w:t>ectivo de los servicios de P.I.</w:t>
      </w:r>
      <w:r w:rsidRPr="00D93243">
        <w:rPr>
          <w:rFonts w:ascii="Arial" w:hAnsi="Arial" w:cs="Arial"/>
          <w:lang w:val="es-ES_tradnl"/>
        </w:rPr>
        <w:t>;</w:t>
      </w:r>
    </w:p>
    <w:p w:rsidR="00A35236" w:rsidRPr="00D93243" w:rsidRDefault="00A35236" w:rsidP="00A35236">
      <w:pPr>
        <w:pStyle w:val="ListParagraph"/>
        <w:numPr>
          <w:ilvl w:val="0"/>
          <w:numId w:val="8"/>
        </w:numPr>
        <w:spacing w:after="220" w:line="240" w:lineRule="auto"/>
        <w:ind w:left="1701" w:hanging="561"/>
        <w:rPr>
          <w:rFonts w:ascii="Arial" w:hAnsi="Arial" w:cs="Arial"/>
          <w:lang w:val="es-ES_tradnl"/>
        </w:rPr>
      </w:pPr>
      <w:r w:rsidRPr="00D93243">
        <w:rPr>
          <w:rFonts w:ascii="Arial" w:hAnsi="Arial" w:cs="Arial"/>
          <w:lang w:val="es-ES_tradnl"/>
        </w:rPr>
        <w:lastRenderedPageBreak/>
        <w:t xml:space="preserve">Incentivar la sensibilización, el entendimiento y el respeto de la P.I.;  impulsar los sistemas de P.I.;  racionalizar los procesos y perfeccionar </w:t>
      </w:r>
      <w:r>
        <w:rPr>
          <w:rFonts w:ascii="Arial" w:hAnsi="Arial" w:cs="Arial"/>
          <w:lang w:val="es-ES_tradnl"/>
        </w:rPr>
        <w:t>las competencias de su personal</w:t>
      </w:r>
      <w:r w:rsidRPr="00D93243">
        <w:rPr>
          <w:rFonts w:ascii="Arial" w:hAnsi="Arial" w:cs="Arial"/>
          <w:lang w:val="es-ES_tradnl"/>
        </w:rPr>
        <w:t>;</w:t>
      </w:r>
    </w:p>
    <w:p w:rsidR="00A35236" w:rsidRDefault="00A35236" w:rsidP="00A35236">
      <w:pPr>
        <w:pStyle w:val="ListParagraph"/>
        <w:numPr>
          <w:ilvl w:val="0"/>
          <w:numId w:val="8"/>
        </w:numPr>
        <w:spacing w:after="220" w:line="240" w:lineRule="auto"/>
        <w:ind w:left="1701" w:hanging="561"/>
        <w:rPr>
          <w:rFonts w:ascii="Arial" w:hAnsi="Arial" w:cs="Arial"/>
          <w:lang w:val="es-ES_tradnl"/>
        </w:rPr>
      </w:pPr>
      <w:r w:rsidRPr="00D93243">
        <w:rPr>
          <w:rFonts w:ascii="Arial" w:hAnsi="Arial" w:cs="Arial"/>
          <w:lang w:val="es-ES_tradnl"/>
        </w:rPr>
        <w:t>Si es</w:t>
      </w:r>
      <w:r>
        <w:rPr>
          <w:rFonts w:ascii="Arial" w:hAnsi="Arial" w:cs="Arial"/>
          <w:lang w:val="es-ES_tradnl"/>
        </w:rPr>
        <w:t xml:space="preserve"> de</w:t>
      </w:r>
      <w:r w:rsidRPr="00D93243">
        <w:rPr>
          <w:rFonts w:ascii="Arial" w:hAnsi="Arial" w:cs="Arial"/>
          <w:lang w:val="es-ES_tradnl"/>
        </w:rPr>
        <w:t xml:space="preserve"> interés </w:t>
      </w:r>
      <w:r>
        <w:rPr>
          <w:rFonts w:ascii="Arial" w:hAnsi="Arial" w:cs="Arial"/>
          <w:lang w:val="es-ES_tradnl"/>
        </w:rPr>
        <w:t xml:space="preserve">para </w:t>
      </w:r>
      <w:r w:rsidRPr="00D93243">
        <w:rPr>
          <w:rFonts w:ascii="Arial" w:hAnsi="Arial" w:cs="Arial"/>
          <w:lang w:val="es-ES_tradnl"/>
        </w:rPr>
        <w:t xml:space="preserve">el Estado en que se va a establecer la oficina y </w:t>
      </w:r>
      <w:r>
        <w:rPr>
          <w:rFonts w:ascii="Arial" w:hAnsi="Arial" w:cs="Arial"/>
          <w:lang w:val="es-ES_tradnl"/>
        </w:rPr>
        <w:t>para</w:t>
      </w:r>
      <w:r w:rsidRPr="00D93243">
        <w:rPr>
          <w:rFonts w:ascii="Arial" w:hAnsi="Arial" w:cs="Arial"/>
          <w:lang w:val="es-ES_tradnl"/>
        </w:rPr>
        <w:t xml:space="preserve"> otros países en la región</w:t>
      </w:r>
      <w:r>
        <w:rPr>
          <w:rFonts w:ascii="Arial" w:hAnsi="Arial" w:cs="Arial"/>
          <w:lang w:val="es-ES_tradnl"/>
        </w:rPr>
        <w:t>,</w:t>
      </w:r>
      <w:r w:rsidRPr="00D93243">
        <w:rPr>
          <w:rFonts w:ascii="Arial" w:hAnsi="Arial" w:cs="Arial"/>
          <w:lang w:val="es-ES_tradnl"/>
        </w:rPr>
        <w:t xml:space="preserve"> y </w:t>
      </w:r>
      <w:r>
        <w:rPr>
          <w:rFonts w:ascii="Arial" w:hAnsi="Arial" w:cs="Arial"/>
          <w:lang w:val="es-ES_tradnl"/>
        </w:rPr>
        <w:t xml:space="preserve">siempre que </w:t>
      </w:r>
      <w:r w:rsidRPr="00D93243">
        <w:rPr>
          <w:rFonts w:ascii="Arial" w:hAnsi="Arial" w:cs="Arial"/>
          <w:lang w:val="es-ES_tradnl"/>
        </w:rPr>
        <w:t xml:space="preserve">así lo acuerdan, la oficina podrá </w:t>
      </w:r>
      <w:r>
        <w:rPr>
          <w:rFonts w:ascii="Arial" w:hAnsi="Arial" w:cs="Arial"/>
          <w:lang w:val="es-ES_tradnl"/>
        </w:rPr>
        <w:t>también</w:t>
      </w:r>
      <w:r w:rsidRPr="00D93243">
        <w:rPr>
          <w:rFonts w:ascii="Arial" w:hAnsi="Arial" w:cs="Arial"/>
          <w:lang w:val="es-ES_tradnl"/>
        </w:rPr>
        <w:t xml:space="preserve"> prestar servicios al Estado solicitante de esa región</w:t>
      </w:r>
      <w:r>
        <w:rPr>
          <w:rFonts w:ascii="Arial" w:hAnsi="Arial" w:cs="Arial"/>
          <w:lang w:val="es-ES_tradnl"/>
        </w:rPr>
        <w:t>,</w:t>
      </w:r>
      <w:r w:rsidRPr="00D93243">
        <w:rPr>
          <w:rFonts w:ascii="Arial" w:hAnsi="Arial" w:cs="Arial"/>
          <w:lang w:val="es-ES_tradnl"/>
        </w:rPr>
        <w:t xml:space="preserve"> mediante proyectos claramente definidos y que hayan sido aprobados por los </w:t>
      </w:r>
      <w:r>
        <w:rPr>
          <w:rFonts w:ascii="Arial" w:hAnsi="Arial" w:cs="Arial"/>
          <w:lang w:val="es-ES_tradnl"/>
        </w:rPr>
        <w:t>órganos pertinentes de la OMPI;</w:t>
      </w:r>
    </w:p>
    <w:p w:rsidR="00A35236" w:rsidRDefault="00A35236" w:rsidP="00A35236">
      <w:pPr>
        <w:pStyle w:val="ListParagraph"/>
        <w:numPr>
          <w:ilvl w:val="0"/>
          <w:numId w:val="8"/>
        </w:numPr>
        <w:spacing w:after="220" w:line="240" w:lineRule="auto"/>
        <w:ind w:left="1701" w:hanging="561"/>
        <w:rPr>
          <w:rFonts w:ascii="Arial" w:hAnsi="Arial" w:cs="Arial"/>
          <w:lang w:val="es-ES_tradnl"/>
        </w:rPr>
      </w:pPr>
      <w:r>
        <w:rPr>
          <w:rFonts w:ascii="Arial" w:hAnsi="Arial" w:cs="Arial"/>
          <w:lang w:val="es-ES_tradnl"/>
        </w:rPr>
        <w:t>Prestar servicios de atención al cliente a los usuarios de los servicios mundiales de P.I.;</w:t>
      </w:r>
    </w:p>
    <w:p w:rsidR="00A35236" w:rsidRDefault="00A35236" w:rsidP="00A35236">
      <w:pPr>
        <w:pStyle w:val="ListParagraph"/>
        <w:numPr>
          <w:ilvl w:val="0"/>
          <w:numId w:val="8"/>
        </w:numPr>
        <w:spacing w:after="220" w:line="240" w:lineRule="auto"/>
        <w:ind w:left="1701" w:hanging="561"/>
        <w:rPr>
          <w:rFonts w:ascii="Arial" w:hAnsi="Arial" w:cs="Arial"/>
          <w:lang w:val="es-ES_tradnl"/>
        </w:rPr>
      </w:pPr>
      <w:r>
        <w:rPr>
          <w:rFonts w:ascii="Arial" w:hAnsi="Arial" w:cs="Arial"/>
          <w:lang w:val="es-ES_tradnl"/>
        </w:rPr>
        <w:t>Brindar asistencia en la utilización de la P.I. como herramienta de fomento del desarrollo y la transferencia de tecnología.</w:t>
      </w:r>
    </w:p>
    <w:p w:rsidR="00A35236" w:rsidRPr="00437DDA" w:rsidRDefault="00A35236" w:rsidP="00A35236">
      <w:pPr>
        <w:spacing w:after="220"/>
        <w:ind w:left="567"/>
        <w:rPr>
          <w:lang w:val="es-ES_tradnl"/>
        </w:rPr>
      </w:pPr>
      <w:r>
        <w:rPr>
          <w:lang w:val="es-ES_tradnl"/>
        </w:rPr>
        <w:t>Queda entendido que las oficinas de la OMPI en el exterior no efectuarán actividad alguna que esté relacionada con la tramitación (incluyendo, por ejemplo, la recepción, transmisión, revisión, búsqueda y examen, trámite, publicación, cesión o transferencia de derechos o licencias, renovación o almacenaje) de solicitudes internacionales presentadas en el marco de los sistemas del PCT, Madrid y La Haya, o con toda transacción financiera relacionada con esas solicitudes.</w:t>
      </w:r>
    </w:p>
    <w:p w:rsidR="00A35236" w:rsidRPr="00D93243" w:rsidRDefault="00A35236" w:rsidP="00A35236">
      <w:pPr>
        <w:pStyle w:val="ONUMFS"/>
        <w:numPr>
          <w:ilvl w:val="0"/>
          <w:numId w:val="0"/>
        </w:numPr>
        <w:rPr>
          <w:b/>
          <w:lang w:val="es-ES_tradnl"/>
        </w:rPr>
      </w:pPr>
      <w:r w:rsidRPr="00D93243">
        <w:rPr>
          <w:b/>
          <w:lang w:val="es-ES_tradnl"/>
        </w:rPr>
        <w:t>c.</w:t>
      </w:r>
      <w:r w:rsidRPr="00D93243">
        <w:rPr>
          <w:b/>
          <w:lang w:val="es-ES_tradnl"/>
        </w:rPr>
        <w:tab/>
        <w:t>Sostenibilidad financiera/neutralidad presupuestaria</w:t>
      </w:r>
    </w:p>
    <w:p w:rsidR="00A35236" w:rsidRPr="00D93243" w:rsidRDefault="00A35236" w:rsidP="00A35236">
      <w:pPr>
        <w:pStyle w:val="ONUMFS"/>
        <w:numPr>
          <w:ilvl w:val="0"/>
          <w:numId w:val="0"/>
        </w:numPr>
        <w:ind w:left="567"/>
        <w:rPr>
          <w:lang w:val="es-ES_tradnl"/>
        </w:rPr>
      </w:pPr>
      <w:r w:rsidRPr="00D93243">
        <w:rPr>
          <w:lang w:val="es-ES_tradnl"/>
        </w:rPr>
        <w:t xml:space="preserve">Reconociendo los distintos niveles de desarrollo de los Estados miembros y </w:t>
      </w:r>
      <w:r>
        <w:rPr>
          <w:lang w:val="es-ES_tradnl"/>
        </w:rPr>
        <w:t xml:space="preserve">salvaguardando los recursos adecuados de las oficinas regionales de la sede, </w:t>
      </w:r>
      <w:r w:rsidRPr="00D93243">
        <w:rPr>
          <w:lang w:val="es-ES_tradnl"/>
        </w:rPr>
        <w:t>con arreglo a las distintas funciones de la oficina en el exterior, en la propuesta se deberán tener en cuenta la sostenibilidad financiera y la neutralida</w:t>
      </w:r>
      <w:r>
        <w:rPr>
          <w:lang w:val="es-ES_tradnl"/>
        </w:rPr>
        <w:t>d</w:t>
      </w:r>
      <w:r w:rsidRPr="00D93243">
        <w:rPr>
          <w:lang w:val="es-ES_tradnl"/>
        </w:rPr>
        <w:t xml:space="preserve"> presupuestaria que </w:t>
      </w:r>
      <w:r>
        <w:rPr>
          <w:lang w:val="es-ES_tradnl"/>
        </w:rPr>
        <w:t>supone el establecimiento de</w:t>
      </w:r>
      <w:r w:rsidRPr="00D93243">
        <w:rPr>
          <w:lang w:val="es-ES_tradnl"/>
        </w:rPr>
        <w:t xml:space="preserve"> la oficina.  </w:t>
      </w:r>
    </w:p>
    <w:p w:rsidR="00A35236" w:rsidRPr="00D93243" w:rsidRDefault="00A35236" w:rsidP="002C3E27">
      <w:pPr>
        <w:pStyle w:val="ONUMFS"/>
        <w:numPr>
          <w:ilvl w:val="0"/>
          <w:numId w:val="0"/>
        </w:numPr>
        <w:rPr>
          <w:b/>
          <w:lang w:val="es-ES_tradnl"/>
        </w:rPr>
      </w:pPr>
      <w:r w:rsidRPr="00D93243">
        <w:rPr>
          <w:b/>
          <w:lang w:val="es-ES_tradnl"/>
        </w:rPr>
        <w:t>d.</w:t>
      </w:r>
      <w:r w:rsidRPr="00D93243">
        <w:rPr>
          <w:b/>
          <w:lang w:val="es-ES_tradnl"/>
        </w:rPr>
        <w:tab/>
        <w:t>Aspectos geográficos/Aspectos relativos a la ubic</w:t>
      </w:r>
      <w:r>
        <w:rPr>
          <w:b/>
          <w:lang w:val="es-ES_tradnl"/>
        </w:rPr>
        <w:t>ación</w:t>
      </w:r>
    </w:p>
    <w:p w:rsidR="00A35236" w:rsidRPr="00D93243" w:rsidRDefault="00A35236" w:rsidP="00A35236">
      <w:pPr>
        <w:pStyle w:val="ONUMFS"/>
        <w:numPr>
          <w:ilvl w:val="0"/>
          <w:numId w:val="0"/>
        </w:numPr>
        <w:ind w:left="567"/>
        <w:rPr>
          <w:lang w:val="es-ES_tradnl"/>
        </w:rPr>
      </w:pPr>
      <w:r w:rsidRPr="00D93243">
        <w:rPr>
          <w:lang w:val="es-ES_tradnl"/>
        </w:rPr>
        <w:t>Al evaluar la propuesta, se deberá otorgar la consideración debida al principio de disponer de una red equitativa y eficaz desde el punto de vista geográfico al determinar la ubicación de la oficina propuesta.  Toda oficina en el exterior deberá señalar y definir claramente el área geográfica en la que desarrollará sus operaciones.  Deberá prestarse la consideración debida a los aspectos de desarrollo, las regiones que carecen de oficinas en el exterior o los lugares en los que están ubicados los usuarios de los principales servicios mundiales de la OMPI.  No obstante, la existencia de una oficina en el exterior en una región o incluso en un país vecino no constituirá de por sí un motivo de denegación de la petición presentada por un Estado miembro de esa región a fin de que la Asamblea General la considere y tome una decisión al respecto.</w:t>
      </w:r>
    </w:p>
    <w:p w:rsidR="00A35236" w:rsidRPr="00D93243" w:rsidRDefault="00A35236" w:rsidP="00A35236">
      <w:pPr>
        <w:pStyle w:val="ONUMFS"/>
        <w:numPr>
          <w:ilvl w:val="0"/>
          <w:numId w:val="0"/>
        </w:numPr>
        <w:rPr>
          <w:b/>
          <w:lang w:val="es-ES_tradnl"/>
        </w:rPr>
      </w:pPr>
      <w:r w:rsidRPr="00D93243">
        <w:rPr>
          <w:b/>
          <w:lang w:val="es-ES_tradnl"/>
        </w:rPr>
        <w:t>e.</w:t>
      </w:r>
      <w:r w:rsidRPr="00D93243">
        <w:rPr>
          <w:b/>
          <w:lang w:val="es-ES_tradnl"/>
        </w:rPr>
        <w:tab/>
        <w:t>Rendición de cuentas / Presentación de informes de las oficinas en el exterior</w:t>
      </w:r>
    </w:p>
    <w:p w:rsidR="00A35236" w:rsidRPr="00D93243" w:rsidRDefault="00A35236" w:rsidP="00A35236">
      <w:pPr>
        <w:spacing w:after="220"/>
        <w:ind w:left="567"/>
        <w:rPr>
          <w:lang w:val="es-ES_tradnl"/>
        </w:rPr>
      </w:pPr>
      <w:r w:rsidRPr="00D93243">
        <w:rPr>
          <w:lang w:val="es-ES_tradnl"/>
        </w:rPr>
        <w:t xml:space="preserve">Todas las oficinas de la OMPI en el exterior forman parte integral del marco de gestión por resultados.  Una vez establecidas y en funcionamiento, su rendimiento y actividades se supervisarán y evaluarán a partir de los indicadores de rendimiento y los objetivos establecidos y se informará al respecto al PBC, que, a su vez, transmitirá a la Asamblea General las recomendaciones que estime oportunas.  </w:t>
      </w:r>
    </w:p>
    <w:p w:rsidR="001C181F" w:rsidRDefault="001C181F">
      <w:pPr>
        <w:rPr>
          <w:b/>
          <w:lang w:val="es-ES_tradnl"/>
        </w:rPr>
      </w:pPr>
      <w:r>
        <w:rPr>
          <w:b/>
          <w:lang w:val="es-ES_tradnl"/>
        </w:rPr>
        <w:br w:type="page"/>
      </w:r>
    </w:p>
    <w:p w:rsidR="00A35236" w:rsidRPr="00D93243" w:rsidRDefault="00A35236" w:rsidP="00A35236">
      <w:pPr>
        <w:pStyle w:val="ONUMFS"/>
        <w:numPr>
          <w:ilvl w:val="0"/>
          <w:numId w:val="0"/>
        </w:numPr>
        <w:rPr>
          <w:b/>
          <w:lang w:val="es-ES_tradnl"/>
        </w:rPr>
      </w:pPr>
      <w:r w:rsidRPr="00D93243">
        <w:rPr>
          <w:b/>
          <w:lang w:val="es-ES_tradnl"/>
        </w:rPr>
        <w:lastRenderedPageBreak/>
        <w:t>II.</w:t>
      </w:r>
      <w:r w:rsidRPr="00D93243">
        <w:rPr>
          <w:b/>
          <w:lang w:val="es-ES_tradnl"/>
        </w:rPr>
        <w:tab/>
      </w:r>
      <w:r>
        <w:rPr>
          <w:b/>
          <w:lang w:val="es-ES_tradnl"/>
        </w:rPr>
        <w:t>Aplicación</w:t>
      </w:r>
    </w:p>
    <w:p w:rsidR="00A35236" w:rsidRDefault="00A35236" w:rsidP="00A35236">
      <w:r w:rsidRPr="00CE0EB0">
        <w:t xml:space="preserve">Se decidió aplicar </w:t>
      </w:r>
      <w:r>
        <w:t>con efecto inmediato</w:t>
      </w:r>
      <w:r w:rsidRPr="00CE0EB0">
        <w:t xml:space="preserve"> los principios rectores generales a todas las oficinas en el exterior, tanto </w:t>
      </w:r>
      <w:r>
        <w:t>existentes como futuras</w:t>
      </w:r>
      <w:r w:rsidRPr="00CE0EB0">
        <w:t>,</w:t>
      </w:r>
      <w:r>
        <w:t xml:space="preserve"> en la medida de lo posible,</w:t>
      </w:r>
      <w:r w:rsidRPr="00CE0EB0">
        <w:t xml:space="preserve"> </w:t>
      </w:r>
      <w:r>
        <w:t>siempre que sigan en vigor</w:t>
      </w:r>
      <w:r w:rsidRPr="00CE0EB0">
        <w:t xml:space="preserve"> las decisiones pertinentes adoptadas anteriormente por la Asamblea General así como la actual decisión en materia de oficinas en el exterior.</w:t>
      </w:r>
    </w:p>
    <w:p w:rsidR="00A35236" w:rsidRDefault="00A35236" w:rsidP="00A35236"/>
    <w:p w:rsidR="001C181F" w:rsidRPr="00C25329" w:rsidRDefault="001C181F" w:rsidP="00A35236"/>
    <w:p w:rsidR="00A35236" w:rsidRDefault="00A35236" w:rsidP="00A35236">
      <w:pPr>
        <w:pStyle w:val="Endofdocument-Annex"/>
        <w:rPr>
          <w:lang w:val="es-ES"/>
        </w:rPr>
      </w:pPr>
      <w:r w:rsidRPr="00D93243">
        <w:rPr>
          <w:lang w:val="es-ES"/>
        </w:rPr>
        <w:t xml:space="preserve">[Fin del </w:t>
      </w:r>
      <w:r>
        <w:rPr>
          <w:lang w:val="es-ES"/>
        </w:rPr>
        <w:t xml:space="preserve">Anexo IV y del </w:t>
      </w:r>
      <w:r w:rsidRPr="00D93243">
        <w:rPr>
          <w:lang w:val="es-ES"/>
        </w:rPr>
        <w:t>documento]</w:t>
      </w:r>
    </w:p>
    <w:p w:rsidR="00CE4941" w:rsidRDefault="00CE4941" w:rsidP="00A35236">
      <w:pPr>
        <w:pStyle w:val="Endofdocument-Annex"/>
        <w:rPr>
          <w:lang w:val="es-ES"/>
        </w:rPr>
      </w:pPr>
    </w:p>
    <w:p w:rsidR="00CE4941" w:rsidRDefault="00CE4941" w:rsidP="00A35236">
      <w:pPr>
        <w:pStyle w:val="Endofdocument-Annex"/>
        <w:rPr>
          <w:lang w:val="es-ES"/>
        </w:rPr>
      </w:pPr>
    </w:p>
    <w:p w:rsidR="00CE4941" w:rsidRDefault="00CE4941" w:rsidP="00A35236">
      <w:pPr>
        <w:pStyle w:val="Endofdocument-Annex"/>
        <w:rPr>
          <w:lang w:val="es-ES"/>
        </w:rPr>
      </w:pPr>
      <w:r>
        <w:rPr>
          <w:lang w:val="es-ES"/>
        </w:rPr>
        <w:t>[Sigue el Anexo III]</w:t>
      </w:r>
    </w:p>
    <w:p w:rsidR="001C181F" w:rsidRDefault="001C181F" w:rsidP="001C181F">
      <w:pPr>
        <w:pStyle w:val="Endofdocument-Annex"/>
        <w:ind w:left="0"/>
        <w:rPr>
          <w:lang w:val="es-ES"/>
        </w:rPr>
      </w:pPr>
    </w:p>
    <w:sectPr w:rsidR="001C181F" w:rsidSect="0048139F">
      <w:headerReference w:type="default" r:id="rId14"/>
      <w:headerReference w:type="first" r:id="rId15"/>
      <w:pgSz w:w="11907" w:h="16840" w:code="9"/>
      <w:pgMar w:top="510" w:right="1134" w:bottom="1134" w:left="1418" w:header="510" w:footer="1021" w:gutter="0"/>
      <w:pgNumType w:start="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A95" w:rsidRDefault="004E4A95">
      <w:r>
        <w:separator/>
      </w:r>
    </w:p>
  </w:endnote>
  <w:endnote w:type="continuationSeparator" w:id="0">
    <w:p w:rsidR="004E4A95" w:rsidRPr="009D30E6" w:rsidRDefault="004E4A95" w:rsidP="007E663E">
      <w:pPr>
        <w:rPr>
          <w:sz w:val="17"/>
          <w:szCs w:val="17"/>
        </w:rPr>
      </w:pPr>
      <w:r w:rsidRPr="009D30E6">
        <w:rPr>
          <w:sz w:val="17"/>
          <w:szCs w:val="17"/>
        </w:rPr>
        <w:separator/>
      </w:r>
    </w:p>
    <w:p w:rsidR="004E4A95" w:rsidRPr="007E663E" w:rsidRDefault="004E4A95" w:rsidP="007E663E">
      <w:pPr>
        <w:spacing w:after="60"/>
        <w:rPr>
          <w:sz w:val="17"/>
          <w:szCs w:val="17"/>
        </w:rPr>
      </w:pPr>
      <w:r>
        <w:rPr>
          <w:sz w:val="17"/>
        </w:rPr>
        <w:t>[Continuación de la nota de la página anterior]</w:t>
      </w:r>
    </w:p>
  </w:endnote>
  <w:endnote w:type="continuationNotice" w:id="1">
    <w:p w:rsidR="004E4A95" w:rsidRPr="007E663E" w:rsidRDefault="004E4A9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A95" w:rsidRDefault="004E4A95">
      <w:r>
        <w:separator/>
      </w:r>
    </w:p>
  </w:footnote>
  <w:footnote w:type="continuationSeparator" w:id="0">
    <w:p w:rsidR="004E4A95" w:rsidRPr="009D30E6" w:rsidRDefault="004E4A95" w:rsidP="007E663E">
      <w:pPr>
        <w:rPr>
          <w:sz w:val="17"/>
          <w:szCs w:val="17"/>
        </w:rPr>
      </w:pPr>
      <w:r w:rsidRPr="009D30E6">
        <w:rPr>
          <w:sz w:val="17"/>
          <w:szCs w:val="17"/>
        </w:rPr>
        <w:separator/>
      </w:r>
    </w:p>
    <w:p w:rsidR="004E4A95" w:rsidRPr="007E663E" w:rsidRDefault="004E4A95" w:rsidP="007E663E">
      <w:pPr>
        <w:spacing w:after="60"/>
        <w:rPr>
          <w:sz w:val="17"/>
          <w:szCs w:val="17"/>
        </w:rPr>
      </w:pPr>
      <w:r>
        <w:rPr>
          <w:sz w:val="17"/>
        </w:rPr>
        <w:t>[Continuación de la nota de la página anterior]</w:t>
      </w:r>
    </w:p>
  </w:footnote>
  <w:footnote w:type="continuationNotice" w:id="1">
    <w:p w:rsidR="004E4A95" w:rsidRPr="007E663E" w:rsidRDefault="004E4A95"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Default="004E4A95" w:rsidP="00477D6B">
    <w:pPr>
      <w:jc w:val="right"/>
    </w:pPr>
    <w:bookmarkStart w:id="1" w:name="Code2"/>
    <w:bookmarkEnd w:id="1"/>
    <w:r>
      <w:t>A/51/20 Prov. Add. 1</w:t>
    </w:r>
  </w:p>
  <w:p w:rsidR="004E4A95" w:rsidRDefault="004E4A95" w:rsidP="00477D6B">
    <w:pPr>
      <w:jc w:val="right"/>
    </w:pPr>
    <w:r>
      <w:t xml:space="preserve">página </w:t>
    </w:r>
    <w:r>
      <w:fldChar w:fldCharType="begin"/>
    </w:r>
    <w:r>
      <w:instrText xml:space="preserve"> PAGE  \* MERGEFORMAT </w:instrText>
    </w:r>
    <w:r>
      <w:fldChar w:fldCharType="separate"/>
    </w:r>
    <w:r w:rsidR="00865882">
      <w:rPr>
        <w:noProof/>
      </w:rPr>
      <w:t>2</w:t>
    </w:r>
    <w:r>
      <w:fldChar w:fldCharType="end"/>
    </w:r>
  </w:p>
  <w:p w:rsidR="004E4A95" w:rsidRDefault="004E4A9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Default="00CE4941" w:rsidP="004E4A95">
    <w:pPr>
      <w:pStyle w:val="Header"/>
      <w:jc w:val="right"/>
    </w:pPr>
    <w:r>
      <w:t>A/51/20</w:t>
    </w:r>
  </w:p>
  <w:p w:rsidR="004E4A95" w:rsidRDefault="004E4A95" w:rsidP="004E4A95">
    <w:pPr>
      <w:pStyle w:val="Header"/>
      <w:jc w:val="right"/>
    </w:pPr>
    <w:r>
      <w:t>ANEXO II</w:t>
    </w:r>
  </w:p>
  <w:p w:rsidR="004E4A95" w:rsidRDefault="004E4A95" w:rsidP="004E4A95">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Pr="004E4A95" w:rsidRDefault="004E4A95" w:rsidP="00A05011">
    <w:pPr>
      <w:pStyle w:val="Header"/>
      <w:jc w:val="right"/>
      <w:rPr>
        <w:lang w:val="es-ES_tradnl"/>
      </w:rPr>
    </w:pPr>
    <w:r w:rsidRPr="004E4A95">
      <w:rPr>
        <w:lang w:val="es-ES_tradnl"/>
      </w:rPr>
      <w:t>A/51/20</w:t>
    </w:r>
  </w:p>
  <w:p w:rsidR="004E4A95" w:rsidRPr="004E4A95" w:rsidRDefault="004E4A95" w:rsidP="004E4A95">
    <w:pPr>
      <w:pStyle w:val="Header"/>
      <w:jc w:val="right"/>
      <w:rPr>
        <w:lang w:val="es-ES_tradnl"/>
      </w:rPr>
    </w:pPr>
    <w:r w:rsidRPr="004E4A95">
      <w:rPr>
        <w:lang w:val="es-ES_tradnl"/>
      </w:rPr>
      <w:t xml:space="preserve">Anexo II, página </w:t>
    </w:r>
    <w:r w:rsidRPr="004E4A95">
      <w:rPr>
        <w:lang w:val="es-ES_tradnl"/>
      </w:rPr>
      <w:fldChar w:fldCharType="begin"/>
    </w:r>
    <w:r w:rsidRPr="004E4A95">
      <w:rPr>
        <w:lang w:val="es-ES_tradnl"/>
      </w:rPr>
      <w:instrText xml:space="preserve"> PAGE   \* MERGEFORMAT </w:instrText>
    </w:r>
    <w:r w:rsidRPr="004E4A95">
      <w:rPr>
        <w:lang w:val="es-ES_tradnl"/>
      </w:rPr>
      <w:fldChar w:fldCharType="separate"/>
    </w:r>
    <w:r w:rsidR="00DB670E">
      <w:rPr>
        <w:noProof/>
        <w:lang w:val="es-ES_tradnl"/>
      </w:rPr>
      <w:t>2</w:t>
    </w:r>
    <w:r w:rsidRPr="004E4A95">
      <w:rPr>
        <w:noProof/>
        <w:lang w:val="es-ES_tradnl"/>
      </w:rPr>
      <w:fldChar w:fldCharType="end"/>
    </w:r>
  </w:p>
  <w:p w:rsidR="004E4A95" w:rsidRPr="004E4A95" w:rsidRDefault="004E4A95" w:rsidP="00A05011">
    <w:pPr>
      <w:pStyle w:val="Header"/>
      <w:jc w:val="right"/>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Pr="0048139F" w:rsidRDefault="004E4A95" w:rsidP="00A05011">
    <w:pPr>
      <w:pStyle w:val="Header"/>
      <w:jc w:val="right"/>
      <w:rPr>
        <w:lang w:val="es-ES_tradnl"/>
      </w:rPr>
    </w:pPr>
    <w:r w:rsidRPr="0048139F">
      <w:rPr>
        <w:lang w:val="es-ES_tradnl"/>
      </w:rPr>
      <w:t>A/51/20</w:t>
    </w:r>
  </w:p>
  <w:p w:rsidR="0048139F" w:rsidRPr="004E4A95" w:rsidRDefault="0048139F" w:rsidP="0048139F">
    <w:pPr>
      <w:pStyle w:val="Header"/>
      <w:jc w:val="right"/>
      <w:rPr>
        <w:lang w:val="es-ES_tradnl"/>
      </w:rPr>
    </w:pPr>
    <w:r w:rsidRPr="004E4A95">
      <w:rPr>
        <w:lang w:val="es-ES_tradnl"/>
      </w:rPr>
      <w:t xml:space="preserve">Anexo II, página </w:t>
    </w:r>
    <w:r w:rsidRPr="004E4A95">
      <w:rPr>
        <w:lang w:val="es-ES_tradnl"/>
      </w:rPr>
      <w:fldChar w:fldCharType="begin"/>
    </w:r>
    <w:r w:rsidRPr="004E4A95">
      <w:rPr>
        <w:lang w:val="es-ES_tradnl"/>
      </w:rPr>
      <w:instrText xml:space="preserve"> PAGE   \* MERGEFORMAT </w:instrText>
    </w:r>
    <w:r w:rsidRPr="004E4A95">
      <w:rPr>
        <w:lang w:val="es-ES_tradnl"/>
      </w:rPr>
      <w:fldChar w:fldCharType="separate"/>
    </w:r>
    <w:r w:rsidR="00DB670E">
      <w:rPr>
        <w:noProof/>
        <w:lang w:val="es-ES_tradnl"/>
      </w:rPr>
      <w:t>3</w:t>
    </w:r>
    <w:r w:rsidRPr="004E4A95">
      <w:rPr>
        <w:noProof/>
        <w:lang w:val="es-ES_tradnl"/>
      </w:rPr>
      <w:fldChar w:fldCharType="end"/>
    </w:r>
  </w:p>
  <w:p w:rsidR="004E4A95" w:rsidRPr="0048139F" w:rsidRDefault="004E4A95" w:rsidP="00A05011">
    <w:pPr>
      <w:pStyle w:val="Header"/>
      <w:jc w:val="right"/>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Pr="0048139F" w:rsidRDefault="004E4A95" w:rsidP="00A05011">
    <w:pPr>
      <w:pStyle w:val="Header"/>
      <w:jc w:val="right"/>
      <w:rPr>
        <w:lang w:val="es-ES_tradnl"/>
      </w:rPr>
    </w:pPr>
    <w:r w:rsidRPr="0048139F">
      <w:rPr>
        <w:lang w:val="es-ES_tradnl"/>
      </w:rPr>
      <w:t>A/51/20</w:t>
    </w:r>
  </w:p>
  <w:p w:rsidR="0048139F" w:rsidRPr="004E4A95" w:rsidRDefault="0048139F" w:rsidP="0048139F">
    <w:pPr>
      <w:pStyle w:val="Header"/>
      <w:jc w:val="right"/>
      <w:rPr>
        <w:lang w:val="es-ES_tradnl"/>
      </w:rPr>
    </w:pPr>
    <w:r w:rsidRPr="004E4A95">
      <w:rPr>
        <w:lang w:val="es-ES_tradnl"/>
      </w:rPr>
      <w:t xml:space="preserve">Anexo II, página </w:t>
    </w:r>
    <w:r w:rsidRPr="004E4A95">
      <w:rPr>
        <w:lang w:val="es-ES_tradnl"/>
      </w:rPr>
      <w:fldChar w:fldCharType="begin"/>
    </w:r>
    <w:r w:rsidRPr="004E4A95">
      <w:rPr>
        <w:lang w:val="es-ES_tradnl"/>
      </w:rPr>
      <w:instrText xml:space="preserve"> PAGE   \* MERGEFORMAT </w:instrText>
    </w:r>
    <w:r w:rsidRPr="004E4A95">
      <w:rPr>
        <w:lang w:val="es-ES_tradnl"/>
      </w:rPr>
      <w:fldChar w:fldCharType="separate"/>
    </w:r>
    <w:r w:rsidR="00DB670E">
      <w:rPr>
        <w:noProof/>
        <w:lang w:val="es-ES_tradnl"/>
      </w:rPr>
      <w:t>4</w:t>
    </w:r>
    <w:r w:rsidRPr="004E4A95">
      <w:rPr>
        <w:noProof/>
        <w:lang w:val="es-ES_tradnl"/>
      </w:rPr>
      <w:fldChar w:fldCharType="end"/>
    </w:r>
  </w:p>
  <w:p w:rsidR="004E4A95" w:rsidRPr="0048139F" w:rsidRDefault="004E4A95" w:rsidP="00A05011">
    <w:pPr>
      <w:pStyle w:val="Header"/>
      <w:jc w:val="right"/>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5066335"/>
      <w:docPartObj>
        <w:docPartGallery w:val="Page Numbers (Top of Page)"/>
        <w:docPartUnique/>
      </w:docPartObj>
    </w:sdtPr>
    <w:sdtEndPr>
      <w:rPr>
        <w:noProof/>
      </w:rPr>
    </w:sdtEndPr>
    <w:sdtContent>
      <w:p w:rsidR="004E4A95" w:rsidRDefault="004E4A95">
        <w:pPr>
          <w:pStyle w:val="Header"/>
          <w:jc w:val="right"/>
        </w:pPr>
        <w:r>
          <w:t>A/51/20</w:t>
        </w:r>
      </w:p>
      <w:p w:rsidR="004E4A95" w:rsidRDefault="004E4A95">
        <w:pPr>
          <w:pStyle w:val="Header"/>
          <w:jc w:val="right"/>
        </w:pPr>
        <w:r>
          <w:t xml:space="preserve">Anexo IV, página </w:t>
        </w:r>
        <w:r>
          <w:fldChar w:fldCharType="begin"/>
        </w:r>
        <w:r>
          <w:instrText xml:space="preserve"> PAGE   \* MERGEFORMAT </w:instrText>
        </w:r>
        <w:r>
          <w:fldChar w:fldCharType="separate"/>
        </w:r>
        <w:r w:rsidR="00DB670E">
          <w:rPr>
            <w:noProof/>
          </w:rPr>
          <w:t>7</w:t>
        </w:r>
        <w:r>
          <w:rPr>
            <w:noProof/>
          </w:rPr>
          <w:fldChar w:fldCharType="end"/>
        </w:r>
      </w:p>
    </w:sdtContent>
  </w:sdt>
  <w:p w:rsidR="004E4A95" w:rsidRPr="00D93243" w:rsidRDefault="004E4A95" w:rsidP="00A35236">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A95" w:rsidRPr="0048139F" w:rsidRDefault="004E4A95" w:rsidP="00A05011">
    <w:pPr>
      <w:pStyle w:val="Header"/>
      <w:jc w:val="right"/>
      <w:rPr>
        <w:lang w:val="es-ES_tradnl"/>
      </w:rPr>
    </w:pPr>
    <w:r w:rsidRPr="0048139F">
      <w:rPr>
        <w:lang w:val="es-ES_tradnl"/>
      </w:rPr>
      <w:t>A/51/20</w:t>
    </w:r>
  </w:p>
  <w:p w:rsidR="0048139F" w:rsidRPr="004E4A95" w:rsidRDefault="0048139F" w:rsidP="0048139F">
    <w:pPr>
      <w:pStyle w:val="Header"/>
      <w:jc w:val="right"/>
      <w:rPr>
        <w:lang w:val="es-ES_tradnl"/>
      </w:rPr>
    </w:pPr>
    <w:r w:rsidRPr="004E4A95">
      <w:rPr>
        <w:lang w:val="es-ES_tradnl"/>
      </w:rPr>
      <w:t xml:space="preserve">Anexo II, página </w:t>
    </w:r>
    <w:r w:rsidRPr="004E4A95">
      <w:rPr>
        <w:lang w:val="es-ES_tradnl"/>
      </w:rPr>
      <w:fldChar w:fldCharType="begin"/>
    </w:r>
    <w:r w:rsidRPr="004E4A95">
      <w:rPr>
        <w:lang w:val="es-ES_tradnl"/>
      </w:rPr>
      <w:instrText xml:space="preserve"> PAGE   \* MERGEFORMAT </w:instrText>
    </w:r>
    <w:r w:rsidRPr="004E4A95">
      <w:rPr>
        <w:lang w:val="es-ES_tradnl"/>
      </w:rPr>
      <w:fldChar w:fldCharType="separate"/>
    </w:r>
    <w:r w:rsidR="00DB670E">
      <w:rPr>
        <w:noProof/>
        <w:lang w:val="es-ES_tradnl"/>
      </w:rPr>
      <w:t>5</w:t>
    </w:r>
    <w:r w:rsidRPr="004E4A95">
      <w:rPr>
        <w:noProof/>
        <w:lang w:val="es-ES_tradnl"/>
      </w:rPr>
      <w:fldChar w:fldCharType="end"/>
    </w:r>
  </w:p>
  <w:p w:rsidR="004E4A95" w:rsidRPr="0048139F" w:rsidRDefault="004E4A95" w:rsidP="00A05011">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934660B"/>
    <w:multiLevelType w:val="hybridMultilevel"/>
    <w:tmpl w:val="5C1E7772"/>
    <w:lvl w:ilvl="0" w:tplc="27264F80">
      <w:numFmt w:val="bullet"/>
      <w:lvlText w:val="–"/>
      <w:lvlJc w:val="left"/>
      <w:pPr>
        <w:ind w:left="1500" w:hanging="360"/>
      </w:pPr>
      <w:rPr>
        <w:rFonts w:ascii="Calibri" w:eastAsiaTheme="minorEastAsia" w:hAnsi="Calibri" w:cs="Times New Roman" w:hint="default"/>
      </w:rPr>
    </w:lvl>
    <w:lvl w:ilvl="1" w:tplc="0C0A0003" w:tentative="1">
      <w:start w:val="1"/>
      <w:numFmt w:val="bullet"/>
      <w:lvlText w:val="o"/>
      <w:lvlJc w:val="left"/>
      <w:pPr>
        <w:ind w:left="2220" w:hanging="360"/>
      </w:pPr>
      <w:rPr>
        <w:rFonts w:ascii="Courier New" w:hAnsi="Courier New" w:cs="Courier New" w:hint="default"/>
      </w:rPr>
    </w:lvl>
    <w:lvl w:ilvl="2" w:tplc="0C0A0005" w:tentative="1">
      <w:start w:val="1"/>
      <w:numFmt w:val="bullet"/>
      <w:lvlText w:val=""/>
      <w:lvlJc w:val="left"/>
      <w:pPr>
        <w:ind w:left="2940" w:hanging="360"/>
      </w:pPr>
      <w:rPr>
        <w:rFonts w:ascii="Wingdings" w:hAnsi="Wingdings" w:hint="default"/>
      </w:rPr>
    </w:lvl>
    <w:lvl w:ilvl="3" w:tplc="0C0A0001" w:tentative="1">
      <w:start w:val="1"/>
      <w:numFmt w:val="bullet"/>
      <w:lvlText w:val=""/>
      <w:lvlJc w:val="left"/>
      <w:pPr>
        <w:ind w:left="3660" w:hanging="360"/>
      </w:pPr>
      <w:rPr>
        <w:rFonts w:ascii="Symbol" w:hAnsi="Symbol" w:hint="default"/>
      </w:rPr>
    </w:lvl>
    <w:lvl w:ilvl="4" w:tplc="0C0A0003" w:tentative="1">
      <w:start w:val="1"/>
      <w:numFmt w:val="bullet"/>
      <w:lvlText w:val="o"/>
      <w:lvlJc w:val="left"/>
      <w:pPr>
        <w:ind w:left="4380" w:hanging="360"/>
      </w:pPr>
      <w:rPr>
        <w:rFonts w:ascii="Courier New" w:hAnsi="Courier New" w:cs="Courier New" w:hint="default"/>
      </w:rPr>
    </w:lvl>
    <w:lvl w:ilvl="5" w:tplc="0C0A0005" w:tentative="1">
      <w:start w:val="1"/>
      <w:numFmt w:val="bullet"/>
      <w:lvlText w:val=""/>
      <w:lvlJc w:val="left"/>
      <w:pPr>
        <w:ind w:left="5100" w:hanging="360"/>
      </w:pPr>
      <w:rPr>
        <w:rFonts w:ascii="Wingdings" w:hAnsi="Wingdings" w:hint="default"/>
      </w:rPr>
    </w:lvl>
    <w:lvl w:ilvl="6" w:tplc="0C0A0001" w:tentative="1">
      <w:start w:val="1"/>
      <w:numFmt w:val="bullet"/>
      <w:lvlText w:val=""/>
      <w:lvlJc w:val="left"/>
      <w:pPr>
        <w:ind w:left="5820" w:hanging="360"/>
      </w:pPr>
      <w:rPr>
        <w:rFonts w:ascii="Symbol" w:hAnsi="Symbol" w:hint="default"/>
      </w:rPr>
    </w:lvl>
    <w:lvl w:ilvl="7" w:tplc="0C0A0003" w:tentative="1">
      <w:start w:val="1"/>
      <w:numFmt w:val="bullet"/>
      <w:lvlText w:val="o"/>
      <w:lvlJc w:val="left"/>
      <w:pPr>
        <w:ind w:left="6540" w:hanging="360"/>
      </w:pPr>
      <w:rPr>
        <w:rFonts w:ascii="Courier New" w:hAnsi="Courier New" w:cs="Courier New" w:hint="default"/>
      </w:rPr>
    </w:lvl>
    <w:lvl w:ilvl="8" w:tplc="0C0A0005" w:tentative="1">
      <w:start w:val="1"/>
      <w:numFmt w:val="bullet"/>
      <w:lvlText w:val=""/>
      <w:lvlJc w:val="left"/>
      <w:pPr>
        <w:ind w:left="7260" w:hanging="360"/>
      </w:pPr>
      <w:rPr>
        <w:rFonts w:ascii="Wingdings" w:hAnsi="Wingding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9DE1A8F"/>
    <w:multiLevelType w:val="hybridMultilevel"/>
    <w:tmpl w:val="C9460A80"/>
    <w:lvl w:ilvl="0" w:tplc="0409000B">
      <w:start w:val="1"/>
      <w:numFmt w:val="decimal"/>
      <w:lvlRestart w:val="0"/>
      <w:lvlText w:val="20.%1."/>
      <w:lvlJc w:val="left"/>
      <w:pPr>
        <w:tabs>
          <w:tab w:val="num" w:pos="680"/>
        </w:tabs>
        <w:ind w:left="0" w:firstLine="0"/>
      </w:pPr>
      <w:rPr>
        <w:rFonts w:ascii="Arial" w:hAnsi="Arial" w:hint="default"/>
        <w:b w:val="0"/>
        <w:bCs/>
        <w:sz w:val="20"/>
        <w:szCs w:val="2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E2"/>
    <w:rsid w:val="00010686"/>
    <w:rsid w:val="00052915"/>
    <w:rsid w:val="000637AB"/>
    <w:rsid w:val="000E3BB3"/>
    <w:rsid w:val="000F5E56"/>
    <w:rsid w:val="001362EE"/>
    <w:rsid w:val="00152CEA"/>
    <w:rsid w:val="001832A6"/>
    <w:rsid w:val="001C181F"/>
    <w:rsid w:val="002634C4"/>
    <w:rsid w:val="002C3E27"/>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8139F"/>
    <w:rsid w:val="004A6C37"/>
    <w:rsid w:val="004E297D"/>
    <w:rsid w:val="004E4A95"/>
    <w:rsid w:val="00525492"/>
    <w:rsid w:val="005332F0"/>
    <w:rsid w:val="0055013B"/>
    <w:rsid w:val="00571B99"/>
    <w:rsid w:val="00605827"/>
    <w:rsid w:val="00675021"/>
    <w:rsid w:val="006A06C6"/>
    <w:rsid w:val="007224C8"/>
    <w:rsid w:val="00794BE2"/>
    <w:rsid w:val="007B71FE"/>
    <w:rsid w:val="007D781E"/>
    <w:rsid w:val="007E663E"/>
    <w:rsid w:val="00815082"/>
    <w:rsid w:val="00847E35"/>
    <w:rsid w:val="00865882"/>
    <w:rsid w:val="0088395E"/>
    <w:rsid w:val="008B2CC1"/>
    <w:rsid w:val="008E6BD6"/>
    <w:rsid w:val="008F0592"/>
    <w:rsid w:val="0090731E"/>
    <w:rsid w:val="00966A22"/>
    <w:rsid w:val="00972F03"/>
    <w:rsid w:val="009A0C8B"/>
    <w:rsid w:val="009B6241"/>
    <w:rsid w:val="00A05011"/>
    <w:rsid w:val="00A16FC0"/>
    <w:rsid w:val="00A32C9E"/>
    <w:rsid w:val="00A35236"/>
    <w:rsid w:val="00A9605F"/>
    <w:rsid w:val="00AB613D"/>
    <w:rsid w:val="00AE7F20"/>
    <w:rsid w:val="00B65A0A"/>
    <w:rsid w:val="00B67CDC"/>
    <w:rsid w:val="00B72D36"/>
    <w:rsid w:val="00BC4164"/>
    <w:rsid w:val="00BD2DCC"/>
    <w:rsid w:val="00C90559"/>
    <w:rsid w:val="00CA2251"/>
    <w:rsid w:val="00CE4941"/>
    <w:rsid w:val="00D17DE2"/>
    <w:rsid w:val="00D40807"/>
    <w:rsid w:val="00D56C7C"/>
    <w:rsid w:val="00D71B4D"/>
    <w:rsid w:val="00D90289"/>
    <w:rsid w:val="00D93D55"/>
    <w:rsid w:val="00DB670E"/>
    <w:rsid w:val="00DC4C60"/>
    <w:rsid w:val="00E0079A"/>
    <w:rsid w:val="00E444DA"/>
    <w:rsid w:val="00E45C84"/>
    <w:rsid w:val="00E504E5"/>
    <w:rsid w:val="00E513DF"/>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erChar">
    <w:name w:val="Header Char"/>
    <w:basedOn w:val="DefaultParagraphFont"/>
    <w:link w:val="Header"/>
    <w:uiPriority w:val="99"/>
    <w:rsid w:val="00A35236"/>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35236"/>
    <w:pPr>
      <w:spacing w:after="200" w:line="276" w:lineRule="auto"/>
      <w:ind w:left="720"/>
      <w:contextualSpacing/>
    </w:pPr>
    <w:rPr>
      <w:rFonts w:ascii="Calibri" w:eastAsiaTheme="minorEastAsia" w:hAnsi="Calibri" w:cs="Times New Roman"/>
      <w:szCs w:val="22"/>
      <w:lang w:val="en-US" w:eastAsia="en-US"/>
    </w:rPr>
  </w:style>
  <w:style w:type="character" w:customStyle="1" w:styleId="Heading3Char">
    <w:name w:val="Heading 3 Char"/>
    <w:link w:val="Heading3"/>
    <w:rsid w:val="002C3E27"/>
    <w:rPr>
      <w:rFonts w:ascii="Arial" w:eastAsia="SimSun" w:hAnsi="Arial" w:cs="Arial"/>
      <w:bCs/>
      <w:sz w:val="22"/>
      <w:szCs w:val="26"/>
      <w:u w:val="single"/>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link w:val="Heading3Char"/>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character" w:customStyle="1" w:styleId="HeaderChar">
    <w:name w:val="Header Char"/>
    <w:basedOn w:val="DefaultParagraphFont"/>
    <w:link w:val="Header"/>
    <w:uiPriority w:val="99"/>
    <w:rsid w:val="00A35236"/>
    <w:rPr>
      <w:rFonts w:ascii="Arial" w:eastAsia="SimSun" w:hAnsi="Arial" w:cs="Arial"/>
      <w:sz w:val="22"/>
      <w:lang w:val="es-ES" w:eastAsia="zh-CN"/>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ListParagraph">
    <w:name w:val="List Paragraph"/>
    <w:basedOn w:val="Normal"/>
    <w:uiPriority w:val="34"/>
    <w:qFormat/>
    <w:rsid w:val="00A35236"/>
    <w:pPr>
      <w:spacing w:after="200" w:line="276" w:lineRule="auto"/>
      <w:ind w:left="720"/>
      <w:contextualSpacing/>
    </w:pPr>
    <w:rPr>
      <w:rFonts w:ascii="Calibri" w:eastAsiaTheme="minorEastAsia" w:hAnsi="Calibri" w:cs="Times New Roman"/>
      <w:szCs w:val="22"/>
      <w:lang w:val="en-US" w:eastAsia="en-US"/>
    </w:rPr>
  </w:style>
  <w:style w:type="character" w:customStyle="1" w:styleId="Heading3Char">
    <w:name w:val="Heading 3 Char"/>
    <w:link w:val="Heading3"/>
    <w:rsid w:val="002C3E27"/>
    <w:rPr>
      <w:rFonts w:ascii="Arial" w:eastAsia="SimSun" w:hAnsi="Arial" w:cs="Arial"/>
      <w:bCs/>
      <w:sz w:val="22"/>
      <w:szCs w:val="26"/>
      <w:u w:val="single"/>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6E19-2619-495B-AE39-856262B8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2268</Words>
  <Characters>12092</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14332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DANEMARK Nathalie</cp:lastModifiedBy>
  <cp:revision>2</cp:revision>
  <cp:lastPrinted>2013-12-20T18:27:00Z</cp:lastPrinted>
  <dcterms:created xsi:type="dcterms:W3CDTF">2013-12-20T18:27:00Z</dcterms:created>
  <dcterms:modified xsi:type="dcterms:W3CDTF">2013-12-20T18:27:00Z</dcterms:modified>
</cp:coreProperties>
</file>