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9C" w:rsidRPr="00924A44" w:rsidRDefault="00B47A9C" w:rsidP="00B47A9C">
      <w:pPr>
        <w:rPr>
          <w:b/>
        </w:rPr>
      </w:pPr>
      <w:r w:rsidRPr="00924A44">
        <w:rPr>
          <w:b/>
        </w:rPr>
        <w:t>Program and Budget Committee</w:t>
      </w:r>
    </w:p>
    <w:p w:rsidR="00B47A9C" w:rsidRPr="00924A44" w:rsidRDefault="00B47A9C" w:rsidP="00B47A9C">
      <w:pPr>
        <w:rPr>
          <w:b/>
        </w:rPr>
      </w:pPr>
      <w:r w:rsidRPr="00924A44">
        <w:rPr>
          <w:b/>
        </w:rPr>
        <w:t>Twenty-</w:t>
      </w:r>
      <w:r>
        <w:rPr>
          <w:b/>
        </w:rPr>
        <w:t>third</w:t>
      </w:r>
      <w:r w:rsidRPr="00924A44">
        <w:rPr>
          <w:b/>
        </w:rPr>
        <w:t xml:space="preserve"> Session</w:t>
      </w:r>
      <w:bookmarkStart w:id="0" w:name="_GoBack"/>
      <w:bookmarkEnd w:id="0"/>
    </w:p>
    <w:p w:rsidR="00B47A9C" w:rsidRPr="00924A44" w:rsidRDefault="00B47A9C" w:rsidP="00B47A9C">
      <w:pPr>
        <w:rPr>
          <w:b/>
        </w:rPr>
      </w:pPr>
      <w:r w:rsidRPr="00924A44">
        <w:rPr>
          <w:b/>
        </w:rPr>
        <w:t>Geneva, July 13-17, 2015</w:t>
      </w:r>
    </w:p>
    <w:p w:rsidR="00A164DA" w:rsidRDefault="00A164DA" w:rsidP="00804DB7">
      <w:pPr>
        <w:rPr>
          <w:sz w:val="16"/>
          <w:szCs w:val="16"/>
        </w:rPr>
      </w:pPr>
    </w:p>
    <w:p w:rsidR="00A164DA" w:rsidRDefault="00A164DA" w:rsidP="00804DB7">
      <w:pPr>
        <w:rPr>
          <w:sz w:val="16"/>
          <w:szCs w:val="16"/>
        </w:rPr>
      </w:pPr>
    </w:p>
    <w:p w:rsidR="00B47A9C" w:rsidRPr="00B47A9C" w:rsidRDefault="00B47A9C" w:rsidP="00B47A9C">
      <w:pPr>
        <w:pStyle w:val="Header"/>
        <w:jc w:val="center"/>
        <w:rPr>
          <w:b/>
        </w:rPr>
      </w:pPr>
      <w:r>
        <w:rPr>
          <w:b/>
        </w:rPr>
        <w:t>Cost E</w:t>
      </w:r>
      <w:r w:rsidRPr="00B47A9C">
        <w:rPr>
          <w:b/>
        </w:rPr>
        <w:t xml:space="preserve">fficiencies </w:t>
      </w:r>
      <w:r>
        <w:rPr>
          <w:b/>
        </w:rPr>
        <w:t>R</w:t>
      </w:r>
      <w:r w:rsidRPr="00B47A9C">
        <w:rPr>
          <w:b/>
        </w:rPr>
        <w:t>ealized in 2014 and/or</w:t>
      </w:r>
      <w:r>
        <w:rPr>
          <w:b/>
        </w:rPr>
        <w:t xml:space="preserve"> </w:t>
      </w:r>
      <w:proofErr w:type="spellStart"/>
      <w:r>
        <w:rPr>
          <w:b/>
        </w:rPr>
        <w:t>B</w:t>
      </w:r>
      <w:r w:rsidRPr="00B47A9C">
        <w:rPr>
          <w:b/>
        </w:rPr>
        <w:t>aselined</w:t>
      </w:r>
      <w:proofErr w:type="spellEnd"/>
      <w:r w:rsidRPr="00B47A9C">
        <w:rPr>
          <w:b/>
        </w:rPr>
        <w:t xml:space="preserve"> in the</w:t>
      </w:r>
    </w:p>
    <w:p w:rsidR="00B47A9C" w:rsidRPr="00B47A9C" w:rsidRDefault="00B47A9C" w:rsidP="00B47A9C">
      <w:pPr>
        <w:pStyle w:val="Header"/>
        <w:jc w:val="center"/>
        <w:rPr>
          <w:b/>
        </w:rPr>
      </w:pPr>
      <w:r>
        <w:rPr>
          <w:b/>
        </w:rPr>
        <w:t>P</w:t>
      </w:r>
      <w:r w:rsidRPr="00B47A9C">
        <w:rPr>
          <w:b/>
        </w:rPr>
        <w:t>roposed Program and Budget 2016/17</w:t>
      </w:r>
    </w:p>
    <w:p w:rsidR="008A7422" w:rsidRPr="00B47A9C" w:rsidRDefault="008A7422" w:rsidP="00B47A9C">
      <w:pPr>
        <w:jc w:val="center"/>
        <w:rPr>
          <w:sz w:val="20"/>
          <w:szCs w:val="16"/>
        </w:rPr>
      </w:pPr>
    </w:p>
    <w:p w:rsidR="00697CFD" w:rsidRDefault="00697CFD" w:rsidP="00804DB7">
      <w:pPr>
        <w:rPr>
          <w:sz w:val="16"/>
          <w:szCs w:val="16"/>
        </w:rPr>
      </w:pPr>
    </w:p>
    <w:tbl>
      <w:tblPr>
        <w:tblStyle w:val="LightList-Accent1"/>
        <w:tblW w:w="973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dotted" w:sz="4" w:space="0" w:color="8DB3E2" w:themeColor="text2" w:themeTint="66"/>
          <w:insideV w:val="dotted" w:sz="4" w:space="0" w:color="8DB3E2" w:themeColor="text2" w:themeTint="66"/>
        </w:tblBorders>
        <w:tblLayout w:type="fixed"/>
        <w:tblLook w:val="04A0" w:firstRow="1" w:lastRow="0" w:firstColumn="1" w:lastColumn="0" w:noHBand="0" w:noVBand="1"/>
      </w:tblPr>
      <w:tblGrid>
        <w:gridCol w:w="2898"/>
        <w:gridCol w:w="23"/>
        <w:gridCol w:w="697"/>
        <w:gridCol w:w="900"/>
        <w:gridCol w:w="1260"/>
        <w:gridCol w:w="1616"/>
        <w:gridCol w:w="2344"/>
      </w:tblGrid>
      <w:tr w:rsidR="00697CFD" w:rsidRPr="00EF13F2" w:rsidTr="00B47A9C">
        <w:trPr>
          <w:cnfStyle w:val="100000000000" w:firstRow="1" w:lastRow="0" w:firstColumn="0" w:lastColumn="0" w:oddVBand="0" w:evenVBand="0" w:oddHBand="0" w:evenHBand="0" w:firstRowFirstColumn="0" w:firstRowLastColumn="0" w:lastRowFirstColumn="0" w:lastRowLastColumn="0"/>
          <w:trHeight w:val="765"/>
          <w:tblHeader/>
        </w:trPr>
        <w:tc>
          <w:tcPr>
            <w:cnfStyle w:val="001000000000" w:firstRow="0" w:lastRow="0" w:firstColumn="1" w:lastColumn="0" w:oddVBand="0" w:evenVBand="0" w:oddHBand="0" w:evenHBand="0" w:firstRowFirstColumn="0" w:firstRowLastColumn="0" w:lastRowFirstColumn="0" w:lastRowLastColumn="0"/>
            <w:tcW w:w="2921" w:type="dxa"/>
            <w:gridSpan w:val="2"/>
            <w:tcBorders>
              <w:bottom w:val="single" w:sz="8" w:space="0" w:color="4F81BD" w:themeColor="accent1"/>
            </w:tcBorders>
            <w:vAlign w:val="center"/>
            <w:hideMark/>
          </w:tcPr>
          <w:p w:rsidR="00697CFD" w:rsidRPr="00EF13F2" w:rsidRDefault="00697CFD" w:rsidP="004819A3">
            <w:pPr>
              <w:jc w:val="center"/>
              <w:rPr>
                <w:sz w:val="18"/>
                <w:szCs w:val="18"/>
              </w:rPr>
            </w:pPr>
            <w:r w:rsidRPr="00EF13F2">
              <w:rPr>
                <w:sz w:val="18"/>
                <w:szCs w:val="18"/>
              </w:rPr>
              <w:t>Cost efficiency</w:t>
            </w:r>
          </w:p>
        </w:tc>
        <w:tc>
          <w:tcPr>
            <w:tcW w:w="697" w:type="dxa"/>
            <w:tcBorders>
              <w:bottom w:val="single" w:sz="8" w:space="0" w:color="4F81BD" w:themeColor="accent1"/>
            </w:tcBorders>
            <w:vAlign w:val="center"/>
            <w:hideMark/>
          </w:tcPr>
          <w:p w:rsidR="00697CFD" w:rsidRPr="00EF13F2" w:rsidRDefault="00697CFD" w:rsidP="004819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EF13F2">
              <w:rPr>
                <w:sz w:val="18"/>
                <w:szCs w:val="18"/>
              </w:rPr>
              <w:t>PPR 2014</w:t>
            </w:r>
          </w:p>
        </w:tc>
        <w:tc>
          <w:tcPr>
            <w:tcW w:w="900" w:type="dxa"/>
            <w:tcBorders>
              <w:bottom w:val="single" w:sz="8" w:space="0" w:color="4F81BD" w:themeColor="accent1"/>
            </w:tcBorders>
            <w:vAlign w:val="center"/>
            <w:hideMark/>
          </w:tcPr>
          <w:p w:rsidR="00697CFD" w:rsidRPr="00EF13F2" w:rsidRDefault="00697CFD" w:rsidP="004819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EF13F2">
              <w:rPr>
                <w:sz w:val="18"/>
                <w:szCs w:val="18"/>
              </w:rPr>
              <w:t>PB</w:t>
            </w:r>
          </w:p>
          <w:p w:rsidR="00697CFD" w:rsidRPr="00EF13F2" w:rsidRDefault="00697CFD" w:rsidP="004819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EF13F2">
              <w:rPr>
                <w:sz w:val="18"/>
                <w:szCs w:val="18"/>
              </w:rPr>
              <w:t>2016/17</w:t>
            </w:r>
          </w:p>
        </w:tc>
        <w:tc>
          <w:tcPr>
            <w:tcW w:w="1260" w:type="dxa"/>
            <w:tcBorders>
              <w:bottom w:val="single" w:sz="8" w:space="0" w:color="4F81BD" w:themeColor="accent1"/>
            </w:tcBorders>
            <w:vAlign w:val="center"/>
            <w:hideMark/>
          </w:tcPr>
          <w:p w:rsidR="00697CFD" w:rsidRPr="00EF13F2" w:rsidRDefault="00697CFD" w:rsidP="004819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EF13F2">
              <w:rPr>
                <w:sz w:val="18"/>
                <w:szCs w:val="18"/>
              </w:rPr>
              <w:t xml:space="preserve">Annual amount of savings </w:t>
            </w:r>
            <w:r w:rsidRPr="00EF13F2">
              <w:rPr>
                <w:sz w:val="18"/>
                <w:szCs w:val="18"/>
              </w:rPr>
              <w:br/>
              <w:t>(Swiss francs)</w:t>
            </w:r>
          </w:p>
        </w:tc>
        <w:tc>
          <w:tcPr>
            <w:tcW w:w="1616" w:type="dxa"/>
            <w:tcBorders>
              <w:bottom w:val="single" w:sz="8" w:space="0" w:color="4F81BD" w:themeColor="accent1"/>
            </w:tcBorders>
            <w:vAlign w:val="center"/>
            <w:hideMark/>
          </w:tcPr>
          <w:p w:rsidR="00697CFD" w:rsidRPr="00EF13F2" w:rsidRDefault="00697CFD" w:rsidP="004819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EF13F2">
              <w:rPr>
                <w:sz w:val="18"/>
                <w:szCs w:val="18"/>
              </w:rPr>
              <w:t>Unit cost</w:t>
            </w:r>
            <w:r w:rsidRPr="00EF13F2">
              <w:rPr>
                <w:sz w:val="18"/>
                <w:szCs w:val="18"/>
              </w:rPr>
              <w:br/>
              <w:t>(Swiss francs)</w:t>
            </w:r>
          </w:p>
        </w:tc>
        <w:tc>
          <w:tcPr>
            <w:tcW w:w="2344" w:type="dxa"/>
            <w:tcBorders>
              <w:bottom w:val="single" w:sz="8" w:space="0" w:color="4F81BD" w:themeColor="accent1"/>
            </w:tcBorders>
            <w:vAlign w:val="center"/>
            <w:hideMark/>
          </w:tcPr>
          <w:p w:rsidR="00697CFD" w:rsidRPr="00EF13F2" w:rsidRDefault="00697CFD" w:rsidP="004819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EF13F2">
              <w:rPr>
                <w:sz w:val="18"/>
                <w:szCs w:val="18"/>
              </w:rPr>
              <w:t>Notes</w:t>
            </w:r>
          </w:p>
        </w:tc>
      </w:tr>
      <w:tr w:rsidR="00697CFD" w:rsidRPr="00EF13F2" w:rsidTr="00B47A9C">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2921" w:type="dxa"/>
            <w:gridSpan w:val="2"/>
            <w:tcBorders>
              <w:left w:val="single" w:sz="4"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Lower overall costs for the processing of published international PCT applications resulting from enhanced processing of financial commitments for the outsourcing of translation services, and an increase in productivity</w:t>
            </w:r>
          </w:p>
        </w:tc>
        <w:tc>
          <w:tcPr>
            <w:tcW w:w="697" w:type="dxa"/>
            <w:tcBorders>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x</w:t>
            </w:r>
          </w:p>
        </w:tc>
        <w:tc>
          <w:tcPr>
            <w:tcW w:w="900" w:type="dxa"/>
            <w:tcBorders>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tcBorders>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p>
        </w:tc>
        <w:tc>
          <w:tcPr>
            <w:tcW w:w="1616" w:type="dxa"/>
            <w:tcBorders>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A reduction from  722 in 2013 to 662  in 2014  (i.e. 60 or 8.3 per cent decrease)</w:t>
            </w:r>
          </w:p>
        </w:tc>
        <w:tc>
          <w:tcPr>
            <w:tcW w:w="2344" w:type="dxa"/>
            <w:tcBorders>
              <w:bottom w:val="dotted" w:sz="4" w:space="0" w:color="8DB3E2" w:themeColor="text2" w:themeTint="66"/>
              <w:right w:val="single" w:sz="4" w:space="0" w:color="4F81BD" w:themeColor="accent1"/>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The average cost of processing a published PCT application using a new method is an estimation which is calculated by dividing the total processing cost by the number of published PCT applications (Source: WIPO Statistics Database, March 2015).</w:t>
            </w:r>
            <w:r w:rsidRPr="00EF13F2">
              <w:rPr>
                <w:sz w:val="18"/>
                <w:szCs w:val="18"/>
              </w:rPr>
              <w:br/>
              <w:t>Further details: PPR 2014 Program 5 Annex: Indicators of PCT Operations.</w:t>
            </w:r>
          </w:p>
        </w:tc>
      </w:tr>
      <w:tr w:rsidR="00697CFD" w:rsidRPr="00EF13F2" w:rsidTr="00B47A9C">
        <w:trPr>
          <w:trHeight w:val="976"/>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Reduction in translation costs of international Madrid applications resulting from lower costs for outsourcing of translations</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right"/>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349,000</w:t>
            </w: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r>
      <w:tr w:rsidR="00697CFD" w:rsidRPr="00EF13F2" w:rsidTr="00B47A9C">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left w:val="single" w:sz="4"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Lower premiums resulting from renegotiation of the new insurance contract Professional Accident Insurance (PAI)</w:t>
            </w:r>
            <w:r w:rsidRPr="00EF13F2">
              <w:rPr>
                <w:b w:val="0"/>
                <w:sz w:val="18"/>
                <w:szCs w:val="18"/>
              </w:rPr>
              <w:br/>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x</w:t>
            </w: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right"/>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200,000</w:t>
            </w: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bottom w:val="dotted" w:sz="4" w:space="0" w:color="8DB3E2" w:themeColor="text2" w:themeTint="66"/>
              <w:right w:val="single" w:sz="4" w:space="0" w:color="4F81BD" w:themeColor="accent1"/>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w:t>
            </w:r>
          </w:p>
        </w:tc>
      </w:tr>
      <w:tr w:rsidR="00697CFD" w:rsidRPr="00EF13F2" w:rsidTr="00B47A9C">
        <w:trPr>
          <w:trHeight w:val="1012"/>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Reduction in the cost of home leave travel resulting from the implementation of the new home leave travel policy (OI 22/2014)</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x</w:t>
            </w: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right"/>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2,000,000</w:t>
            </w: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r>
      <w:tr w:rsidR="00697CFD" w:rsidRPr="00EF13F2" w:rsidTr="007B142F">
        <w:trPr>
          <w:cnfStyle w:val="000000100000" w:firstRow="0" w:lastRow="0" w:firstColumn="0" w:lastColumn="0" w:oddVBand="0" w:evenVBand="0" w:oddHBand="1" w:evenHBand="0" w:firstRowFirstColumn="0" w:firstRowLastColumn="0" w:lastRowFirstColumn="0" w:lastRowLastColumn="0"/>
          <w:trHeight w:val="1525"/>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left w:val="single" w:sz="4"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Lower average air ticket price resulting from utilization of more economical fares</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xml:space="preserve">x </w:t>
            </w: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A reduction from 1,728  in 2013 to 1,598 in 2014 from  (i.e. 130 or 7.5 per cent decrease)</w:t>
            </w:r>
          </w:p>
        </w:tc>
        <w:tc>
          <w:tcPr>
            <w:tcW w:w="2344" w:type="dxa"/>
            <w:tcBorders>
              <w:top w:val="dotted" w:sz="4" w:space="0" w:color="8DB3E2" w:themeColor="text2" w:themeTint="66"/>
              <w:bottom w:val="dotted" w:sz="4" w:space="0" w:color="8DB3E2" w:themeColor="text2" w:themeTint="66"/>
              <w:right w:val="single" w:sz="4" w:space="0" w:color="4F81BD" w:themeColor="accent1"/>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A substantial effort was made to reduce travel expenditure leading to a decrease in both the number of tickets issued and the number of late travel submissions.</w:t>
            </w:r>
          </w:p>
        </w:tc>
      </w:tr>
      <w:tr w:rsidR="00697CFD" w:rsidRPr="00EF13F2" w:rsidTr="007B142F">
        <w:trPr>
          <w:trHeight w:val="1786"/>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bottom w:val="single" w:sz="4" w:space="0" w:color="4F81BD" w:themeColor="accent1"/>
            </w:tcBorders>
          </w:tcPr>
          <w:p w:rsidR="00697CFD" w:rsidRPr="00EF13F2" w:rsidRDefault="00697CFD" w:rsidP="004819A3">
            <w:pPr>
              <w:rPr>
                <w:sz w:val="18"/>
                <w:szCs w:val="18"/>
              </w:rPr>
            </w:pPr>
            <w:r w:rsidRPr="00EF13F2">
              <w:rPr>
                <w:b w:val="0"/>
                <w:sz w:val="18"/>
                <w:szCs w:val="18"/>
              </w:rPr>
              <w:t>Decrease in the overall expenditure on air tickets</w:t>
            </w:r>
          </w:p>
        </w:tc>
        <w:tc>
          <w:tcPr>
            <w:tcW w:w="697" w:type="dxa"/>
            <w:tcBorders>
              <w:top w:val="dotted" w:sz="4" w:space="0" w:color="8DB3E2" w:themeColor="text2" w:themeTint="66"/>
              <w:bottom w:val="single" w:sz="4" w:space="0" w:color="4F81BD" w:themeColor="accent1"/>
            </w:tcBorders>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single" w:sz="4" w:space="0" w:color="4F81BD" w:themeColor="accent1"/>
            </w:tcBorders>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x</w:t>
            </w:r>
          </w:p>
        </w:tc>
        <w:tc>
          <w:tcPr>
            <w:tcW w:w="1260" w:type="dxa"/>
            <w:tcBorders>
              <w:top w:val="dotted" w:sz="4" w:space="0" w:color="8DB3E2" w:themeColor="text2" w:themeTint="66"/>
              <w:bottom w:val="single" w:sz="4" w:space="0" w:color="4F81BD" w:themeColor="accent1"/>
            </w:tcBorders>
          </w:tcPr>
          <w:p w:rsidR="00697CFD" w:rsidRPr="00EF13F2" w:rsidRDefault="00697CFD" w:rsidP="004819A3">
            <w:pPr>
              <w:jc w:val="right"/>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4,700,000</w:t>
            </w:r>
          </w:p>
        </w:tc>
        <w:tc>
          <w:tcPr>
            <w:tcW w:w="1616" w:type="dxa"/>
            <w:tcBorders>
              <w:top w:val="dotted" w:sz="4" w:space="0" w:color="8DB3E2" w:themeColor="text2" w:themeTint="66"/>
              <w:bottom w:val="single" w:sz="4" w:space="0" w:color="4F81BD" w:themeColor="accent1"/>
            </w:tcBorders>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p>
        </w:tc>
        <w:tc>
          <w:tcPr>
            <w:tcW w:w="2344" w:type="dxa"/>
            <w:tcBorders>
              <w:top w:val="dotted" w:sz="4" w:space="0" w:color="8DB3E2" w:themeColor="text2" w:themeTint="66"/>
              <w:bottom w:val="single" w:sz="4" w:space="0" w:color="4F81BD" w:themeColor="accent1"/>
            </w:tcBorders>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As a result of: a) lower average air ticket price; b) decrease in the overall number of air tickets by 15% (in 2014 compared to 2013); and c) a change in the policy for travel of ICS contract holders</w:t>
            </w:r>
            <w:r>
              <w:rPr>
                <w:sz w:val="18"/>
                <w:szCs w:val="18"/>
              </w:rPr>
              <w:t>.</w:t>
            </w:r>
          </w:p>
        </w:tc>
      </w:tr>
      <w:tr w:rsidR="00697CFD" w:rsidRPr="00EF13F2" w:rsidTr="007B142F">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2921" w:type="dxa"/>
            <w:gridSpan w:val="2"/>
            <w:tcBorders>
              <w:top w:val="single" w:sz="4" w:space="0" w:color="4F81BD" w:themeColor="accent1"/>
              <w:left w:val="single" w:sz="4" w:space="0" w:color="4F81BD" w:themeColor="accent1"/>
              <w:bottom w:val="dotted" w:sz="4" w:space="0" w:color="8DB3E2" w:themeColor="text2" w:themeTint="66"/>
            </w:tcBorders>
          </w:tcPr>
          <w:p w:rsidR="00697CFD" w:rsidRPr="00EF13F2" w:rsidRDefault="00697CFD" w:rsidP="004819A3">
            <w:pPr>
              <w:rPr>
                <w:b w:val="0"/>
                <w:sz w:val="18"/>
                <w:szCs w:val="18"/>
              </w:rPr>
            </w:pPr>
            <w:r w:rsidRPr="00EF13F2">
              <w:rPr>
                <w:b w:val="0"/>
                <w:sz w:val="18"/>
                <w:szCs w:val="18"/>
              </w:rPr>
              <w:lastRenderedPageBreak/>
              <w:t>Cost savings for goods and services procured by WIPO</w:t>
            </w:r>
          </w:p>
        </w:tc>
        <w:tc>
          <w:tcPr>
            <w:tcW w:w="697" w:type="dxa"/>
            <w:tcBorders>
              <w:top w:val="single" w:sz="4" w:space="0" w:color="4F81BD" w:themeColor="accent1"/>
              <w:bottom w:val="dotted" w:sz="4" w:space="0" w:color="8DB3E2" w:themeColor="text2" w:themeTint="66"/>
            </w:tcBorders>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bCs/>
                <w:sz w:val="18"/>
                <w:szCs w:val="18"/>
              </w:rPr>
            </w:pPr>
            <w:r w:rsidRPr="00EF13F2">
              <w:rPr>
                <w:bCs/>
                <w:sz w:val="18"/>
                <w:szCs w:val="18"/>
              </w:rPr>
              <w:t>x</w:t>
            </w:r>
          </w:p>
        </w:tc>
        <w:tc>
          <w:tcPr>
            <w:tcW w:w="900" w:type="dxa"/>
            <w:tcBorders>
              <w:top w:val="single" w:sz="4" w:space="0" w:color="4F81BD" w:themeColor="accent1"/>
              <w:bottom w:val="dotted" w:sz="4" w:space="0" w:color="8DB3E2" w:themeColor="text2" w:themeTint="66"/>
            </w:tcBorders>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1260" w:type="dxa"/>
            <w:tcBorders>
              <w:top w:val="single" w:sz="4" w:space="0" w:color="4F81BD" w:themeColor="accent1"/>
              <w:bottom w:val="dotted" w:sz="4" w:space="0" w:color="8DB3E2" w:themeColor="text2" w:themeTint="66"/>
            </w:tcBorders>
          </w:tcPr>
          <w:p w:rsidR="00697CFD" w:rsidRPr="00EF13F2" w:rsidRDefault="00697CFD" w:rsidP="004819A3">
            <w:pPr>
              <w:jc w:val="right"/>
              <w:cnfStyle w:val="000000100000" w:firstRow="0" w:lastRow="0" w:firstColumn="0" w:lastColumn="0" w:oddVBand="0" w:evenVBand="0" w:oddHBand="1" w:evenHBand="0" w:firstRowFirstColumn="0" w:firstRowLastColumn="0" w:lastRowFirstColumn="0" w:lastRowLastColumn="0"/>
              <w:rPr>
                <w:bCs/>
                <w:sz w:val="18"/>
                <w:szCs w:val="18"/>
              </w:rPr>
            </w:pPr>
            <w:r w:rsidRPr="00EF13F2">
              <w:rPr>
                <w:bCs/>
                <w:sz w:val="18"/>
                <w:szCs w:val="18"/>
              </w:rPr>
              <w:t>2,663,000</w:t>
            </w:r>
          </w:p>
        </w:tc>
        <w:tc>
          <w:tcPr>
            <w:tcW w:w="1616" w:type="dxa"/>
            <w:tcBorders>
              <w:top w:val="single" w:sz="4" w:space="0" w:color="4F81BD" w:themeColor="accent1"/>
              <w:bottom w:val="dotted" w:sz="4" w:space="0" w:color="8DB3E2" w:themeColor="text2" w:themeTint="66"/>
            </w:tcBorders>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bCs/>
                <w:sz w:val="18"/>
                <w:szCs w:val="18"/>
              </w:rPr>
            </w:pPr>
          </w:p>
        </w:tc>
        <w:tc>
          <w:tcPr>
            <w:tcW w:w="2344" w:type="dxa"/>
            <w:tcBorders>
              <w:top w:val="single" w:sz="4" w:space="0" w:color="4F81BD" w:themeColor="accent1"/>
              <w:bottom w:val="dotted" w:sz="4" w:space="0" w:color="8DB3E2" w:themeColor="text2" w:themeTint="66"/>
              <w:right w:val="single" w:sz="4" w:space="0" w:color="4F81BD" w:themeColor="accent1"/>
            </w:tcBorders>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bCs/>
                <w:sz w:val="18"/>
                <w:szCs w:val="18"/>
              </w:rPr>
            </w:pPr>
            <w:r w:rsidRPr="00EF13F2">
              <w:rPr>
                <w:bCs/>
                <w:sz w:val="18"/>
                <w:szCs w:val="18"/>
              </w:rPr>
              <w:t xml:space="preserve">Of which 1,598,000 Swiss francs have been realized through the Common Procurement Activities Group (CPAG) and 1,064,000 Swiss francs realized from WIPO negotiations after tenders or negotiations with sole suppliers. </w:t>
            </w:r>
          </w:p>
        </w:tc>
      </w:tr>
      <w:tr w:rsidR="00697CFD" w:rsidRPr="00EF13F2" w:rsidTr="007B142F">
        <w:trPr>
          <w:trHeight w:val="1992"/>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left w:val="single" w:sz="4"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Reduction in energy consumption for the Cooling System using Geneva Lake water instead of city water that does not require use of machines to decrease water temperature and thus generates savings in electricity and water consumption for the operation of the Cooling System</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right"/>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35,000</w:t>
            </w: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bottom w:val="dotted" w:sz="4" w:space="0" w:color="8DB3E2" w:themeColor="text2" w:themeTint="66"/>
              <w:right w:val="single" w:sz="4" w:space="0" w:color="4F81BD" w:themeColor="accent1"/>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Electricity was reduced by 2.2 per cent and water consumption by 10 per cent.</w:t>
            </w:r>
          </w:p>
        </w:tc>
      </w:tr>
      <w:tr w:rsidR="00697CFD" w:rsidRPr="00EF13F2" w:rsidTr="007B142F">
        <w:trPr>
          <w:cnfStyle w:val="000000100000" w:firstRow="0" w:lastRow="0" w:firstColumn="0" w:lastColumn="0" w:oddVBand="0" w:evenVBand="0" w:oddHBand="1" w:evenHBand="0" w:firstRowFirstColumn="0" w:firstRowLastColumn="0" w:lastRowFirstColumn="0" w:lastRowLastColumn="0"/>
          <w:trHeight w:val="2182"/>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left w:val="single" w:sz="4"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Reduction in electricity consumption in all WIPO buildings resulting from the installation of light presence detectors, energy-efficient light bulbs, light timing service in parking and new more efficient electric closets for the operation of electrical installations in all floors of all buildings.</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15,000</w:t>
            </w: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bottom w:val="dotted" w:sz="4" w:space="0" w:color="8DB3E2" w:themeColor="text2" w:themeTint="66"/>
              <w:right w:val="single" w:sz="4" w:space="0" w:color="4F81BD" w:themeColor="accent1"/>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w:t>
            </w:r>
          </w:p>
        </w:tc>
      </w:tr>
      <w:tr w:rsidR="00697CFD" w:rsidRPr="00EF13F2" w:rsidTr="007B142F">
        <w:trPr>
          <w:trHeight w:val="976"/>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left w:val="single" w:sz="4"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 xml:space="preserve">Reduction in water consumption resulting, </w:t>
            </w:r>
            <w:r w:rsidRPr="00EF13F2">
              <w:rPr>
                <w:b w:val="0"/>
                <w:i/>
                <w:iCs/>
                <w:sz w:val="18"/>
                <w:szCs w:val="18"/>
              </w:rPr>
              <w:t>inter alia</w:t>
            </w:r>
            <w:r w:rsidRPr="00EF13F2">
              <w:rPr>
                <w:b w:val="0"/>
                <w:sz w:val="18"/>
                <w:szCs w:val="18"/>
              </w:rPr>
              <w:t>, from the use of lake water instead of city water</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19,500</w:t>
            </w: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bottom w:val="dotted" w:sz="4" w:space="0" w:color="8DB3E2" w:themeColor="text2" w:themeTint="66"/>
              <w:right w:val="single" w:sz="4" w:space="0" w:color="4F81BD" w:themeColor="accent1"/>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r>
      <w:tr w:rsidR="00697CFD" w:rsidRPr="00EF13F2" w:rsidTr="007B142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left w:val="single" w:sz="4"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Termination of the leases of two off-site storage areas</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12,178</w:t>
            </w: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bottom w:val="dotted" w:sz="4" w:space="0" w:color="8DB3E2" w:themeColor="text2" w:themeTint="66"/>
              <w:right w:val="single" w:sz="4" w:space="0" w:color="4F81BD" w:themeColor="accent1"/>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EF13F2">
              <w:rPr>
                <w:sz w:val="18"/>
                <w:szCs w:val="18"/>
              </w:rPr>
              <w:t>Meyrin</w:t>
            </w:r>
            <w:proofErr w:type="spellEnd"/>
            <w:r w:rsidRPr="00EF13F2">
              <w:rPr>
                <w:sz w:val="18"/>
                <w:szCs w:val="18"/>
              </w:rPr>
              <w:t xml:space="preserve"> IV storage terminated on September 30, 2014</w:t>
            </w:r>
            <w:r w:rsidRPr="00EF13F2">
              <w:rPr>
                <w:sz w:val="18"/>
                <w:szCs w:val="18"/>
              </w:rPr>
              <w:br/>
              <w:t xml:space="preserve">La </w:t>
            </w:r>
            <w:proofErr w:type="spellStart"/>
            <w:r w:rsidRPr="00EF13F2">
              <w:rPr>
                <w:sz w:val="18"/>
                <w:szCs w:val="18"/>
              </w:rPr>
              <w:t>Praille</w:t>
            </w:r>
            <w:proofErr w:type="spellEnd"/>
            <w:r w:rsidRPr="00EF13F2">
              <w:rPr>
                <w:sz w:val="18"/>
                <w:szCs w:val="18"/>
              </w:rPr>
              <w:t xml:space="preserve"> storage terminated in November 2014.</w:t>
            </w:r>
          </w:p>
        </w:tc>
      </w:tr>
      <w:tr w:rsidR="00697CFD" w:rsidRPr="00EF13F2" w:rsidTr="007B142F">
        <w:trPr>
          <w:trHeight w:val="958"/>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left w:val="single" w:sz="4"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 xml:space="preserve">Termination of 32 </w:t>
            </w:r>
            <w:proofErr w:type="spellStart"/>
            <w:r w:rsidRPr="00EF13F2">
              <w:rPr>
                <w:b w:val="0"/>
                <w:sz w:val="18"/>
                <w:szCs w:val="18"/>
              </w:rPr>
              <w:t>abonnements</w:t>
            </w:r>
            <w:proofErr w:type="spellEnd"/>
            <w:r w:rsidRPr="00EF13F2">
              <w:rPr>
                <w:b w:val="0"/>
                <w:sz w:val="18"/>
                <w:szCs w:val="18"/>
              </w:rPr>
              <w:t xml:space="preserve"> in Parking des Nations in several batches between August and December 2014.</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3,404</w:t>
            </w: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bottom w:val="dotted" w:sz="4" w:space="0" w:color="8DB3E2" w:themeColor="text2" w:themeTint="66"/>
              <w:right w:val="single" w:sz="4" w:space="0" w:color="4F81BD" w:themeColor="accent1"/>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r>
      <w:tr w:rsidR="00697CFD" w:rsidRPr="00EF13F2" w:rsidTr="007B142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left w:val="single" w:sz="4"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Reduction in ordering of office supplies</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8,193</w:t>
            </w: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bottom w:val="dotted" w:sz="4" w:space="0" w:color="8DB3E2" w:themeColor="text2" w:themeTint="66"/>
              <w:right w:val="single" w:sz="4" w:space="0" w:color="4F81BD" w:themeColor="accent1"/>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w:t>
            </w:r>
          </w:p>
        </w:tc>
      </w:tr>
      <w:tr w:rsidR="00697CFD" w:rsidRPr="00EF13F2" w:rsidTr="007B142F">
        <w:trPr>
          <w:trHeight w:val="733"/>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left w:val="single" w:sz="4" w:space="0" w:color="4F81BD" w:themeColor="accent1"/>
              <w:bottom w:val="single" w:sz="4" w:space="0" w:color="4F81BD" w:themeColor="accent1"/>
            </w:tcBorders>
            <w:hideMark/>
          </w:tcPr>
          <w:p w:rsidR="00697CFD" w:rsidRPr="00EF13F2" w:rsidRDefault="00697CFD" w:rsidP="004819A3">
            <w:pPr>
              <w:rPr>
                <w:b w:val="0"/>
                <w:sz w:val="18"/>
                <w:szCs w:val="18"/>
              </w:rPr>
            </w:pPr>
            <w:r w:rsidRPr="00EF13F2">
              <w:rPr>
                <w:b w:val="0"/>
                <w:sz w:val="18"/>
                <w:szCs w:val="18"/>
              </w:rPr>
              <w:t>Further reduction in the number of parking space in Parking des Nations</w:t>
            </w:r>
          </w:p>
        </w:tc>
        <w:tc>
          <w:tcPr>
            <w:tcW w:w="697" w:type="dxa"/>
            <w:tcBorders>
              <w:top w:val="dotted" w:sz="4" w:space="0" w:color="8DB3E2" w:themeColor="text2" w:themeTint="66"/>
              <w:bottom w:val="single" w:sz="4" w:space="0" w:color="4F81BD" w:themeColor="accent1"/>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00" w:type="dxa"/>
            <w:tcBorders>
              <w:top w:val="dotted" w:sz="4" w:space="0" w:color="8DB3E2" w:themeColor="text2" w:themeTint="66"/>
              <w:bottom w:val="single" w:sz="4" w:space="0" w:color="4F81BD" w:themeColor="accent1"/>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x</w:t>
            </w:r>
          </w:p>
        </w:tc>
        <w:tc>
          <w:tcPr>
            <w:tcW w:w="1260" w:type="dxa"/>
            <w:tcBorders>
              <w:top w:val="dotted" w:sz="4" w:space="0" w:color="8DB3E2" w:themeColor="text2" w:themeTint="66"/>
              <w:bottom w:val="single" w:sz="4" w:space="0" w:color="4F81BD" w:themeColor="accent1"/>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100,000</w:t>
            </w:r>
          </w:p>
        </w:tc>
        <w:tc>
          <w:tcPr>
            <w:tcW w:w="1616" w:type="dxa"/>
            <w:tcBorders>
              <w:top w:val="dotted" w:sz="4" w:space="0" w:color="8DB3E2" w:themeColor="text2" w:themeTint="66"/>
              <w:bottom w:val="single" w:sz="4" w:space="0" w:color="4F81BD" w:themeColor="accent1"/>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bottom w:val="single" w:sz="4" w:space="0" w:color="4F81BD" w:themeColor="accent1"/>
              <w:right w:val="single" w:sz="4" w:space="0" w:color="4F81BD" w:themeColor="accent1"/>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r>
      <w:tr w:rsidR="00697CFD" w:rsidRPr="00EF13F2" w:rsidTr="007B142F">
        <w:trPr>
          <w:cnfStyle w:val="000000100000" w:firstRow="0" w:lastRow="0" w:firstColumn="0" w:lastColumn="0" w:oddVBand="0" w:evenVBand="0" w:oddHBand="1" w:evenHBand="0" w:firstRowFirstColumn="0" w:firstRowLastColumn="0" w:lastRowFirstColumn="0" w:lastRowLastColumn="0"/>
          <w:trHeight w:val="2965"/>
        </w:trPr>
        <w:tc>
          <w:tcPr>
            <w:cnfStyle w:val="001000000000" w:firstRow="0" w:lastRow="0" w:firstColumn="1" w:lastColumn="0" w:oddVBand="0" w:evenVBand="0" w:oddHBand="0" w:evenHBand="0" w:firstRowFirstColumn="0" w:firstRowLastColumn="0" w:lastRowFirstColumn="0" w:lastRowLastColumn="0"/>
            <w:tcW w:w="2921" w:type="dxa"/>
            <w:gridSpan w:val="2"/>
            <w:tcBorders>
              <w:top w:val="single" w:sz="4"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Implementation of a Mobile Device Management (MDM) system with more integrated services offered at a lower cost. (OI 17/2014)</w:t>
            </w:r>
          </w:p>
        </w:tc>
        <w:tc>
          <w:tcPr>
            <w:tcW w:w="697" w:type="dxa"/>
            <w:tcBorders>
              <w:top w:val="single" w:sz="4" w:space="0" w:color="4F81BD" w:themeColor="accent1"/>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x</w:t>
            </w:r>
          </w:p>
        </w:tc>
        <w:tc>
          <w:tcPr>
            <w:tcW w:w="900" w:type="dxa"/>
            <w:tcBorders>
              <w:top w:val="single" w:sz="4" w:space="0" w:color="4F81BD" w:themeColor="accent1"/>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tcBorders>
              <w:top w:val="single" w:sz="4" w:space="0" w:color="4F81BD" w:themeColor="accent1"/>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112,691</w:t>
            </w:r>
          </w:p>
        </w:tc>
        <w:tc>
          <w:tcPr>
            <w:tcW w:w="1616" w:type="dxa"/>
            <w:tcBorders>
              <w:top w:val="single" w:sz="4" w:space="0" w:color="4F81BD" w:themeColor="accent1"/>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A reduction in average monthly cost of device from 177 in 2013 to 111 in 2014 (i.e. 66 or 37 per cent decrease)</w:t>
            </w:r>
          </w:p>
        </w:tc>
        <w:tc>
          <w:tcPr>
            <w:tcW w:w="2344" w:type="dxa"/>
            <w:tcBorders>
              <w:top w:val="single" w:sz="4" w:space="0" w:color="4F81BD" w:themeColor="accent1"/>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Total expenditures with former Swisscom subscription decreased from 799,815 Swiss francs in 2013 (374 devices at end of year) to 520,430 Swiss francs in 2014 (404 devices at end of year) under new Swisscom subscription using new Blackberry Smartphone device. A one-time project cost of 166,784 is added in 2014 that includes a new device renewal, Swisscom Credit Note for device purchase, MDM licenses and MDM Infrastructure Setup.</w:t>
            </w:r>
          </w:p>
        </w:tc>
      </w:tr>
      <w:tr w:rsidR="00697CFD" w:rsidRPr="00EF13F2" w:rsidTr="007B142F">
        <w:trPr>
          <w:trHeight w:val="2442"/>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left w:val="single" w:sz="8"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Reduction in translation costs due renegotiated contracts with external translators, launching of additional international tenders to cover Arabic, Chinese and Russian translations based on the experiences gained in outsourcing translation work of French and Spanish and use of Computer-Assisted Translation and Terminological (CATT) tools.</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A reduction in the per word translation cost from 0.63 in 2013 to 0.59 in 2014 (i.e.  0.04 decrease per word)</w:t>
            </w:r>
          </w:p>
        </w:tc>
        <w:tc>
          <w:tcPr>
            <w:tcW w:w="2344" w:type="dxa"/>
            <w:tcBorders>
              <w:top w:val="dotted" w:sz="4" w:space="0" w:color="8DB3E2" w:themeColor="text2" w:themeTint="66"/>
              <w:bottom w:val="dotted" w:sz="4" w:space="0" w:color="8DB3E2" w:themeColor="text2" w:themeTint="66"/>
              <w:right w:val="single" w:sz="8" w:space="0" w:color="4F81BD" w:themeColor="accent1"/>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r>
      <w:tr w:rsidR="00697CFD" w:rsidRPr="00EF13F2" w:rsidTr="00B47A9C">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Reduction in printing costs following the renegotiation of the base contract for printers.</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300,000</w:t>
            </w: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A reduction in the cost per page from 0.19 in 2013 to 0.14 in 2014 (i.e. 0.05 or 26 per cent decrease per page)</w:t>
            </w:r>
          </w:p>
        </w:tc>
        <w:tc>
          <w:tcPr>
            <w:tcW w:w="2344"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w:t>
            </w:r>
          </w:p>
        </w:tc>
      </w:tr>
      <w:tr w:rsidR="00697CFD" w:rsidRPr="00EF13F2" w:rsidTr="00B47A9C">
        <w:trPr>
          <w:trHeight w:val="940"/>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left w:val="single" w:sz="8" w:space="0" w:color="4F81BD" w:themeColor="accent1"/>
              <w:bottom w:val="dotted" w:sz="4" w:space="0" w:color="8DB3E2" w:themeColor="text2" w:themeTint="66"/>
            </w:tcBorders>
            <w:hideMark/>
          </w:tcPr>
          <w:p w:rsidR="00697CFD" w:rsidRPr="00EF13F2" w:rsidRDefault="00697CFD" w:rsidP="004819A3">
            <w:pPr>
              <w:rPr>
                <w:b w:val="0"/>
                <w:sz w:val="18"/>
                <w:szCs w:val="18"/>
              </w:rPr>
            </w:pPr>
            <w:r w:rsidRPr="00EF13F2">
              <w:rPr>
                <w:b w:val="0"/>
                <w:sz w:val="18"/>
                <w:szCs w:val="18"/>
              </w:rPr>
              <w:t>Reduction in mailing costs due to negotiated lower tariffs with external mail service providers and grouping of addresses</w:t>
            </w:r>
          </w:p>
        </w:tc>
        <w:tc>
          <w:tcPr>
            <w:tcW w:w="697"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bottom w:val="dotted" w:sz="4" w:space="0" w:color="8DB3E2" w:themeColor="text2" w:themeTint="66"/>
            </w:tcBorders>
            <w:hideMark/>
          </w:tcPr>
          <w:p w:rsidR="00697CFD" w:rsidRPr="00EF13F2" w:rsidRDefault="00697CFD" w:rsidP="004819A3">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60"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42,000</w:t>
            </w:r>
          </w:p>
        </w:tc>
        <w:tc>
          <w:tcPr>
            <w:tcW w:w="1616" w:type="dxa"/>
            <w:tcBorders>
              <w:top w:val="dotted" w:sz="4" w:space="0" w:color="8DB3E2" w:themeColor="text2" w:themeTint="66"/>
              <w:bottom w:val="dotted" w:sz="4" w:space="0" w:color="8DB3E2" w:themeColor="text2" w:themeTint="66"/>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bottom w:val="dotted" w:sz="4" w:space="0" w:color="8DB3E2" w:themeColor="text2" w:themeTint="66"/>
              <w:right w:val="single" w:sz="8" w:space="0" w:color="4F81BD" w:themeColor="accent1"/>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The amount represents a 4 per cent reduction from 2013.</w:t>
            </w:r>
          </w:p>
        </w:tc>
      </w:tr>
      <w:tr w:rsidR="00697CFD" w:rsidRPr="00EF13F2" w:rsidTr="00B47A9C">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2921" w:type="dxa"/>
            <w:gridSpan w:val="2"/>
            <w:tcBorders>
              <w:top w:val="dotted" w:sz="4" w:space="0" w:color="8DB3E2" w:themeColor="text2" w:themeTint="66"/>
            </w:tcBorders>
            <w:hideMark/>
          </w:tcPr>
          <w:p w:rsidR="00697CFD" w:rsidRPr="00EF13F2" w:rsidRDefault="00697CFD" w:rsidP="00B47A9C">
            <w:pPr>
              <w:jc w:val="center"/>
              <w:rPr>
                <w:b w:val="0"/>
                <w:sz w:val="18"/>
                <w:szCs w:val="18"/>
              </w:rPr>
            </w:pPr>
            <w:r w:rsidRPr="00EF13F2">
              <w:rPr>
                <w:b w:val="0"/>
                <w:sz w:val="18"/>
                <w:szCs w:val="18"/>
              </w:rPr>
              <w:t>Reduction in the number of Security staff and the number of hours of their work.</w:t>
            </w:r>
          </w:p>
        </w:tc>
        <w:tc>
          <w:tcPr>
            <w:tcW w:w="697" w:type="dxa"/>
            <w:tcBorders>
              <w:top w:val="dotted" w:sz="4" w:space="0" w:color="8DB3E2" w:themeColor="text2" w:themeTint="66"/>
            </w:tcBorders>
            <w:hideMark/>
          </w:tcPr>
          <w:p w:rsidR="00697CFD" w:rsidRPr="00EF13F2" w:rsidRDefault="00697CFD" w:rsidP="00B47A9C">
            <w:pPr>
              <w:jc w:val="cente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x</w:t>
            </w:r>
          </w:p>
        </w:tc>
        <w:tc>
          <w:tcPr>
            <w:tcW w:w="900" w:type="dxa"/>
            <w:tcBorders>
              <w:top w:val="dotted" w:sz="4" w:space="0" w:color="8DB3E2" w:themeColor="text2" w:themeTint="66"/>
            </w:tcBorders>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tcBorders>
              <w:top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100,000 (2014)</w:t>
            </w:r>
            <w:r w:rsidRPr="00EF13F2">
              <w:rPr>
                <w:sz w:val="18"/>
                <w:szCs w:val="18"/>
              </w:rPr>
              <w:br/>
            </w:r>
            <w:r w:rsidRPr="00EF13F2">
              <w:rPr>
                <w:sz w:val="18"/>
                <w:szCs w:val="18"/>
              </w:rPr>
              <w:br/>
              <w:t>350,000 (2015)</w:t>
            </w:r>
          </w:p>
        </w:tc>
        <w:tc>
          <w:tcPr>
            <w:tcW w:w="1616" w:type="dxa"/>
            <w:tcBorders>
              <w:top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tcBorders>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A reduction from 3,700,000 Swiss francs (43 Security staff) in 2013 to 3,600,000 Swiss francs (40 Security staff) in 2014. An estimated saving of 350,000 is foreseen in 2015 that will result from the reduction in hours (6600 hours reduction) keeping the same number of Security staff on average rate of 53 Swiss francs per hour.</w:t>
            </w:r>
          </w:p>
        </w:tc>
      </w:tr>
      <w:tr w:rsidR="00697CFD" w:rsidRPr="00EF13F2" w:rsidTr="00B47A9C">
        <w:trPr>
          <w:trHeight w:val="931"/>
        </w:trPr>
        <w:tc>
          <w:tcPr>
            <w:cnfStyle w:val="001000000000" w:firstRow="0" w:lastRow="0" w:firstColumn="1" w:lastColumn="0" w:oddVBand="0" w:evenVBand="0" w:oddHBand="0" w:evenHBand="0" w:firstRowFirstColumn="0" w:firstRowLastColumn="0" w:lastRowFirstColumn="0" w:lastRowLastColumn="0"/>
            <w:tcW w:w="2921" w:type="dxa"/>
            <w:gridSpan w:val="2"/>
            <w:tcBorders>
              <w:top w:val="single" w:sz="8" w:space="0" w:color="4F81BD" w:themeColor="accent1"/>
              <w:left w:val="single" w:sz="8" w:space="0" w:color="4F81BD" w:themeColor="accent1"/>
              <w:bottom w:val="dotted" w:sz="4" w:space="0" w:color="8DB3E2" w:themeColor="text2" w:themeTint="66"/>
            </w:tcBorders>
            <w:hideMark/>
          </w:tcPr>
          <w:p w:rsidR="00697CFD" w:rsidRPr="00EF13F2" w:rsidRDefault="00697CFD" w:rsidP="00B47A9C">
            <w:pPr>
              <w:keepNext/>
              <w:keepLines/>
              <w:rPr>
                <w:b w:val="0"/>
                <w:sz w:val="18"/>
                <w:szCs w:val="18"/>
              </w:rPr>
            </w:pPr>
            <w:r w:rsidRPr="00EF13F2">
              <w:rPr>
                <w:b w:val="0"/>
                <w:sz w:val="18"/>
                <w:szCs w:val="18"/>
              </w:rPr>
              <w:lastRenderedPageBreak/>
              <w:t>Lower overall costs for the processing of international applications under the Hague System</w:t>
            </w:r>
          </w:p>
        </w:tc>
        <w:tc>
          <w:tcPr>
            <w:tcW w:w="697" w:type="dxa"/>
            <w:tcBorders>
              <w:top w:val="single" w:sz="8" w:space="0" w:color="4F81BD" w:themeColor="accent1"/>
              <w:bottom w:val="dotted" w:sz="4" w:space="0" w:color="8DB3E2" w:themeColor="text2" w:themeTint="66"/>
            </w:tcBorders>
            <w:hideMark/>
          </w:tcPr>
          <w:p w:rsidR="00697CFD" w:rsidRPr="00EF13F2" w:rsidRDefault="00697CFD" w:rsidP="00B47A9C">
            <w:pPr>
              <w:keepNext/>
              <w:keepLines/>
              <w:jc w:val="cente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x</w:t>
            </w:r>
          </w:p>
        </w:tc>
        <w:tc>
          <w:tcPr>
            <w:tcW w:w="900" w:type="dxa"/>
            <w:tcBorders>
              <w:top w:val="single" w:sz="8" w:space="0" w:color="4F81BD" w:themeColor="accent1"/>
              <w:bottom w:val="dotted" w:sz="4" w:space="0" w:color="8DB3E2" w:themeColor="text2" w:themeTint="66"/>
            </w:tcBorders>
            <w:hideMark/>
          </w:tcPr>
          <w:p w:rsidR="00697CFD" w:rsidRPr="00EF13F2" w:rsidRDefault="00697CFD" w:rsidP="00B47A9C">
            <w:pPr>
              <w:keepNext/>
              <w:keepLines/>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60" w:type="dxa"/>
            <w:tcBorders>
              <w:top w:val="single" w:sz="8" w:space="0" w:color="4F81BD" w:themeColor="accent1"/>
              <w:bottom w:val="dotted" w:sz="4" w:space="0" w:color="8DB3E2" w:themeColor="text2" w:themeTint="66"/>
            </w:tcBorders>
            <w:hideMark/>
          </w:tcPr>
          <w:p w:rsidR="00697CFD" w:rsidRPr="00EF13F2" w:rsidRDefault="00697CFD" w:rsidP="00B47A9C">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c>
          <w:tcPr>
            <w:tcW w:w="1616" w:type="dxa"/>
            <w:tcBorders>
              <w:top w:val="single" w:sz="8" w:space="0" w:color="4F81BD" w:themeColor="accent1"/>
              <w:bottom w:val="dotted" w:sz="4" w:space="0" w:color="8DB3E2" w:themeColor="text2" w:themeTint="66"/>
            </w:tcBorders>
            <w:hideMark/>
          </w:tcPr>
          <w:p w:rsidR="00697CFD" w:rsidRPr="00EF13F2" w:rsidRDefault="00697CFD" w:rsidP="00B47A9C">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A reduction in unit cost per new/renewed design from 420 in 2013 to 366  in 2014 (i.e.54  or 13 per cent decrease)</w:t>
            </w:r>
            <w:r w:rsidRPr="00EF13F2">
              <w:rPr>
                <w:sz w:val="18"/>
                <w:szCs w:val="18"/>
              </w:rPr>
              <w:br/>
              <w:t>A reduction in unit cost per recorded document from 1,570  in 2013 to 1,483  in 2014 (i.e. 87 or 5.5 per cent decrease)</w:t>
            </w:r>
          </w:p>
        </w:tc>
        <w:tc>
          <w:tcPr>
            <w:tcW w:w="2344" w:type="dxa"/>
            <w:tcBorders>
              <w:top w:val="single" w:sz="8" w:space="0" w:color="4F81BD" w:themeColor="accent1"/>
              <w:bottom w:val="dotted" w:sz="4" w:space="0" w:color="8DB3E2" w:themeColor="text2" w:themeTint="66"/>
              <w:right w:val="single" w:sz="8" w:space="0" w:color="4F81BD" w:themeColor="accent1"/>
            </w:tcBorders>
            <w:hideMark/>
          </w:tcPr>
          <w:p w:rsidR="00697CFD" w:rsidRPr="00EF13F2" w:rsidRDefault="00697CFD" w:rsidP="004819A3">
            <w:pPr>
              <w:cnfStyle w:val="000000000000" w:firstRow="0" w:lastRow="0" w:firstColumn="0" w:lastColumn="0" w:oddVBand="0" w:evenVBand="0" w:oddHBand="0" w:evenHBand="0" w:firstRowFirstColumn="0" w:firstRowLastColumn="0" w:lastRowFirstColumn="0" w:lastRowLastColumn="0"/>
              <w:rPr>
                <w:sz w:val="18"/>
                <w:szCs w:val="18"/>
              </w:rPr>
            </w:pPr>
            <w:r w:rsidRPr="00EF13F2">
              <w:rPr>
                <w:sz w:val="18"/>
                <w:szCs w:val="18"/>
              </w:rPr>
              <w:t> </w:t>
            </w:r>
          </w:p>
        </w:tc>
      </w:tr>
      <w:tr w:rsidR="00697CFD" w:rsidRPr="00EF13F2" w:rsidTr="00B47A9C">
        <w:trPr>
          <w:cnfStyle w:val="000000100000" w:firstRow="0" w:lastRow="0" w:firstColumn="0" w:lastColumn="0" w:oddVBand="0" w:evenVBand="0" w:oddHBand="1" w:evenHBand="0"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2898" w:type="dxa"/>
            <w:tcBorders>
              <w:top w:val="dotted" w:sz="4" w:space="0" w:color="8DB3E2" w:themeColor="text2" w:themeTint="66"/>
            </w:tcBorders>
            <w:shd w:val="clear" w:color="auto" w:fill="auto"/>
            <w:hideMark/>
          </w:tcPr>
          <w:p w:rsidR="00697CFD" w:rsidRPr="00EF13F2" w:rsidRDefault="00697CFD" w:rsidP="004819A3">
            <w:pPr>
              <w:rPr>
                <w:b w:val="0"/>
                <w:sz w:val="18"/>
                <w:szCs w:val="18"/>
              </w:rPr>
            </w:pPr>
            <w:r w:rsidRPr="00EF13F2">
              <w:rPr>
                <w:b w:val="0"/>
                <w:sz w:val="18"/>
                <w:szCs w:val="18"/>
              </w:rPr>
              <w:t>While activities of the Office to the United Nations in New York are foreseen to continue throughout the biennium 2016/17, it is proposed that the current operating model, through a physical office located in NYC, continues only until the end of 2016 with a view to establishing an alternate, more cost-effective operating model for 2017.</w:t>
            </w:r>
          </w:p>
        </w:tc>
        <w:tc>
          <w:tcPr>
            <w:tcW w:w="720" w:type="dxa"/>
            <w:gridSpan w:val="2"/>
            <w:tcBorders>
              <w:top w:val="dotted" w:sz="4" w:space="0" w:color="8DB3E2" w:themeColor="text2" w:themeTint="66"/>
            </w:tcBorders>
            <w:shd w:val="clear" w:color="auto" w:fill="auto"/>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tcBorders>
              <w:top w:val="dotted" w:sz="4" w:space="0" w:color="8DB3E2" w:themeColor="text2" w:themeTint="66"/>
            </w:tcBorders>
            <w:shd w:val="clear" w:color="auto" w:fill="auto"/>
            <w:hideMark/>
          </w:tcPr>
          <w:p w:rsidR="00697CFD" w:rsidRPr="00EF13F2" w:rsidRDefault="00697CFD" w:rsidP="004819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x</w:t>
            </w:r>
          </w:p>
        </w:tc>
        <w:tc>
          <w:tcPr>
            <w:tcW w:w="1260" w:type="dxa"/>
            <w:tcBorders>
              <w:top w:val="dotted" w:sz="4" w:space="0" w:color="8DB3E2" w:themeColor="text2" w:themeTint="66"/>
            </w:tcBorders>
            <w:shd w:val="clear" w:color="auto" w:fill="auto"/>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310,000</w:t>
            </w:r>
          </w:p>
        </w:tc>
        <w:tc>
          <w:tcPr>
            <w:tcW w:w="1616" w:type="dxa"/>
            <w:tcBorders>
              <w:top w:val="dotted" w:sz="4" w:space="0" w:color="8DB3E2" w:themeColor="text2" w:themeTint="66"/>
            </w:tcBorders>
            <w:shd w:val="clear" w:color="auto" w:fill="auto"/>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w:t>
            </w:r>
          </w:p>
        </w:tc>
        <w:tc>
          <w:tcPr>
            <w:tcW w:w="2344" w:type="dxa"/>
            <w:tcBorders>
              <w:top w:val="dotted" w:sz="4" w:space="0" w:color="8DB3E2" w:themeColor="text2" w:themeTint="66"/>
            </w:tcBorders>
            <w:shd w:val="clear" w:color="auto" w:fill="auto"/>
            <w:hideMark/>
          </w:tcPr>
          <w:p w:rsidR="00697CFD" w:rsidRPr="00EF13F2" w:rsidRDefault="00697CFD" w:rsidP="004819A3">
            <w:pPr>
              <w:cnfStyle w:val="000000100000" w:firstRow="0" w:lastRow="0" w:firstColumn="0" w:lastColumn="0" w:oddVBand="0" w:evenVBand="0" w:oddHBand="1" w:evenHBand="0" w:firstRowFirstColumn="0" w:firstRowLastColumn="0" w:lastRowFirstColumn="0" w:lastRowLastColumn="0"/>
              <w:rPr>
                <w:sz w:val="18"/>
                <w:szCs w:val="18"/>
              </w:rPr>
            </w:pPr>
            <w:r w:rsidRPr="00EF13F2">
              <w:rPr>
                <w:sz w:val="18"/>
                <w:szCs w:val="18"/>
              </w:rPr>
              <w:t> </w:t>
            </w:r>
            <w:r w:rsidR="008031FC">
              <w:rPr>
                <w:sz w:val="18"/>
                <w:szCs w:val="18"/>
              </w:rPr>
              <w:t>Rental cost</w:t>
            </w:r>
          </w:p>
        </w:tc>
      </w:tr>
    </w:tbl>
    <w:p w:rsidR="00697CFD" w:rsidRDefault="00697CFD" w:rsidP="00804DB7">
      <w:pPr>
        <w:rPr>
          <w:sz w:val="16"/>
          <w:szCs w:val="16"/>
        </w:rPr>
      </w:pPr>
    </w:p>
    <w:p w:rsidR="008A7422" w:rsidRDefault="008A7422" w:rsidP="00804DB7">
      <w:pPr>
        <w:rPr>
          <w:sz w:val="16"/>
          <w:szCs w:val="16"/>
        </w:rPr>
      </w:pPr>
    </w:p>
    <w:p w:rsidR="008A7422" w:rsidRDefault="008A7422" w:rsidP="00804DB7">
      <w:pPr>
        <w:rPr>
          <w:sz w:val="16"/>
          <w:szCs w:val="16"/>
        </w:rPr>
      </w:pPr>
    </w:p>
    <w:p w:rsidR="008A7422" w:rsidRDefault="008A7422" w:rsidP="00804DB7">
      <w:pPr>
        <w:rPr>
          <w:sz w:val="16"/>
          <w:szCs w:val="16"/>
        </w:rPr>
      </w:pPr>
    </w:p>
    <w:p w:rsidR="008A7422" w:rsidRDefault="008A7422" w:rsidP="00804DB7">
      <w:pPr>
        <w:rPr>
          <w:sz w:val="16"/>
          <w:szCs w:val="16"/>
        </w:rPr>
      </w:pPr>
    </w:p>
    <w:p w:rsidR="00246A63" w:rsidRPr="00B47A9C" w:rsidRDefault="00B47A9C" w:rsidP="00804DB7">
      <w:pPr>
        <w:rPr>
          <w:b/>
          <w:sz w:val="20"/>
        </w:rPr>
      </w:pPr>
      <w:r>
        <w:rPr>
          <w:b/>
          <w:sz w:val="20"/>
        </w:rPr>
        <w:t>Cost R</w:t>
      </w:r>
      <w:r w:rsidR="00FB23CE" w:rsidRPr="00B47A9C">
        <w:rPr>
          <w:b/>
          <w:sz w:val="20"/>
        </w:rPr>
        <w:t>ecoveries in 2014</w:t>
      </w:r>
    </w:p>
    <w:p w:rsidR="00A164DA" w:rsidRPr="00A164DA" w:rsidRDefault="00A164DA" w:rsidP="00804DB7">
      <w:pPr>
        <w:rPr>
          <w:sz w:val="20"/>
        </w:rPr>
      </w:pPr>
    </w:p>
    <w:tbl>
      <w:tblPr>
        <w:tblStyle w:val="LightList-Accent1"/>
        <w:tblW w:w="973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dotted" w:sz="4" w:space="0" w:color="8DB3E2" w:themeColor="text2" w:themeTint="66"/>
          <w:insideV w:val="dotted" w:sz="4" w:space="0" w:color="8DB3E2" w:themeColor="text2" w:themeTint="66"/>
        </w:tblBorders>
        <w:tblLook w:val="04A0" w:firstRow="1" w:lastRow="0" w:firstColumn="1" w:lastColumn="0" w:noHBand="0" w:noVBand="1"/>
      </w:tblPr>
      <w:tblGrid>
        <w:gridCol w:w="3328"/>
        <w:gridCol w:w="1100"/>
        <w:gridCol w:w="1530"/>
        <w:gridCol w:w="3780"/>
      </w:tblGrid>
      <w:tr w:rsidR="00FB23CE" w:rsidRPr="008A7422" w:rsidTr="00B47A9C">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8" w:type="dxa"/>
            <w:tcBorders>
              <w:bottom w:val="single" w:sz="8" w:space="0" w:color="4F81BD" w:themeColor="accent1"/>
            </w:tcBorders>
            <w:vAlign w:val="center"/>
            <w:hideMark/>
          </w:tcPr>
          <w:p w:rsidR="00FB23CE" w:rsidRPr="008A7422" w:rsidRDefault="00FB23CE" w:rsidP="00A164DA">
            <w:pPr>
              <w:jc w:val="center"/>
              <w:rPr>
                <w:sz w:val="18"/>
                <w:szCs w:val="18"/>
              </w:rPr>
            </w:pPr>
            <w:r w:rsidRPr="008A7422">
              <w:rPr>
                <w:sz w:val="18"/>
                <w:szCs w:val="18"/>
              </w:rPr>
              <w:t>Cost recovery</w:t>
            </w:r>
          </w:p>
        </w:tc>
        <w:tc>
          <w:tcPr>
            <w:tcW w:w="1100" w:type="dxa"/>
            <w:tcBorders>
              <w:bottom w:val="single" w:sz="8" w:space="0" w:color="4F81BD" w:themeColor="accent1"/>
            </w:tcBorders>
            <w:vAlign w:val="center"/>
            <w:hideMark/>
          </w:tcPr>
          <w:p w:rsidR="00FB23CE" w:rsidRPr="008A7422" w:rsidRDefault="00FB23CE" w:rsidP="00BD1939">
            <w:pPr>
              <w:jc w:val="center"/>
              <w:cnfStyle w:val="100000000000" w:firstRow="1" w:lastRow="0" w:firstColumn="0" w:lastColumn="0" w:oddVBand="0" w:evenVBand="0" w:oddHBand="0" w:evenHBand="0" w:firstRowFirstColumn="0" w:firstRowLastColumn="0" w:lastRowFirstColumn="0" w:lastRowLastColumn="0"/>
              <w:rPr>
                <w:sz w:val="18"/>
                <w:szCs w:val="18"/>
              </w:rPr>
            </w:pPr>
            <w:r w:rsidRPr="008A7422">
              <w:rPr>
                <w:sz w:val="18"/>
                <w:szCs w:val="18"/>
              </w:rPr>
              <w:t>PPR 2014</w:t>
            </w:r>
          </w:p>
        </w:tc>
        <w:tc>
          <w:tcPr>
            <w:tcW w:w="1530" w:type="dxa"/>
            <w:tcBorders>
              <w:bottom w:val="single" w:sz="8" w:space="0" w:color="4F81BD" w:themeColor="accent1"/>
            </w:tcBorders>
            <w:vAlign w:val="center"/>
            <w:hideMark/>
          </w:tcPr>
          <w:p w:rsidR="00FB23CE" w:rsidRPr="008A7422" w:rsidRDefault="00FB23CE" w:rsidP="00A164DA">
            <w:pPr>
              <w:jc w:val="center"/>
              <w:cnfStyle w:val="100000000000" w:firstRow="1" w:lastRow="0" w:firstColumn="0" w:lastColumn="0" w:oddVBand="0" w:evenVBand="0" w:oddHBand="0" w:evenHBand="0" w:firstRowFirstColumn="0" w:firstRowLastColumn="0" w:lastRowFirstColumn="0" w:lastRowLastColumn="0"/>
              <w:rPr>
                <w:sz w:val="18"/>
                <w:szCs w:val="18"/>
              </w:rPr>
            </w:pPr>
            <w:r w:rsidRPr="008A7422">
              <w:rPr>
                <w:sz w:val="18"/>
                <w:szCs w:val="18"/>
              </w:rPr>
              <w:t>Annual amount of savings</w:t>
            </w:r>
            <w:r w:rsidRPr="008A7422">
              <w:rPr>
                <w:sz w:val="18"/>
                <w:szCs w:val="18"/>
              </w:rPr>
              <w:br/>
              <w:t>(Swiss francs)</w:t>
            </w:r>
          </w:p>
        </w:tc>
        <w:tc>
          <w:tcPr>
            <w:tcW w:w="3780" w:type="dxa"/>
            <w:tcBorders>
              <w:bottom w:val="single" w:sz="8" w:space="0" w:color="4F81BD" w:themeColor="accent1"/>
            </w:tcBorders>
            <w:vAlign w:val="center"/>
            <w:hideMark/>
          </w:tcPr>
          <w:p w:rsidR="00FB23CE" w:rsidRPr="008A7422" w:rsidRDefault="00FB23CE" w:rsidP="00A164DA">
            <w:pPr>
              <w:jc w:val="center"/>
              <w:cnfStyle w:val="100000000000" w:firstRow="1" w:lastRow="0" w:firstColumn="0" w:lastColumn="0" w:oddVBand="0" w:evenVBand="0" w:oddHBand="0" w:evenHBand="0" w:firstRowFirstColumn="0" w:firstRowLastColumn="0" w:lastRowFirstColumn="0" w:lastRowLastColumn="0"/>
              <w:rPr>
                <w:sz w:val="18"/>
                <w:szCs w:val="18"/>
              </w:rPr>
            </w:pPr>
            <w:r w:rsidRPr="008A7422">
              <w:rPr>
                <w:sz w:val="18"/>
                <w:szCs w:val="18"/>
              </w:rPr>
              <w:t>Breakdown of costs</w:t>
            </w:r>
            <w:r w:rsidRPr="008A7422">
              <w:rPr>
                <w:sz w:val="18"/>
                <w:szCs w:val="18"/>
              </w:rPr>
              <w:br/>
              <w:t>(Swiss francs)</w:t>
            </w:r>
          </w:p>
        </w:tc>
      </w:tr>
      <w:tr w:rsidR="00FB23CE" w:rsidRPr="008A7422" w:rsidTr="00B47A9C">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328" w:type="dxa"/>
            <w:tcBorders>
              <w:bottom w:val="dotted" w:sz="4" w:space="0" w:color="8DB3E2" w:themeColor="text2" w:themeTint="66"/>
            </w:tcBorders>
            <w:hideMark/>
          </w:tcPr>
          <w:p w:rsidR="00FB23CE" w:rsidRPr="008A7422" w:rsidRDefault="00FB23CE">
            <w:pPr>
              <w:rPr>
                <w:b w:val="0"/>
                <w:sz w:val="18"/>
                <w:szCs w:val="18"/>
              </w:rPr>
            </w:pPr>
            <w:r w:rsidRPr="008A7422">
              <w:rPr>
                <w:b w:val="0"/>
                <w:sz w:val="18"/>
                <w:szCs w:val="18"/>
              </w:rPr>
              <w:t>Revenue generated by rental of WIPO spaces to other entities</w:t>
            </w:r>
          </w:p>
        </w:tc>
        <w:tc>
          <w:tcPr>
            <w:tcW w:w="1100" w:type="dxa"/>
            <w:tcBorders>
              <w:bottom w:val="dotted" w:sz="4" w:space="0" w:color="8DB3E2" w:themeColor="text2" w:themeTint="66"/>
            </w:tcBorders>
            <w:hideMark/>
          </w:tcPr>
          <w:p w:rsidR="00FB23CE" w:rsidRPr="008A7422" w:rsidRDefault="00FB23CE" w:rsidP="00BD1939">
            <w:pPr>
              <w:jc w:val="center"/>
              <w:cnfStyle w:val="000000100000" w:firstRow="0" w:lastRow="0" w:firstColumn="0" w:lastColumn="0" w:oddVBand="0" w:evenVBand="0" w:oddHBand="1" w:evenHBand="0" w:firstRowFirstColumn="0" w:firstRowLastColumn="0" w:lastRowFirstColumn="0" w:lastRowLastColumn="0"/>
              <w:rPr>
                <w:sz w:val="18"/>
                <w:szCs w:val="18"/>
              </w:rPr>
            </w:pPr>
            <w:r w:rsidRPr="008A7422">
              <w:rPr>
                <w:sz w:val="18"/>
                <w:szCs w:val="18"/>
              </w:rPr>
              <w:t>x</w:t>
            </w:r>
          </w:p>
        </w:tc>
        <w:tc>
          <w:tcPr>
            <w:tcW w:w="1530" w:type="dxa"/>
            <w:tcBorders>
              <w:bottom w:val="dotted" w:sz="4" w:space="0" w:color="8DB3E2" w:themeColor="text2" w:themeTint="66"/>
            </w:tcBorders>
            <w:hideMark/>
          </w:tcPr>
          <w:p w:rsidR="00FB23CE" w:rsidRPr="008A7422" w:rsidRDefault="00FB23CE">
            <w:pPr>
              <w:cnfStyle w:val="000000100000" w:firstRow="0" w:lastRow="0" w:firstColumn="0" w:lastColumn="0" w:oddVBand="0" w:evenVBand="0" w:oddHBand="1" w:evenHBand="0" w:firstRowFirstColumn="0" w:firstRowLastColumn="0" w:lastRowFirstColumn="0" w:lastRowLastColumn="0"/>
              <w:rPr>
                <w:sz w:val="18"/>
                <w:szCs w:val="18"/>
              </w:rPr>
            </w:pPr>
            <w:r w:rsidRPr="008A7422">
              <w:rPr>
                <w:sz w:val="18"/>
                <w:szCs w:val="18"/>
              </w:rPr>
              <w:t>195,000</w:t>
            </w:r>
          </w:p>
        </w:tc>
        <w:tc>
          <w:tcPr>
            <w:tcW w:w="3780" w:type="dxa"/>
            <w:tcBorders>
              <w:bottom w:val="dotted" w:sz="4" w:space="0" w:color="8DB3E2" w:themeColor="text2" w:themeTint="66"/>
            </w:tcBorders>
            <w:hideMark/>
          </w:tcPr>
          <w:p w:rsidR="00FB23CE" w:rsidRPr="008A7422" w:rsidRDefault="00FB23CE">
            <w:pPr>
              <w:cnfStyle w:val="000000100000" w:firstRow="0" w:lastRow="0" w:firstColumn="0" w:lastColumn="0" w:oddVBand="0" w:evenVBand="0" w:oddHBand="1" w:evenHBand="0" w:firstRowFirstColumn="0" w:firstRowLastColumn="0" w:lastRowFirstColumn="0" w:lastRowLastColumn="0"/>
              <w:rPr>
                <w:sz w:val="18"/>
                <w:szCs w:val="18"/>
              </w:rPr>
            </w:pPr>
            <w:r w:rsidRPr="008A7422">
              <w:rPr>
                <w:sz w:val="18"/>
                <w:szCs w:val="18"/>
              </w:rPr>
              <w:t>124,766 ICC</w:t>
            </w:r>
            <w:r w:rsidRPr="008A7422">
              <w:rPr>
                <w:sz w:val="18"/>
                <w:szCs w:val="18"/>
              </w:rPr>
              <w:br/>
              <w:t>17,500 Swisscom Antenna</w:t>
            </w:r>
            <w:r w:rsidRPr="008A7422">
              <w:rPr>
                <w:sz w:val="18"/>
                <w:szCs w:val="18"/>
              </w:rPr>
              <w:br/>
              <w:t>32,500 Orange antenna</w:t>
            </w:r>
            <w:r w:rsidRPr="008A7422">
              <w:rPr>
                <w:sz w:val="18"/>
                <w:szCs w:val="18"/>
              </w:rPr>
              <w:br/>
              <w:t>9,504 AMFIE (one standard office CAM)</w:t>
            </w:r>
            <w:r w:rsidRPr="008A7422">
              <w:rPr>
                <w:sz w:val="18"/>
                <w:szCs w:val="18"/>
              </w:rPr>
              <w:br/>
              <w:t>9,298 UBS bank teller in GBI</w:t>
            </w:r>
          </w:p>
        </w:tc>
      </w:tr>
      <w:tr w:rsidR="00FB23CE" w:rsidRPr="008A7422" w:rsidTr="00B47A9C">
        <w:trPr>
          <w:trHeight w:val="1275"/>
        </w:trPr>
        <w:tc>
          <w:tcPr>
            <w:cnfStyle w:val="001000000000" w:firstRow="0" w:lastRow="0" w:firstColumn="1" w:lastColumn="0" w:oddVBand="0" w:evenVBand="0" w:oddHBand="0" w:evenHBand="0" w:firstRowFirstColumn="0" w:firstRowLastColumn="0" w:lastRowFirstColumn="0" w:lastRowLastColumn="0"/>
            <w:tcW w:w="3328" w:type="dxa"/>
            <w:tcBorders>
              <w:top w:val="dotted" w:sz="4" w:space="0" w:color="8DB3E2" w:themeColor="text2" w:themeTint="66"/>
              <w:left w:val="single" w:sz="8" w:space="0" w:color="4F81BD" w:themeColor="accent1"/>
              <w:bottom w:val="single" w:sz="8" w:space="0" w:color="4F81BD" w:themeColor="accent1"/>
            </w:tcBorders>
            <w:hideMark/>
          </w:tcPr>
          <w:p w:rsidR="00FB23CE" w:rsidRPr="008A7422" w:rsidRDefault="00FB23CE">
            <w:pPr>
              <w:rPr>
                <w:b w:val="0"/>
                <w:sz w:val="18"/>
                <w:szCs w:val="18"/>
              </w:rPr>
            </w:pPr>
            <w:r w:rsidRPr="008A7422">
              <w:rPr>
                <w:b w:val="0"/>
                <w:sz w:val="18"/>
                <w:szCs w:val="18"/>
              </w:rPr>
              <w:t>Revenue generated by the reimbursement of the difference paid between 2013 and 2014 by the electricity provider for meeting the annual electricity saving target resulting from the implemented electricity saving measures and as an incentive for further reduced electricity consumption.</w:t>
            </w:r>
          </w:p>
        </w:tc>
        <w:tc>
          <w:tcPr>
            <w:tcW w:w="1100" w:type="dxa"/>
            <w:tcBorders>
              <w:top w:val="dotted" w:sz="4" w:space="0" w:color="8DB3E2" w:themeColor="text2" w:themeTint="66"/>
              <w:bottom w:val="single" w:sz="8" w:space="0" w:color="4F81BD" w:themeColor="accent1"/>
            </w:tcBorders>
            <w:hideMark/>
          </w:tcPr>
          <w:p w:rsidR="00FB23CE" w:rsidRPr="008A7422" w:rsidRDefault="00FB23CE" w:rsidP="00BD1939">
            <w:pPr>
              <w:jc w:val="center"/>
              <w:cnfStyle w:val="000000000000" w:firstRow="0" w:lastRow="0" w:firstColumn="0" w:lastColumn="0" w:oddVBand="0" w:evenVBand="0" w:oddHBand="0" w:evenHBand="0" w:firstRowFirstColumn="0" w:firstRowLastColumn="0" w:lastRowFirstColumn="0" w:lastRowLastColumn="0"/>
              <w:rPr>
                <w:sz w:val="18"/>
                <w:szCs w:val="18"/>
              </w:rPr>
            </w:pPr>
            <w:r w:rsidRPr="008A7422">
              <w:rPr>
                <w:sz w:val="18"/>
                <w:szCs w:val="18"/>
              </w:rPr>
              <w:t>x</w:t>
            </w:r>
          </w:p>
        </w:tc>
        <w:tc>
          <w:tcPr>
            <w:tcW w:w="1530" w:type="dxa"/>
            <w:tcBorders>
              <w:top w:val="dotted" w:sz="4" w:space="0" w:color="8DB3E2" w:themeColor="text2" w:themeTint="66"/>
              <w:bottom w:val="single" w:sz="8" w:space="0" w:color="4F81BD" w:themeColor="accent1"/>
            </w:tcBorders>
            <w:hideMark/>
          </w:tcPr>
          <w:p w:rsidR="00FB23CE" w:rsidRPr="008A7422" w:rsidRDefault="00FB23CE">
            <w:pPr>
              <w:cnfStyle w:val="000000000000" w:firstRow="0" w:lastRow="0" w:firstColumn="0" w:lastColumn="0" w:oddVBand="0" w:evenVBand="0" w:oddHBand="0" w:evenHBand="0" w:firstRowFirstColumn="0" w:firstRowLastColumn="0" w:lastRowFirstColumn="0" w:lastRowLastColumn="0"/>
              <w:rPr>
                <w:sz w:val="18"/>
                <w:szCs w:val="18"/>
              </w:rPr>
            </w:pPr>
            <w:r w:rsidRPr="008A7422">
              <w:rPr>
                <w:sz w:val="18"/>
                <w:szCs w:val="18"/>
              </w:rPr>
              <w:t>21,300</w:t>
            </w:r>
          </w:p>
        </w:tc>
        <w:tc>
          <w:tcPr>
            <w:tcW w:w="3780" w:type="dxa"/>
            <w:tcBorders>
              <w:top w:val="dotted" w:sz="4" w:space="0" w:color="8DB3E2" w:themeColor="text2" w:themeTint="66"/>
              <w:bottom w:val="single" w:sz="8" w:space="0" w:color="4F81BD" w:themeColor="accent1"/>
              <w:right w:val="single" w:sz="8" w:space="0" w:color="4F81BD" w:themeColor="accent1"/>
            </w:tcBorders>
            <w:hideMark/>
          </w:tcPr>
          <w:p w:rsidR="00FB23CE" w:rsidRPr="008A7422" w:rsidRDefault="00FB23CE">
            <w:pPr>
              <w:cnfStyle w:val="000000000000" w:firstRow="0" w:lastRow="0" w:firstColumn="0" w:lastColumn="0" w:oddVBand="0" w:evenVBand="0" w:oddHBand="0" w:evenHBand="0" w:firstRowFirstColumn="0" w:firstRowLastColumn="0" w:lastRowFirstColumn="0" w:lastRowLastColumn="0"/>
              <w:rPr>
                <w:sz w:val="18"/>
                <w:szCs w:val="18"/>
              </w:rPr>
            </w:pPr>
            <w:r w:rsidRPr="008A7422">
              <w:rPr>
                <w:sz w:val="18"/>
                <w:szCs w:val="18"/>
              </w:rPr>
              <w:t>One-off payment made by the electricity provider at the end of the year</w:t>
            </w:r>
          </w:p>
        </w:tc>
      </w:tr>
    </w:tbl>
    <w:p w:rsidR="00246A63" w:rsidRDefault="00246A63" w:rsidP="00804DB7">
      <w:pPr>
        <w:rPr>
          <w:sz w:val="16"/>
          <w:szCs w:val="16"/>
        </w:rPr>
      </w:pPr>
    </w:p>
    <w:p w:rsidR="00B47A9C" w:rsidRDefault="00B47A9C" w:rsidP="00804DB7">
      <w:pPr>
        <w:rPr>
          <w:sz w:val="16"/>
          <w:szCs w:val="16"/>
        </w:rPr>
      </w:pPr>
    </w:p>
    <w:p w:rsidR="00B47A9C" w:rsidRDefault="00B47A9C" w:rsidP="00804DB7">
      <w:pPr>
        <w:rPr>
          <w:sz w:val="16"/>
          <w:szCs w:val="16"/>
        </w:rPr>
      </w:pPr>
    </w:p>
    <w:p w:rsidR="00B47A9C" w:rsidRPr="00B47A9C" w:rsidRDefault="00B47A9C" w:rsidP="00B47A9C">
      <w:pPr>
        <w:ind w:left="6237" w:firstLine="567"/>
        <w:rPr>
          <w:szCs w:val="16"/>
        </w:rPr>
      </w:pPr>
      <w:r w:rsidRPr="00B47A9C">
        <w:rPr>
          <w:szCs w:val="16"/>
        </w:rPr>
        <w:t>[End of document]</w:t>
      </w:r>
    </w:p>
    <w:sectPr w:rsidR="00B47A9C" w:rsidRPr="00B47A9C" w:rsidSect="00B47A9C">
      <w:headerReference w:type="default" r:id="rId9"/>
      <w:footerReference w:type="default" r:id="rId10"/>
      <w:headerReference w:type="first" r:id="rId11"/>
      <w:pgSz w:w="11907" w:h="16840" w:code="9"/>
      <w:pgMar w:top="1417" w:right="1417" w:bottom="1417" w:left="1417"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4DA" w:rsidRDefault="00A164DA" w:rsidP="00A164DA">
      <w:r>
        <w:separator/>
      </w:r>
    </w:p>
  </w:endnote>
  <w:endnote w:type="continuationSeparator" w:id="0">
    <w:p w:rsidR="00A164DA" w:rsidRDefault="00A164DA" w:rsidP="00A1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677555"/>
      <w:docPartObj>
        <w:docPartGallery w:val="Page Numbers (Bottom of Page)"/>
        <w:docPartUnique/>
      </w:docPartObj>
    </w:sdtPr>
    <w:sdtEndPr>
      <w:rPr>
        <w:noProof/>
      </w:rPr>
    </w:sdtEndPr>
    <w:sdtContent>
      <w:p w:rsidR="00B47A9C" w:rsidRDefault="00B47A9C" w:rsidP="00B47A9C">
        <w:pPr>
          <w:pStyle w:val="Footer"/>
          <w:jc w:val="center"/>
        </w:pPr>
        <w:r>
          <w:fldChar w:fldCharType="begin"/>
        </w:r>
        <w:r>
          <w:instrText xml:space="preserve"> PAGE   \* MERGEFORMAT </w:instrText>
        </w:r>
        <w:r>
          <w:fldChar w:fldCharType="separate"/>
        </w:r>
        <w:r w:rsidR="007B142F">
          <w:rPr>
            <w:noProof/>
          </w:rPr>
          <w:t>2</w:t>
        </w:r>
        <w:r>
          <w:rPr>
            <w:noProof/>
          </w:rPr>
          <w:fldChar w:fldCharType="end"/>
        </w:r>
      </w:p>
    </w:sdtContent>
  </w:sdt>
  <w:p w:rsidR="00B47A9C" w:rsidRDefault="00B47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4DA" w:rsidRDefault="00A164DA" w:rsidP="00A164DA">
      <w:r>
        <w:separator/>
      </w:r>
    </w:p>
  </w:footnote>
  <w:footnote w:type="continuationSeparator" w:id="0">
    <w:p w:rsidR="00A164DA" w:rsidRDefault="00A164DA" w:rsidP="00A16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CC" w:rsidRPr="00697CFD" w:rsidRDefault="008155DA" w:rsidP="00697CFD">
    <w:pPr>
      <w:pStyle w:val="Header"/>
      <w:jc w:val="right"/>
      <w:rPr>
        <w:b/>
        <w:color w:val="808080" w:themeColor="background1" w:themeShade="80"/>
        <w:sz w:val="18"/>
      </w:rPr>
    </w:pPr>
    <w:r w:rsidRPr="00697CFD">
      <w:rPr>
        <w:b/>
        <w:color w:val="808080" w:themeColor="background1" w:themeShade="80"/>
        <w:sz w:val="18"/>
      </w:rPr>
      <w:t>Cost efficienc</w:t>
    </w:r>
    <w:r w:rsidR="00B736CC" w:rsidRPr="00697CFD">
      <w:rPr>
        <w:b/>
        <w:color w:val="808080" w:themeColor="background1" w:themeShade="80"/>
        <w:sz w:val="18"/>
      </w:rPr>
      <w:t>ies</w:t>
    </w:r>
    <w:r w:rsidRPr="00697CFD">
      <w:rPr>
        <w:b/>
        <w:color w:val="808080" w:themeColor="background1" w:themeShade="80"/>
        <w:sz w:val="18"/>
      </w:rPr>
      <w:t xml:space="preserve"> </w:t>
    </w:r>
    <w:r w:rsidR="00B736CC" w:rsidRPr="00697CFD">
      <w:rPr>
        <w:b/>
        <w:color w:val="808080" w:themeColor="background1" w:themeShade="80"/>
        <w:sz w:val="18"/>
      </w:rPr>
      <w:t xml:space="preserve">realized in 2014 and/or </w:t>
    </w:r>
    <w:proofErr w:type="spellStart"/>
    <w:r w:rsidR="00B736CC" w:rsidRPr="00697CFD">
      <w:rPr>
        <w:b/>
        <w:color w:val="808080" w:themeColor="background1" w:themeShade="80"/>
        <w:sz w:val="18"/>
      </w:rPr>
      <w:t>baselined</w:t>
    </w:r>
    <w:proofErr w:type="spellEnd"/>
    <w:r w:rsidR="00B736CC" w:rsidRPr="00697CFD">
      <w:rPr>
        <w:b/>
        <w:color w:val="808080" w:themeColor="background1" w:themeShade="80"/>
        <w:sz w:val="18"/>
      </w:rPr>
      <w:t xml:space="preserve"> in the</w:t>
    </w:r>
  </w:p>
  <w:p w:rsidR="008155DA" w:rsidRPr="00697CFD" w:rsidRDefault="00B736CC" w:rsidP="00697CFD">
    <w:pPr>
      <w:pStyle w:val="Header"/>
      <w:jc w:val="right"/>
      <w:rPr>
        <w:b/>
        <w:color w:val="808080" w:themeColor="background1" w:themeShade="80"/>
        <w:sz w:val="18"/>
      </w:rPr>
    </w:pPr>
    <w:proofErr w:type="gramStart"/>
    <w:r w:rsidRPr="00697CFD">
      <w:rPr>
        <w:b/>
        <w:color w:val="808080" w:themeColor="background1" w:themeShade="80"/>
        <w:sz w:val="18"/>
      </w:rPr>
      <w:t>proposed</w:t>
    </w:r>
    <w:proofErr w:type="gramEnd"/>
    <w:r w:rsidRPr="00697CFD">
      <w:rPr>
        <w:b/>
        <w:color w:val="808080" w:themeColor="background1" w:themeShade="80"/>
        <w:sz w:val="18"/>
      </w:rPr>
      <w:t xml:space="preserve"> Program and Budget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9C" w:rsidRDefault="00B47A9C" w:rsidP="00B47A9C">
    <w:pPr>
      <w:pStyle w:val="Header"/>
      <w:jc w:val="right"/>
    </w:pPr>
    <w:r>
      <w:t>July 10,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63"/>
    <w:rsid w:val="00061FF6"/>
    <w:rsid w:val="000F5E56"/>
    <w:rsid w:val="0010132D"/>
    <w:rsid w:val="00246A63"/>
    <w:rsid w:val="0026602C"/>
    <w:rsid w:val="003212F0"/>
    <w:rsid w:val="00324228"/>
    <w:rsid w:val="00431118"/>
    <w:rsid w:val="00594A99"/>
    <w:rsid w:val="005A6055"/>
    <w:rsid w:val="00697CFD"/>
    <w:rsid w:val="007B142F"/>
    <w:rsid w:val="007B240C"/>
    <w:rsid w:val="007D53C7"/>
    <w:rsid w:val="008031FC"/>
    <w:rsid w:val="00804DB7"/>
    <w:rsid w:val="008155DA"/>
    <w:rsid w:val="008A7422"/>
    <w:rsid w:val="008C5B0B"/>
    <w:rsid w:val="00991028"/>
    <w:rsid w:val="009A6D7A"/>
    <w:rsid w:val="00A164DA"/>
    <w:rsid w:val="00AA2A69"/>
    <w:rsid w:val="00B47A9C"/>
    <w:rsid w:val="00B633ED"/>
    <w:rsid w:val="00B736CC"/>
    <w:rsid w:val="00BD1939"/>
    <w:rsid w:val="00C554EC"/>
    <w:rsid w:val="00C631C4"/>
    <w:rsid w:val="00EF13F2"/>
    <w:rsid w:val="00FB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table" w:styleId="TableGrid">
    <w:name w:val="Table Grid"/>
    <w:basedOn w:val="TableNormal"/>
    <w:rsid w:val="00246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6A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rsid w:val="00A164DA"/>
    <w:rPr>
      <w:rFonts w:ascii="Tahoma" w:hAnsi="Tahoma" w:cs="Tahoma"/>
      <w:sz w:val="16"/>
      <w:szCs w:val="16"/>
    </w:rPr>
  </w:style>
  <w:style w:type="character" w:customStyle="1" w:styleId="BalloonTextChar">
    <w:name w:val="Balloon Text Char"/>
    <w:basedOn w:val="DefaultParagraphFont"/>
    <w:link w:val="BalloonText"/>
    <w:rsid w:val="00A164DA"/>
    <w:rPr>
      <w:rFonts w:ascii="Tahoma" w:hAnsi="Tahoma" w:cs="Tahoma"/>
      <w:sz w:val="16"/>
      <w:szCs w:val="16"/>
    </w:rPr>
  </w:style>
  <w:style w:type="character" w:customStyle="1" w:styleId="FooterChar">
    <w:name w:val="Footer Char"/>
    <w:basedOn w:val="DefaultParagraphFont"/>
    <w:link w:val="Footer"/>
    <w:uiPriority w:val="99"/>
    <w:rsid w:val="008155D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table" w:styleId="TableGrid">
    <w:name w:val="Table Grid"/>
    <w:basedOn w:val="TableNormal"/>
    <w:rsid w:val="00246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6A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rsid w:val="00A164DA"/>
    <w:rPr>
      <w:rFonts w:ascii="Tahoma" w:hAnsi="Tahoma" w:cs="Tahoma"/>
      <w:sz w:val="16"/>
      <w:szCs w:val="16"/>
    </w:rPr>
  </w:style>
  <w:style w:type="character" w:customStyle="1" w:styleId="BalloonTextChar">
    <w:name w:val="Balloon Text Char"/>
    <w:basedOn w:val="DefaultParagraphFont"/>
    <w:link w:val="BalloonText"/>
    <w:rsid w:val="00A164DA"/>
    <w:rPr>
      <w:rFonts w:ascii="Tahoma" w:hAnsi="Tahoma" w:cs="Tahoma"/>
      <w:sz w:val="16"/>
      <w:szCs w:val="16"/>
    </w:rPr>
  </w:style>
  <w:style w:type="character" w:customStyle="1" w:styleId="FooterChar">
    <w:name w:val="Footer Char"/>
    <w:basedOn w:val="DefaultParagraphFont"/>
    <w:link w:val="Footer"/>
    <w:uiPriority w:val="99"/>
    <w:rsid w:val="008155D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25657">
      <w:bodyDiv w:val="1"/>
      <w:marLeft w:val="0"/>
      <w:marRight w:val="0"/>
      <w:marTop w:val="0"/>
      <w:marBottom w:val="0"/>
      <w:divBdr>
        <w:top w:val="none" w:sz="0" w:space="0" w:color="auto"/>
        <w:left w:val="none" w:sz="0" w:space="0" w:color="auto"/>
        <w:bottom w:val="none" w:sz="0" w:space="0" w:color="auto"/>
        <w:right w:val="none" w:sz="0" w:space="0" w:color="auto"/>
      </w:divBdr>
    </w:div>
    <w:div w:id="522013126">
      <w:bodyDiv w:val="1"/>
      <w:marLeft w:val="0"/>
      <w:marRight w:val="0"/>
      <w:marTop w:val="0"/>
      <w:marBottom w:val="0"/>
      <w:divBdr>
        <w:top w:val="none" w:sz="0" w:space="0" w:color="auto"/>
        <w:left w:val="none" w:sz="0" w:space="0" w:color="auto"/>
        <w:bottom w:val="none" w:sz="0" w:space="0" w:color="auto"/>
        <w:right w:val="none" w:sz="0" w:space="0" w:color="auto"/>
      </w:divBdr>
    </w:div>
    <w:div w:id="975373849">
      <w:bodyDiv w:val="1"/>
      <w:marLeft w:val="0"/>
      <w:marRight w:val="0"/>
      <w:marTop w:val="0"/>
      <w:marBottom w:val="0"/>
      <w:divBdr>
        <w:top w:val="none" w:sz="0" w:space="0" w:color="auto"/>
        <w:left w:val="none" w:sz="0" w:space="0" w:color="auto"/>
        <w:bottom w:val="none" w:sz="0" w:space="0" w:color="auto"/>
        <w:right w:val="none" w:sz="0" w:space="0" w:color="auto"/>
      </w:divBdr>
    </w:div>
    <w:div w:id="181838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CFE4-E0B1-4E7C-B0B8-6AEF9789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1082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LOJ Malgorzata</dc:creator>
  <cp:lastModifiedBy>NETTER Iza</cp:lastModifiedBy>
  <cp:revision>19</cp:revision>
  <cp:lastPrinted>2015-07-13T14:41:00Z</cp:lastPrinted>
  <dcterms:created xsi:type="dcterms:W3CDTF">2015-07-01T15:01:00Z</dcterms:created>
  <dcterms:modified xsi:type="dcterms:W3CDTF">2015-07-13T14:46:00Z</dcterms:modified>
</cp:coreProperties>
</file>